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Arial" w:cs="Arial" w:eastAsia="Arial" w:hAnsi="Arial"/>
          <w:sz w:val="36"/>
          <w:szCs w:val="36"/>
          <w:color w:val="84C524"/>
        </w:rPr>
        <w:t>2024 Annual Report</w:t>
      </w:r>
    </w:p>
    <w:p>
      <w:pPr>
        <w:spacing w:after="0" w:line="21" w:lineRule="exact"/>
        <w:rPr>
          <w:sz w:val="24"/>
          <w:szCs w:val="24"/>
          <w:color w:val="auto"/>
        </w:rPr>
      </w:pPr>
    </w:p>
    <w:p>
      <w:pPr>
        <w:ind w:left="680" w:right="3400" w:hanging="672"/>
        <w:spacing w:after="0" w:line="341" w:lineRule="auto"/>
        <w:rPr>
          <w:sz w:val="20"/>
          <w:szCs w:val="20"/>
          <w:color w:val="auto"/>
        </w:rPr>
      </w:pPr>
      <w:r>
        <w:rPr>
          <w:rFonts w:ascii="Arial" w:cs="Arial" w:eastAsia="Arial" w:hAnsi="Arial"/>
          <w:sz w:val="86"/>
          <w:szCs w:val="86"/>
          <w:color w:val="00074E"/>
        </w:rPr>
        <w:t>Safeguarding Global Health</w:t>
      </w:r>
      <w:r>
        <w:rPr>
          <w:rFonts w:ascii="Arial" w:cs="Arial" w:eastAsia="Arial" w:hAnsi="Arial"/>
          <w:sz w:val="28"/>
          <w:szCs w:val="28"/>
          <w:color w:val="00074E"/>
        </w:rPr>
        <w:t>®</w:t>
      </w:r>
    </w:p>
    <w:p>
      <w:pPr>
        <w:sectPr>
          <w:pgSz w:w="11880" w:h="15480" w:orient="portrait"/>
          <w:cols w:equalWidth="0" w:num="1">
            <w:col w:w="9540"/>
          </w:cols>
          <w:pgMar w:left="900" w:top="1440" w:right="1440" w:bottom="1440" w:gutter="0" w:footer="0" w:header="0"/>
        </w:sectPr>
      </w:pPr>
    </w:p>
    <w:bookmarkStart w:id="1" w:name="page2"/>
    <w:bookmarkEnd w:id="1"/>
    <w:p>
      <w:pPr>
        <w:ind w:left="540"/>
        <w:spacing w:after="0"/>
        <w:rPr>
          <w:sz w:val="20"/>
          <w:szCs w:val="20"/>
          <w:color w:val="auto"/>
        </w:rPr>
      </w:pPr>
      <w:r>
        <w:rPr>
          <w:rFonts w:ascii="Arial" w:cs="Arial" w:eastAsia="Arial" w:hAnsi="Arial"/>
          <w:sz w:val="56"/>
          <w:szCs w:val="56"/>
          <w:color w:val="191919"/>
        </w:rPr>
        <w:drawing>
          <wp:anchor simplePos="0" relativeHeight="251657728" behindDoc="1" locked="0" layoutInCell="0" allowOverlap="1">
            <wp:simplePos x="0" y="0"/>
            <wp:positionH relativeFrom="page">
              <wp:posOffset>0</wp:posOffset>
            </wp:positionH>
            <wp:positionV relativeFrom="page">
              <wp:posOffset>0</wp:posOffset>
            </wp:positionV>
            <wp:extent cx="7543800" cy="5220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5220970"/>
                    </a:xfrm>
                    <a:prstGeom prst="rect">
                      <a:avLst/>
                    </a:prstGeom>
                    <a:noFill/>
                  </pic:spPr>
                </pic:pic>
              </a:graphicData>
            </a:graphic>
          </wp:anchor>
        </w:drawing>
        <w:t>Our Commitment</w:t>
      </w:r>
    </w:p>
    <w:p>
      <w:pPr>
        <w:ind w:left="540"/>
        <w:spacing w:after="0" w:line="223" w:lineRule="auto"/>
        <w:rPr>
          <w:sz w:val="20"/>
          <w:szCs w:val="20"/>
          <w:color w:val="auto"/>
        </w:rPr>
      </w:pPr>
      <w:r>
        <w:rPr>
          <w:rFonts w:ascii="Arial" w:cs="Arial" w:eastAsia="Arial" w:hAnsi="Arial"/>
          <w:sz w:val="56"/>
          <w:szCs w:val="56"/>
          <w:color w:val="191919"/>
        </w:rPr>
        <w:t>to Safeguarding</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56"/>
          <w:szCs w:val="56"/>
          <w:color w:val="191919"/>
        </w:rPr>
        <w:t>Global Health</w:t>
      </w:r>
      <w:r>
        <w:rPr>
          <w:rFonts w:ascii="Arial" w:cs="Arial" w:eastAsia="Arial" w:hAnsi="Arial"/>
          <w:sz w:val="20"/>
          <w:szCs w:val="20"/>
          <w:color w:val="191919"/>
        </w:rPr>
        <w:t>®</w:t>
      </w:r>
    </w:p>
    <w:p>
      <w:pPr>
        <w:spacing w:after="0" w:line="200" w:lineRule="exact"/>
        <w:rPr>
          <w:sz w:val="20"/>
          <w:szCs w:val="20"/>
          <w:color w:val="auto"/>
        </w:rPr>
      </w:pPr>
    </w:p>
    <w:p>
      <w:pPr>
        <w:spacing w:after="0" w:line="245"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FFFFFF"/>
        </w:rPr>
        <w:t>Sotera Health Company (Nasdaq: SHC) is a leading global provider</w:t>
      </w:r>
    </w:p>
    <w:p>
      <w:pPr>
        <w:spacing w:after="0" w:line="89" w:lineRule="exact"/>
        <w:rPr>
          <w:sz w:val="20"/>
          <w:szCs w:val="20"/>
          <w:color w:val="auto"/>
        </w:rPr>
      </w:pPr>
    </w:p>
    <w:p>
      <w:pPr>
        <w:ind w:left="3780" w:right="1380"/>
        <w:spacing w:after="0" w:line="376" w:lineRule="auto"/>
        <w:rPr>
          <w:sz w:val="20"/>
          <w:szCs w:val="20"/>
          <w:color w:val="auto"/>
        </w:rPr>
      </w:pPr>
      <w:r>
        <w:rPr>
          <w:rFonts w:ascii="Arial" w:cs="Arial" w:eastAsia="Arial" w:hAnsi="Arial"/>
          <w:sz w:val="20"/>
          <w:szCs w:val="20"/>
          <w:color w:val="FFFFFF"/>
        </w:rPr>
        <w:t>of mission-critical end-to-end sterilization solutions, lab testing and advisory services for the healthcare industry. The name Sotera Health was inspired by Soteria, the Greek goddess of safety, and reflects the Company’s unwavering commitment to its mission, Safeguarding Global Health</w:t>
      </w:r>
      <w:r>
        <w:rPr>
          <w:rFonts w:ascii="Arial" w:cs="Arial" w:eastAsia="Arial" w:hAnsi="Arial"/>
          <w:sz w:val="11"/>
          <w:szCs w:val="11"/>
          <w:color w:val="FFFFFF"/>
        </w:rPr>
        <w:t>®</w:t>
      </w:r>
      <w:r>
        <w:rPr>
          <w:rFonts w:ascii="Arial" w:cs="Arial" w:eastAsia="Arial" w:hAnsi="Arial"/>
          <w:sz w:val="20"/>
          <w:szCs w:val="20"/>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00"/>
        <w:spacing w:after="0"/>
        <w:rPr>
          <w:sz w:val="20"/>
          <w:szCs w:val="20"/>
          <w:color w:val="auto"/>
        </w:rPr>
      </w:pPr>
      <w:r>
        <w:rPr>
          <w:rFonts w:ascii="Arial" w:cs="Arial" w:eastAsia="Arial" w:hAnsi="Arial"/>
          <w:sz w:val="28"/>
          <w:szCs w:val="28"/>
          <w:color w:val="00074E"/>
        </w:rPr>
        <w:t>Company Highlights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00" w:type="dxa"/>
            <w:vAlign w:val="bottom"/>
          </w:tcPr>
          <w:p>
            <w:pPr>
              <w:spacing w:after="0"/>
              <w:rPr>
                <w:sz w:val="18"/>
                <w:szCs w:val="18"/>
                <w:color w:val="auto"/>
              </w:rPr>
            </w:pPr>
          </w:p>
        </w:tc>
        <w:tc>
          <w:tcPr>
            <w:tcW w:w="340" w:type="dxa"/>
            <w:vAlign w:val="bottom"/>
            <w:shd w:val="clear" w:color="auto" w:fill="000000"/>
          </w:tcPr>
          <w:p>
            <w:pPr>
              <w:spacing w:after="0"/>
              <w:rPr>
                <w:sz w:val="18"/>
                <w:szCs w:val="18"/>
                <w:color w:val="auto"/>
              </w:rPr>
            </w:pPr>
          </w:p>
        </w:tc>
        <w:tc>
          <w:tcPr>
            <w:tcW w:w="200" w:type="dxa"/>
            <w:vAlign w:val="bottom"/>
            <w:shd w:val="clear" w:color="auto" w:fill="000000"/>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900" w:type="dxa"/>
            <w:vAlign w:val="bottom"/>
            <w:shd w:val="clear" w:color="auto" w:fill="000000"/>
          </w:tcPr>
          <w:p>
            <w:pPr>
              <w:spacing w:after="0"/>
              <w:rPr>
                <w:sz w:val="18"/>
                <w:szCs w:val="18"/>
                <w:color w:val="auto"/>
              </w:rPr>
            </w:pPr>
          </w:p>
        </w:tc>
        <w:tc>
          <w:tcPr>
            <w:tcW w:w="400" w:type="dxa"/>
            <w:vAlign w:val="bottom"/>
            <w:shd w:val="clear" w:color="auto" w:fill="000000"/>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1100" w:type="dxa"/>
            <w:vAlign w:val="bottom"/>
          </w:tcPr>
          <w:p>
            <w:pPr>
              <w:spacing w:after="0"/>
              <w:rPr>
                <w:sz w:val="6"/>
                <w:szCs w:val="6"/>
                <w:color w:val="auto"/>
              </w:rPr>
            </w:pPr>
          </w:p>
        </w:tc>
        <w:tc>
          <w:tcPr>
            <w:tcW w:w="340" w:type="dxa"/>
            <w:vAlign w:val="bottom"/>
            <w:tcBorders>
              <w:bottom w:val="single" w:sz="8" w:color="auto"/>
            </w:tcBorders>
            <w:shd w:val="clear" w:color="auto" w:fill="000000"/>
          </w:tcPr>
          <w:p>
            <w:pPr>
              <w:spacing w:after="0"/>
              <w:rPr>
                <w:sz w:val="6"/>
                <w:szCs w:val="6"/>
                <w:color w:val="auto"/>
              </w:rPr>
            </w:pPr>
          </w:p>
        </w:tc>
        <w:tc>
          <w:tcPr>
            <w:tcW w:w="200" w:type="dxa"/>
            <w:vAlign w:val="bottom"/>
            <w:tcBorders>
              <w:bottom w:val="single" w:sz="8" w:color="auto"/>
            </w:tcBorders>
            <w:shd w:val="clear" w:color="auto" w:fill="000000"/>
          </w:tcPr>
          <w:p>
            <w:pPr>
              <w:spacing w:after="0"/>
              <w:rPr>
                <w:sz w:val="6"/>
                <w:szCs w:val="6"/>
                <w:color w:val="auto"/>
              </w:rPr>
            </w:pPr>
          </w:p>
        </w:tc>
        <w:tc>
          <w:tcPr>
            <w:tcW w:w="100" w:type="dxa"/>
            <w:vAlign w:val="bottom"/>
            <w:tcBorders>
              <w:bottom w:val="single" w:sz="8" w:color="auto"/>
            </w:tcBorders>
            <w:shd w:val="clear" w:color="auto" w:fill="000000"/>
          </w:tcPr>
          <w:p>
            <w:pPr>
              <w:spacing w:after="0"/>
              <w:rPr>
                <w:sz w:val="6"/>
                <w:szCs w:val="6"/>
                <w:color w:val="auto"/>
              </w:rPr>
            </w:pPr>
          </w:p>
        </w:tc>
        <w:tc>
          <w:tcPr>
            <w:tcW w:w="900" w:type="dxa"/>
            <w:vAlign w:val="bottom"/>
            <w:tcBorders>
              <w:bottom w:val="single" w:sz="8" w:color="auto"/>
            </w:tcBorders>
            <w:shd w:val="clear" w:color="auto" w:fill="000000"/>
          </w:tcPr>
          <w:p>
            <w:pPr>
              <w:spacing w:after="0"/>
              <w:rPr>
                <w:sz w:val="6"/>
                <w:szCs w:val="6"/>
                <w:color w:val="auto"/>
              </w:rPr>
            </w:pPr>
          </w:p>
        </w:tc>
        <w:tc>
          <w:tcPr>
            <w:tcW w:w="400" w:type="dxa"/>
            <w:vAlign w:val="bottom"/>
            <w:tcBorders>
              <w:bottom w:val="single" w:sz="8" w:color="auto"/>
            </w:tcBorders>
            <w:shd w:val="clear" w:color="auto" w:fill="000000"/>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2"/>
        </w:trPr>
        <w:tc>
          <w:tcPr>
            <w:tcW w:w="1100" w:type="dxa"/>
            <w:vAlign w:val="bottom"/>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Pr>
          <w:p>
            <w:pPr>
              <w:spacing w:after="0"/>
              <w:rPr>
                <w:sz w:val="20"/>
                <w:szCs w:val="20"/>
                <w:color w:val="auto"/>
              </w:rPr>
            </w:pPr>
          </w:p>
        </w:tc>
        <w:tc>
          <w:tcPr>
            <w:tcW w:w="34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shd w:val="clear" w:color="auto" w:fill="00074E"/>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shd w:val="clear" w:color="auto" w:fill="000000"/>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100" w:type="dxa"/>
            <w:vAlign w:val="bottom"/>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100" w:type="dxa"/>
            <w:vAlign w:val="bottom"/>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4"/>
            <w:vMerge w:val="restart"/>
          </w:tcPr>
          <w:p>
            <w:pPr>
              <w:jc w:val="center"/>
              <w:ind w:left="250"/>
              <w:spacing w:after="0"/>
              <w:rPr>
                <w:sz w:val="20"/>
                <w:szCs w:val="20"/>
                <w:color w:val="auto"/>
              </w:rPr>
            </w:pPr>
            <w:r>
              <w:rPr>
                <w:rFonts w:ascii="Arial" w:cs="Arial" w:eastAsia="Arial" w:hAnsi="Arial"/>
                <w:sz w:val="22"/>
                <w:szCs w:val="22"/>
                <w:color w:val="191919"/>
                <w:w w:val="93"/>
              </w:rPr>
              <w:t xml:space="preserve">Network of </w:t>
            </w:r>
            <w:r>
              <w:rPr>
                <w:rFonts w:ascii="Arial" w:cs="Arial" w:eastAsia="Arial" w:hAnsi="Arial"/>
                <w:sz w:val="48"/>
                <w:szCs w:val="48"/>
                <w:color w:val="191919"/>
                <w:w w:val="93"/>
              </w:rPr>
              <w:t>62</w:t>
            </w: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100" w:type="dxa"/>
            <w:vAlign w:val="bottom"/>
          </w:tcPr>
          <w:p>
            <w:pPr>
              <w:spacing w:after="0"/>
              <w:rPr>
                <w:sz w:val="24"/>
                <w:szCs w:val="24"/>
                <w:color w:val="auto"/>
              </w:rPr>
            </w:pPr>
          </w:p>
        </w:tc>
        <w:tc>
          <w:tcPr>
            <w:tcW w:w="340" w:type="dxa"/>
            <w:vAlign w:val="bottom"/>
            <w:shd w:val="clear" w:color="auto" w:fill="000000"/>
          </w:tcPr>
          <w:p>
            <w:pPr>
              <w:spacing w:after="0"/>
              <w:rPr>
                <w:sz w:val="24"/>
                <w:szCs w:val="24"/>
                <w:color w:val="auto"/>
              </w:rPr>
            </w:pPr>
          </w:p>
        </w:tc>
        <w:tc>
          <w:tcPr>
            <w:tcW w:w="2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gridSpan w:val="3"/>
            <w:vMerge w:val="restart"/>
          </w:tcPr>
          <w:p>
            <w:pPr>
              <w:jc w:val="center"/>
              <w:ind w:right="420"/>
              <w:spacing w:after="0"/>
              <w:rPr>
                <w:sz w:val="20"/>
                <w:szCs w:val="20"/>
                <w:color w:val="auto"/>
              </w:rPr>
            </w:pPr>
            <w:r>
              <w:rPr>
                <w:rFonts w:ascii="Arial" w:cs="Arial" w:eastAsia="Arial" w:hAnsi="Arial"/>
                <w:sz w:val="22"/>
                <w:szCs w:val="22"/>
                <w:color w:val="191919"/>
                <w:w w:val="87"/>
              </w:rPr>
              <w:t xml:space="preserve">Over </w:t>
            </w:r>
            <w:r>
              <w:rPr>
                <w:rFonts w:ascii="Arial" w:cs="Arial" w:eastAsia="Arial" w:hAnsi="Arial"/>
                <w:sz w:val="48"/>
                <w:szCs w:val="48"/>
                <w:color w:val="191919"/>
                <w:w w:val="87"/>
              </w:rPr>
              <w:t>3,000</w:t>
            </w:r>
          </w:p>
        </w:tc>
        <w:tc>
          <w:tcPr>
            <w:tcW w:w="2220" w:type="dxa"/>
            <w:vAlign w:val="bottom"/>
            <w:gridSpan w:val="4"/>
            <w:vMerge w:val="continue"/>
          </w:tcPr>
          <w:p>
            <w:pPr>
              <w:spacing w:after="0"/>
              <w:rPr>
                <w:sz w:val="24"/>
                <w:szCs w:val="24"/>
                <w:color w:val="auto"/>
              </w:rPr>
            </w:pPr>
          </w:p>
        </w:tc>
        <w:tc>
          <w:tcPr>
            <w:tcW w:w="3720" w:type="dxa"/>
            <w:vAlign w:val="bottom"/>
            <w:gridSpan w:val="3"/>
            <w:vMerge w:val="restart"/>
          </w:tcPr>
          <w:p>
            <w:pPr>
              <w:jc w:val="center"/>
              <w:ind w:right="400"/>
              <w:spacing w:after="0"/>
              <w:rPr>
                <w:sz w:val="20"/>
                <w:szCs w:val="20"/>
                <w:color w:val="auto"/>
              </w:rPr>
            </w:pPr>
            <w:r>
              <w:rPr>
                <w:rFonts w:ascii="Arial" w:cs="Arial" w:eastAsia="Arial" w:hAnsi="Arial"/>
                <w:sz w:val="48"/>
                <w:szCs w:val="48"/>
                <w:color w:val="191919"/>
                <w:w w:val="86"/>
              </w:rPr>
              <w:t>~5,000</w:t>
            </w:r>
          </w:p>
        </w:tc>
        <w:tc>
          <w:tcPr>
            <w:tcW w:w="0" w:type="dxa"/>
            <w:vAlign w:val="bottom"/>
          </w:tcPr>
          <w:p>
            <w:pPr>
              <w:spacing w:after="0"/>
              <w:rPr>
                <w:sz w:val="1"/>
                <w:szCs w:val="1"/>
                <w:color w:val="auto"/>
              </w:rPr>
            </w:pPr>
          </w:p>
        </w:tc>
      </w:tr>
      <w:tr>
        <w:trPr>
          <w:trHeight w:val="461"/>
        </w:trPr>
        <w:tc>
          <w:tcPr>
            <w:tcW w:w="1100" w:type="dxa"/>
            <w:vAlign w:val="bottom"/>
          </w:tcPr>
          <w:p>
            <w:pPr>
              <w:spacing w:after="0"/>
              <w:rPr>
                <w:sz w:val="24"/>
                <w:szCs w:val="24"/>
                <w:color w:val="auto"/>
              </w:rPr>
            </w:pPr>
          </w:p>
        </w:tc>
        <w:tc>
          <w:tcPr>
            <w:tcW w:w="1540" w:type="dxa"/>
            <w:vAlign w:val="bottom"/>
            <w:gridSpan w:val="4"/>
          </w:tcPr>
          <w:p>
            <w:pPr>
              <w:jc w:val="center"/>
              <w:ind w:left="235"/>
              <w:spacing w:after="0" w:line="460" w:lineRule="exact"/>
              <w:rPr>
                <w:sz w:val="20"/>
                <w:szCs w:val="20"/>
                <w:color w:val="auto"/>
              </w:rPr>
            </w:pPr>
            <w:r>
              <w:rPr>
                <w:rFonts w:ascii="Arial" w:cs="Arial" w:eastAsia="Arial" w:hAnsi="Arial"/>
                <w:sz w:val="48"/>
                <w:szCs w:val="48"/>
                <w:color w:val="191919"/>
                <w:w w:val="93"/>
              </w:rPr>
              <w:t>90+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gridSpan w:val="3"/>
            <w:vMerge w:val="continue"/>
          </w:tcPr>
          <w:p>
            <w:pPr>
              <w:spacing w:after="0"/>
              <w:rPr>
                <w:sz w:val="24"/>
                <w:szCs w:val="24"/>
                <w:color w:val="auto"/>
              </w:rPr>
            </w:pPr>
          </w:p>
        </w:tc>
        <w:tc>
          <w:tcPr>
            <w:tcW w:w="2220" w:type="dxa"/>
            <w:vAlign w:val="bottom"/>
            <w:gridSpan w:val="4"/>
            <w:vMerge w:val="continue"/>
          </w:tcPr>
          <w:p>
            <w:pPr>
              <w:spacing w:after="0"/>
              <w:rPr>
                <w:sz w:val="24"/>
                <w:szCs w:val="24"/>
                <w:color w:val="auto"/>
              </w:rPr>
            </w:pPr>
          </w:p>
        </w:tc>
        <w:tc>
          <w:tcPr>
            <w:tcW w:w="37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100" w:type="dxa"/>
            <w:vAlign w:val="bottom"/>
          </w:tcPr>
          <w:p>
            <w:pPr>
              <w:spacing w:after="0"/>
              <w:rPr>
                <w:sz w:val="22"/>
                <w:szCs w:val="22"/>
                <w:color w:val="auto"/>
              </w:rPr>
            </w:pPr>
          </w:p>
        </w:tc>
        <w:tc>
          <w:tcPr>
            <w:tcW w:w="2660" w:type="dxa"/>
            <w:vAlign w:val="bottom"/>
            <w:gridSpan w:val="6"/>
          </w:tcPr>
          <w:p>
            <w:pPr>
              <w:jc w:val="center"/>
              <w:ind w:right="760"/>
              <w:spacing w:after="0"/>
              <w:rPr>
                <w:sz w:val="20"/>
                <w:szCs w:val="20"/>
                <w:color w:val="auto"/>
              </w:rPr>
            </w:pPr>
            <w:r>
              <w:rPr>
                <w:rFonts w:ascii="Arial" w:cs="Arial" w:eastAsia="Arial" w:hAnsi="Arial"/>
                <w:sz w:val="20"/>
                <w:szCs w:val="20"/>
                <w:color w:val="191919"/>
                <w:w w:val="96"/>
              </w:rPr>
              <w:t>years of sterilization</w:t>
            </w:r>
          </w:p>
        </w:tc>
        <w:tc>
          <w:tcPr>
            <w:tcW w:w="2180" w:type="dxa"/>
            <w:vAlign w:val="bottom"/>
            <w:gridSpan w:val="3"/>
          </w:tcPr>
          <w:p>
            <w:pPr>
              <w:jc w:val="center"/>
              <w:ind w:right="420"/>
              <w:spacing w:after="0"/>
              <w:rPr>
                <w:sz w:val="20"/>
                <w:szCs w:val="20"/>
                <w:color w:val="auto"/>
              </w:rPr>
            </w:pPr>
            <w:r>
              <w:rPr>
                <w:rFonts w:ascii="Arial" w:cs="Arial" w:eastAsia="Arial" w:hAnsi="Arial"/>
                <w:sz w:val="20"/>
                <w:szCs w:val="20"/>
                <w:color w:val="191919"/>
                <w:w w:val="91"/>
              </w:rPr>
              <w:t>employees across</w:t>
            </w:r>
          </w:p>
        </w:tc>
        <w:tc>
          <w:tcPr>
            <w:tcW w:w="640" w:type="dxa"/>
            <w:vAlign w:val="bottom"/>
          </w:tcPr>
          <w:p>
            <w:pPr>
              <w:spacing w:after="0"/>
              <w:rPr>
                <w:sz w:val="22"/>
                <w:szCs w:val="22"/>
                <w:color w:val="auto"/>
              </w:rPr>
            </w:pPr>
          </w:p>
        </w:tc>
        <w:tc>
          <w:tcPr>
            <w:tcW w:w="1580" w:type="dxa"/>
            <w:vAlign w:val="bottom"/>
            <w:gridSpan w:val="3"/>
          </w:tcPr>
          <w:p>
            <w:pPr>
              <w:jc w:val="center"/>
              <w:ind w:right="280"/>
              <w:spacing w:after="0"/>
              <w:rPr>
                <w:sz w:val="20"/>
                <w:szCs w:val="20"/>
                <w:color w:val="auto"/>
              </w:rPr>
            </w:pPr>
            <w:r>
              <w:rPr>
                <w:rFonts w:ascii="Arial" w:cs="Arial" w:eastAsia="Arial" w:hAnsi="Arial"/>
                <w:sz w:val="20"/>
                <w:szCs w:val="20"/>
                <w:color w:val="191919"/>
                <w:w w:val="96"/>
              </w:rPr>
              <w:t>global facilities</w:t>
            </w:r>
          </w:p>
        </w:tc>
        <w:tc>
          <w:tcPr>
            <w:tcW w:w="3720" w:type="dxa"/>
            <w:vAlign w:val="bottom"/>
            <w:gridSpan w:val="3"/>
          </w:tcPr>
          <w:p>
            <w:pPr>
              <w:jc w:val="center"/>
              <w:ind w:right="400"/>
              <w:spacing w:after="0"/>
              <w:rPr>
                <w:sz w:val="20"/>
                <w:szCs w:val="20"/>
                <w:color w:val="auto"/>
              </w:rPr>
            </w:pPr>
            <w:r>
              <w:rPr>
                <w:rFonts w:ascii="Arial" w:cs="Arial" w:eastAsia="Arial" w:hAnsi="Arial"/>
                <w:sz w:val="22"/>
                <w:szCs w:val="22"/>
                <w:color w:val="191919"/>
                <w:w w:val="94"/>
              </w:rPr>
              <w:t>c</w:t>
            </w:r>
            <w:r>
              <w:rPr>
                <w:rFonts w:ascii="Arial" w:cs="Arial" w:eastAsia="Arial" w:hAnsi="Arial"/>
                <w:sz w:val="20"/>
                <w:szCs w:val="20"/>
                <w:color w:val="191919"/>
                <w:w w:val="94"/>
              </w:rPr>
              <w:t>ustomers in</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2660" w:type="dxa"/>
            <w:vAlign w:val="bottom"/>
            <w:gridSpan w:val="6"/>
          </w:tcPr>
          <w:p>
            <w:pPr>
              <w:jc w:val="center"/>
              <w:ind w:right="740"/>
              <w:spacing w:after="0"/>
              <w:rPr>
                <w:sz w:val="20"/>
                <w:szCs w:val="20"/>
                <w:color w:val="auto"/>
              </w:rPr>
            </w:pPr>
            <w:r>
              <w:rPr>
                <w:rFonts w:ascii="Arial" w:cs="Arial" w:eastAsia="Arial" w:hAnsi="Arial"/>
                <w:sz w:val="20"/>
                <w:szCs w:val="20"/>
                <w:color w:val="191919"/>
                <w:w w:val="91"/>
              </w:rPr>
              <w:t>and lab services</w:t>
            </w:r>
          </w:p>
        </w:tc>
        <w:tc>
          <w:tcPr>
            <w:tcW w:w="200" w:type="dxa"/>
            <w:vAlign w:val="bottom"/>
          </w:tcPr>
          <w:p>
            <w:pPr>
              <w:spacing w:after="0"/>
              <w:rPr>
                <w:sz w:val="23"/>
                <w:szCs w:val="23"/>
                <w:color w:val="auto"/>
              </w:rPr>
            </w:pPr>
          </w:p>
        </w:tc>
        <w:tc>
          <w:tcPr>
            <w:tcW w:w="1980" w:type="dxa"/>
            <w:vAlign w:val="bottom"/>
            <w:gridSpan w:val="2"/>
          </w:tcPr>
          <w:p>
            <w:pPr>
              <w:jc w:val="center"/>
              <w:ind w:right="600"/>
              <w:spacing w:after="0"/>
              <w:rPr>
                <w:sz w:val="20"/>
                <w:szCs w:val="20"/>
                <w:color w:val="auto"/>
              </w:rPr>
            </w:pPr>
            <w:r>
              <w:rPr>
                <w:rFonts w:ascii="Arial" w:cs="Arial" w:eastAsia="Arial" w:hAnsi="Arial"/>
                <w:sz w:val="20"/>
                <w:szCs w:val="20"/>
                <w:color w:val="191919"/>
                <w:w w:val="94"/>
              </w:rPr>
              <w:t>the globe</w:t>
            </w:r>
          </w:p>
        </w:tc>
        <w:tc>
          <w:tcPr>
            <w:tcW w:w="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720" w:type="dxa"/>
            <w:vAlign w:val="bottom"/>
            <w:gridSpan w:val="3"/>
          </w:tcPr>
          <w:p>
            <w:pPr>
              <w:jc w:val="center"/>
              <w:ind w:right="400"/>
              <w:spacing w:after="0"/>
              <w:rPr>
                <w:sz w:val="20"/>
                <w:szCs w:val="20"/>
                <w:color w:val="auto"/>
              </w:rPr>
            </w:pPr>
            <w:r>
              <w:rPr>
                <w:rFonts w:ascii="Arial" w:cs="Arial" w:eastAsia="Arial" w:hAnsi="Arial"/>
                <w:sz w:val="20"/>
                <w:szCs w:val="20"/>
                <w:color w:val="191919"/>
                <w:w w:val="96"/>
              </w:rPr>
              <w:t>50+ countries</w:t>
            </w:r>
          </w:p>
        </w:tc>
        <w:tc>
          <w:tcPr>
            <w:tcW w:w="0" w:type="dxa"/>
            <w:vAlign w:val="bottom"/>
          </w:tcPr>
          <w:p>
            <w:pPr>
              <w:spacing w:after="0"/>
              <w:rPr>
                <w:sz w:val="1"/>
                <w:szCs w:val="1"/>
                <w:color w:val="auto"/>
              </w:rPr>
            </w:pPr>
          </w:p>
        </w:tc>
      </w:tr>
      <w:tr>
        <w:trPr>
          <w:trHeight w:val="881"/>
        </w:trPr>
        <w:tc>
          <w:tcPr>
            <w:tcW w:w="1100" w:type="dxa"/>
            <w:vAlign w:val="bottom"/>
          </w:tcPr>
          <w:p>
            <w:pPr>
              <w:spacing w:after="0"/>
              <w:rPr>
                <w:sz w:val="24"/>
                <w:szCs w:val="24"/>
                <w:color w:val="auto"/>
              </w:rPr>
            </w:pPr>
          </w:p>
        </w:tc>
        <w:tc>
          <w:tcPr>
            <w:tcW w:w="2660" w:type="dxa"/>
            <w:vAlign w:val="bottom"/>
            <w:gridSpan w:val="6"/>
          </w:tcPr>
          <w:p>
            <w:pPr>
              <w:ind w:left="40"/>
              <w:spacing w:after="0"/>
              <w:rPr>
                <w:sz w:val="20"/>
                <w:szCs w:val="20"/>
                <w:color w:val="auto"/>
              </w:rPr>
            </w:pPr>
            <w:r>
              <w:rPr>
                <w:rFonts w:ascii="Arial" w:cs="Arial" w:eastAsia="Arial" w:hAnsi="Arial"/>
                <w:sz w:val="28"/>
                <w:szCs w:val="28"/>
                <w:color w:val="00074E"/>
                <w:w w:val="93"/>
              </w:rPr>
              <w:t>Our Three Businesses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gridSpan w:val="3"/>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1100" w:type="dxa"/>
            <w:vAlign w:val="bottom"/>
            <w:shd w:val="clear" w:color="auto" w:fill="00074E"/>
          </w:tcPr>
          <w:p>
            <w:pPr>
              <w:spacing w:after="0"/>
              <w:rPr>
                <w:sz w:val="24"/>
                <w:szCs w:val="24"/>
                <w:color w:val="auto"/>
              </w:rPr>
            </w:pPr>
          </w:p>
        </w:tc>
        <w:tc>
          <w:tcPr>
            <w:tcW w:w="340" w:type="dxa"/>
            <w:vAlign w:val="bottom"/>
            <w:shd w:val="clear" w:color="auto" w:fill="00074E"/>
          </w:tcPr>
          <w:p>
            <w:pPr>
              <w:spacing w:after="0"/>
              <w:rPr>
                <w:sz w:val="24"/>
                <w:szCs w:val="24"/>
                <w:color w:val="auto"/>
              </w:rPr>
            </w:pPr>
          </w:p>
        </w:tc>
        <w:tc>
          <w:tcPr>
            <w:tcW w:w="200" w:type="dxa"/>
            <w:vAlign w:val="bottom"/>
            <w:shd w:val="clear" w:color="auto" w:fill="00074E"/>
          </w:tcPr>
          <w:p>
            <w:pPr>
              <w:spacing w:after="0"/>
              <w:rPr>
                <w:sz w:val="24"/>
                <w:szCs w:val="24"/>
                <w:color w:val="auto"/>
              </w:rPr>
            </w:pPr>
          </w:p>
        </w:tc>
        <w:tc>
          <w:tcPr>
            <w:tcW w:w="100" w:type="dxa"/>
            <w:vAlign w:val="bottom"/>
            <w:shd w:val="clear" w:color="auto" w:fill="00074E"/>
          </w:tcPr>
          <w:p>
            <w:pPr>
              <w:spacing w:after="0"/>
              <w:rPr>
                <w:sz w:val="24"/>
                <w:szCs w:val="24"/>
                <w:color w:val="auto"/>
              </w:rPr>
            </w:pPr>
          </w:p>
        </w:tc>
        <w:tc>
          <w:tcPr>
            <w:tcW w:w="4200" w:type="dxa"/>
            <w:vAlign w:val="bottom"/>
            <w:gridSpan w:val="6"/>
            <w:shd w:val="clear" w:color="auto" w:fill="00074E"/>
          </w:tcPr>
          <w:p>
            <w:pPr>
              <w:jc w:val="center"/>
              <w:ind w:right="340"/>
              <w:spacing w:after="0"/>
              <w:rPr>
                <w:sz w:val="20"/>
                <w:szCs w:val="20"/>
                <w:color w:val="auto"/>
              </w:rPr>
            </w:pPr>
            <w:r>
              <w:rPr>
                <w:rFonts w:ascii="Arial" w:cs="Arial" w:eastAsia="Arial" w:hAnsi="Arial"/>
                <w:sz w:val="22"/>
                <w:szCs w:val="22"/>
                <w:b w:val="1"/>
                <w:bCs w:val="1"/>
                <w:color w:val="FFFFFF"/>
                <w:w w:val="93"/>
              </w:rPr>
              <w:t>STERILIZATION SERVICES</w:t>
            </w:r>
          </w:p>
        </w:tc>
        <w:tc>
          <w:tcPr>
            <w:tcW w:w="640" w:type="dxa"/>
            <w:vAlign w:val="bottom"/>
            <w:shd w:val="clear" w:color="auto" w:fill="00074E"/>
          </w:tcPr>
          <w:p>
            <w:pPr>
              <w:spacing w:after="0"/>
              <w:rPr>
                <w:sz w:val="24"/>
                <w:szCs w:val="24"/>
                <w:color w:val="auto"/>
              </w:rPr>
            </w:pPr>
          </w:p>
        </w:tc>
        <w:tc>
          <w:tcPr>
            <w:tcW w:w="1000" w:type="dxa"/>
            <w:vAlign w:val="bottom"/>
            <w:shd w:val="clear" w:color="auto" w:fill="00074E"/>
          </w:tcPr>
          <w:p>
            <w:pPr>
              <w:spacing w:after="0"/>
              <w:rPr>
                <w:sz w:val="24"/>
                <w:szCs w:val="24"/>
                <w:color w:val="auto"/>
              </w:rPr>
            </w:pPr>
          </w:p>
        </w:tc>
        <w:tc>
          <w:tcPr>
            <w:tcW w:w="260" w:type="dxa"/>
            <w:vAlign w:val="bottom"/>
            <w:shd w:val="clear" w:color="auto" w:fill="84C524"/>
          </w:tcPr>
          <w:p>
            <w:pPr>
              <w:spacing w:after="0"/>
              <w:rPr>
                <w:sz w:val="24"/>
                <w:szCs w:val="24"/>
                <w:color w:val="auto"/>
              </w:rPr>
            </w:pPr>
          </w:p>
        </w:tc>
        <w:tc>
          <w:tcPr>
            <w:tcW w:w="320" w:type="dxa"/>
            <w:vAlign w:val="bottom"/>
            <w:shd w:val="clear" w:color="auto" w:fill="84C524"/>
          </w:tcPr>
          <w:p>
            <w:pPr>
              <w:spacing w:after="0"/>
              <w:rPr>
                <w:sz w:val="24"/>
                <w:szCs w:val="24"/>
                <w:color w:val="auto"/>
              </w:rPr>
            </w:pPr>
          </w:p>
        </w:tc>
        <w:tc>
          <w:tcPr>
            <w:tcW w:w="3720" w:type="dxa"/>
            <w:vAlign w:val="bottom"/>
            <w:gridSpan w:val="3"/>
            <w:shd w:val="clear" w:color="auto" w:fill="84C524"/>
          </w:tcPr>
          <w:p>
            <w:pPr>
              <w:jc w:val="center"/>
              <w:ind w:right="480"/>
              <w:spacing w:after="0"/>
              <w:rPr>
                <w:sz w:val="20"/>
                <w:szCs w:val="20"/>
                <w:color w:val="auto"/>
              </w:rPr>
            </w:pPr>
            <w:r>
              <w:rPr>
                <w:rFonts w:ascii="Arial" w:cs="Arial" w:eastAsia="Arial" w:hAnsi="Arial"/>
                <w:sz w:val="22"/>
                <w:szCs w:val="22"/>
                <w:b w:val="1"/>
                <w:bCs w:val="1"/>
                <w:color w:val="FFFFFF"/>
                <w:w w:val="91"/>
              </w:rPr>
              <w:t>LAB SERVICES</w:t>
            </w:r>
          </w:p>
        </w:tc>
        <w:tc>
          <w:tcPr>
            <w:tcW w:w="0" w:type="dxa"/>
            <w:vAlign w:val="bottom"/>
          </w:tcPr>
          <w:p>
            <w:pPr>
              <w:spacing w:after="0"/>
              <w:rPr>
                <w:sz w:val="1"/>
                <w:szCs w:val="1"/>
                <w:color w:val="auto"/>
              </w:rPr>
            </w:pPr>
          </w:p>
        </w:tc>
      </w:tr>
      <w:tr>
        <w:trPr>
          <w:trHeight w:val="248"/>
        </w:trPr>
        <w:tc>
          <w:tcPr>
            <w:tcW w:w="1100" w:type="dxa"/>
            <w:vAlign w:val="bottom"/>
            <w:shd w:val="clear" w:color="auto" w:fill="00074E"/>
          </w:tcPr>
          <w:p>
            <w:pPr>
              <w:spacing w:after="0"/>
              <w:rPr>
                <w:sz w:val="21"/>
                <w:szCs w:val="21"/>
                <w:color w:val="auto"/>
              </w:rPr>
            </w:pPr>
          </w:p>
        </w:tc>
        <w:tc>
          <w:tcPr>
            <w:tcW w:w="340" w:type="dxa"/>
            <w:vAlign w:val="bottom"/>
            <w:shd w:val="clear" w:color="auto" w:fill="00074E"/>
          </w:tcPr>
          <w:p>
            <w:pPr>
              <w:spacing w:after="0"/>
              <w:rPr>
                <w:sz w:val="21"/>
                <w:szCs w:val="21"/>
                <w:color w:val="auto"/>
              </w:rPr>
            </w:pPr>
          </w:p>
        </w:tc>
        <w:tc>
          <w:tcPr>
            <w:tcW w:w="200" w:type="dxa"/>
            <w:vAlign w:val="bottom"/>
            <w:shd w:val="clear" w:color="auto" w:fill="00074E"/>
          </w:tcPr>
          <w:p>
            <w:pPr>
              <w:spacing w:after="0"/>
              <w:rPr>
                <w:sz w:val="21"/>
                <w:szCs w:val="21"/>
                <w:color w:val="auto"/>
              </w:rPr>
            </w:pPr>
          </w:p>
        </w:tc>
        <w:tc>
          <w:tcPr>
            <w:tcW w:w="100" w:type="dxa"/>
            <w:vAlign w:val="bottom"/>
            <w:shd w:val="clear" w:color="auto" w:fill="00074E"/>
          </w:tcPr>
          <w:p>
            <w:pPr>
              <w:spacing w:after="0"/>
              <w:rPr>
                <w:sz w:val="21"/>
                <w:szCs w:val="21"/>
                <w:color w:val="auto"/>
              </w:rPr>
            </w:pPr>
          </w:p>
        </w:tc>
        <w:tc>
          <w:tcPr>
            <w:tcW w:w="4200" w:type="dxa"/>
            <w:vAlign w:val="bottom"/>
            <w:gridSpan w:val="6"/>
            <w:shd w:val="clear" w:color="auto" w:fill="00074E"/>
          </w:tcPr>
          <w:p>
            <w:pPr>
              <w:jc w:val="center"/>
              <w:ind w:right="340"/>
              <w:spacing w:after="0"/>
              <w:rPr>
                <w:sz w:val="20"/>
                <w:szCs w:val="20"/>
                <w:color w:val="auto"/>
              </w:rPr>
            </w:pPr>
            <w:r>
              <w:rPr>
                <w:rFonts w:ascii="Arial" w:cs="Arial" w:eastAsia="Arial" w:hAnsi="Arial"/>
                <w:sz w:val="18"/>
                <w:szCs w:val="18"/>
                <w:i w:val="1"/>
                <w:iCs w:val="1"/>
                <w:color w:val="FFFFFF"/>
                <w:w w:val="90"/>
              </w:rPr>
              <w:t>Leader in sterilization services</w:t>
            </w:r>
          </w:p>
        </w:tc>
        <w:tc>
          <w:tcPr>
            <w:tcW w:w="640" w:type="dxa"/>
            <w:vAlign w:val="bottom"/>
            <w:shd w:val="clear" w:color="auto" w:fill="00074E"/>
          </w:tcPr>
          <w:p>
            <w:pPr>
              <w:spacing w:after="0"/>
              <w:rPr>
                <w:sz w:val="21"/>
                <w:szCs w:val="21"/>
                <w:color w:val="auto"/>
              </w:rPr>
            </w:pPr>
          </w:p>
        </w:tc>
        <w:tc>
          <w:tcPr>
            <w:tcW w:w="1000" w:type="dxa"/>
            <w:vAlign w:val="bottom"/>
            <w:shd w:val="clear" w:color="auto" w:fill="00074E"/>
          </w:tcPr>
          <w:p>
            <w:pPr>
              <w:spacing w:after="0"/>
              <w:rPr>
                <w:sz w:val="21"/>
                <w:szCs w:val="21"/>
                <w:color w:val="auto"/>
              </w:rPr>
            </w:pPr>
          </w:p>
        </w:tc>
        <w:tc>
          <w:tcPr>
            <w:tcW w:w="260" w:type="dxa"/>
            <w:vAlign w:val="bottom"/>
            <w:shd w:val="clear" w:color="auto" w:fill="84C524"/>
          </w:tcPr>
          <w:p>
            <w:pPr>
              <w:spacing w:after="0"/>
              <w:rPr>
                <w:sz w:val="21"/>
                <w:szCs w:val="21"/>
                <w:color w:val="auto"/>
              </w:rPr>
            </w:pPr>
          </w:p>
        </w:tc>
        <w:tc>
          <w:tcPr>
            <w:tcW w:w="320" w:type="dxa"/>
            <w:vAlign w:val="bottom"/>
            <w:shd w:val="clear" w:color="auto" w:fill="84C524"/>
          </w:tcPr>
          <w:p>
            <w:pPr>
              <w:spacing w:after="0"/>
              <w:rPr>
                <w:sz w:val="21"/>
                <w:szCs w:val="21"/>
                <w:color w:val="auto"/>
              </w:rPr>
            </w:pPr>
          </w:p>
        </w:tc>
        <w:tc>
          <w:tcPr>
            <w:tcW w:w="3720" w:type="dxa"/>
            <w:vAlign w:val="bottom"/>
            <w:gridSpan w:val="3"/>
            <w:shd w:val="clear" w:color="auto" w:fill="84C524"/>
          </w:tcPr>
          <w:p>
            <w:pPr>
              <w:jc w:val="center"/>
              <w:ind w:right="480"/>
              <w:spacing w:after="0"/>
              <w:rPr>
                <w:sz w:val="20"/>
                <w:szCs w:val="20"/>
                <w:color w:val="auto"/>
              </w:rPr>
            </w:pPr>
            <w:r>
              <w:rPr>
                <w:rFonts w:ascii="Arial" w:cs="Arial" w:eastAsia="Arial" w:hAnsi="Arial"/>
                <w:sz w:val="18"/>
                <w:szCs w:val="18"/>
                <w:i w:val="1"/>
                <w:iCs w:val="1"/>
                <w:color w:val="FFFFFF"/>
                <w:w w:val="89"/>
              </w:rPr>
              <w:t>Leader in lab testing &amp; advisory services</w:t>
            </w:r>
          </w:p>
        </w:tc>
        <w:tc>
          <w:tcPr>
            <w:tcW w:w="0" w:type="dxa"/>
            <w:vAlign w:val="bottom"/>
          </w:tcPr>
          <w:p>
            <w:pPr>
              <w:spacing w:after="0"/>
              <w:rPr>
                <w:sz w:val="1"/>
                <w:szCs w:val="1"/>
                <w:color w:val="auto"/>
              </w:rPr>
            </w:pPr>
          </w:p>
        </w:tc>
      </w:tr>
      <w:tr>
        <w:trPr>
          <w:trHeight w:val="95"/>
        </w:trPr>
        <w:tc>
          <w:tcPr>
            <w:tcW w:w="1100" w:type="dxa"/>
            <w:vAlign w:val="bottom"/>
            <w:shd w:val="clear" w:color="auto" w:fill="00074E"/>
          </w:tcPr>
          <w:p>
            <w:pPr>
              <w:spacing w:after="0"/>
              <w:rPr>
                <w:sz w:val="8"/>
                <w:szCs w:val="8"/>
                <w:color w:val="auto"/>
              </w:rPr>
            </w:pPr>
          </w:p>
        </w:tc>
        <w:tc>
          <w:tcPr>
            <w:tcW w:w="340" w:type="dxa"/>
            <w:vAlign w:val="bottom"/>
            <w:shd w:val="clear" w:color="auto" w:fill="00074E"/>
          </w:tcPr>
          <w:p>
            <w:pPr>
              <w:spacing w:after="0"/>
              <w:rPr>
                <w:sz w:val="8"/>
                <w:szCs w:val="8"/>
                <w:color w:val="auto"/>
              </w:rPr>
            </w:pPr>
          </w:p>
        </w:tc>
        <w:tc>
          <w:tcPr>
            <w:tcW w:w="200" w:type="dxa"/>
            <w:vAlign w:val="bottom"/>
            <w:shd w:val="clear" w:color="auto" w:fill="00074E"/>
          </w:tcPr>
          <w:p>
            <w:pPr>
              <w:spacing w:after="0"/>
              <w:rPr>
                <w:sz w:val="8"/>
                <w:szCs w:val="8"/>
                <w:color w:val="auto"/>
              </w:rPr>
            </w:pPr>
          </w:p>
        </w:tc>
        <w:tc>
          <w:tcPr>
            <w:tcW w:w="100" w:type="dxa"/>
            <w:vAlign w:val="bottom"/>
            <w:shd w:val="clear" w:color="auto" w:fill="00074E"/>
          </w:tcPr>
          <w:p>
            <w:pPr>
              <w:spacing w:after="0"/>
              <w:rPr>
                <w:sz w:val="8"/>
                <w:szCs w:val="8"/>
                <w:color w:val="auto"/>
              </w:rPr>
            </w:pPr>
          </w:p>
        </w:tc>
        <w:tc>
          <w:tcPr>
            <w:tcW w:w="900" w:type="dxa"/>
            <w:vAlign w:val="bottom"/>
            <w:shd w:val="clear" w:color="auto" w:fill="00074E"/>
          </w:tcPr>
          <w:p>
            <w:pPr>
              <w:spacing w:after="0"/>
              <w:rPr>
                <w:sz w:val="8"/>
                <w:szCs w:val="8"/>
                <w:color w:val="auto"/>
              </w:rPr>
            </w:pPr>
          </w:p>
        </w:tc>
        <w:tc>
          <w:tcPr>
            <w:tcW w:w="400" w:type="dxa"/>
            <w:vAlign w:val="bottom"/>
            <w:shd w:val="clear" w:color="auto" w:fill="00074E"/>
          </w:tcPr>
          <w:p>
            <w:pPr>
              <w:spacing w:after="0"/>
              <w:rPr>
                <w:sz w:val="8"/>
                <w:szCs w:val="8"/>
                <w:color w:val="auto"/>
              </w:rPr>
            </w:pPr>
          </w:p>
        </w:tc>
        <w:tc>
          <w:tcPr>
            <w:tcW w:w="720" w:type="dxa"/>
            <w:vAlign w:val="bottom"/>
            <w:shd w:val="clear" w:color="auto" w:fill="00074E"/>
          </w:tcPr>
          <w:p>
            <w:pPr>
              <w:spacing w:after="0"/>
              <w:rPr>
                <w:sz w:val="8"/>
                <w:szCs w:val="8"/>
                <w:color w:val="auto"/>
              </w:rPr>
            </w:pPr>
          </w:p>
        </w:tc>
        <w:tc>
          <w:tcPr>
            <w:tcW w:w="200" w:type="dxa"/>
            <w:vAlign w:val="bottom"/>
            <w:shd w:val="clear" w:color="auto" w:fill="00074E"/>
          </w:tcPr>
          <w:p>
            <w:pPr>
              <w:spacing w:after="0"/>
              <w:rPr>
                <w:sz w:val="8"/>
                <w:szCs w:val="8"/>
                <w:color w:val="auto"/>
              </w:rPr>
            </w:pPr>
          </w:p>
        </w:tc>
        <w:tc>
          <w:tcPr>
            <w:tcW w:w="1380" w:type="dxa"/>
            <w:vAlign w:val="bottom"/>
            <w:shd w:val="clear" w:color="auto" w:fill="00074E"/>
          </w:tcPr>
          <w:p>
            <w:pPr>
              <w:spacing w:after="0"/>
              <w:rPr>
                <w:sz w:val="8"/>
                <w:szCs w:val="8"/>
                <w:color w:val="auto"/>
              </w:rPr>
            </w:pPr>
          </w:p>
        </w:tc>
        <w:tc>
          <w:tcPr>
            <w:tcW w:w="600" w:type="dxa"/>
            <w:vAlign w:val="bottom"/>
            <w:shd w:val="clear" w:color="auto" w:fill="00074E"/>
          </w:tcPr>
          <w:p>
            <w:pPr>
              <w:spacing w:after="0"/>
              <w:rPr>
                <w:sz w:val="8"/>
                <w:szCs w:val="8"/>
                <w:color w:val="auto"/>
              </w:rPr>
            </w:pPr>
          </w:p>
        </w:tc>
        <w:tc>
          <w:tcPr>
            <w:tcW w:w="640" w:type="dxa"/>
            <w:vAlign w:val="bottom"/>
            <w:shd w:val="clear" w:color="auto" w:fill="00074E"/>
          </w:tcPr>
          <w:p>
            <w:pPr>
              <w:spacing w:after="0"/>
              <w:rPr>
                <w:sz w:val="8"/>
                <w:szCs w:val="8"/>
                <w:color w:val="auto"/>
              </w:rPr>
            </w:pPr>
          </w:p>
        </w:tc>
        <w:tc>
          <w:tcPr>
            <w:tcW w:w="1000" w:type="dxa"/>
            <w:vAlign w:val="bottom"/>
            <w:shd w:val="clear" w:color="auto" w:fill="00074E"/>
          </w:tcPr>
          <w:p>
            <w:pPr>
              <w:spacing w:after="0"/>
              <w:rPr>
                <w:sz w:val="8"/>
                <w:szCs w:val="8"/>
                <w:color w:val="auto"/>
              </w:rPr>
            </w:pPr>
          </w:p>
        </w:tc>
        <w:tc>
          <w:tcPr>
            <w:tcW w:w="260" w:type="dxa"/>
            <w:vAlign w:val="bottom"/>
            <w:shd w:val="clear" w:color="auto" w:fill="84C524"/>
          </w:tcPr>
          <w:p>
            <w:pPr>
              <w:spacing w:after="0"/>
              <w:rPr>
                <w:sz w:val="8"/>
                <w:szCs w:val="8"/>
                <w:color w:val="auto"/>
              </w:rPr>
            </w:pPr>
          </w:p>
        </w:tc>
        <w:tc>
          <w:tcPr>
            <w:tcW w:w="320" w:type="dxa"/>
            <w:vAlign w:val="bottom"/>
            <w:shd w:val="clear" w:color="auto" w:fill="84C524"/>
          </w:tcPr>
          <w:p>
            <w:pPr>
              <w:spacing w:after="0"/>
              <w:rPr>
                <w:sz w:val="8"/>
                <w:szCs w:val="8"/>
                <w:color w:val="auto"/>
              </w:rPr>
            </w:pPr>
          </w:p>
        </w:tc>
        <w:tc>
          <w:tcPr>
            <w:tcW w:w="1140" w:type="dxa"/>
            <w:vAlign w:val="bottom"/>
            <w:shd w:val="clear" w:color="auto" w:fill="84C524"/>
          </w:tcPr>
          <w:p>
            <w:pPr>
              <w:spacing w:after="0"/>
              <w:rPr>
                <w:sz w:val="8"/>
                <w:szCs w:val="8"/>
                <w:color w:val="auto"/>
              </w:rPr>
            </w:pPr>
          </w:p>
        </w:tc>
        <w:tc>
          <w:tcPr>
            <w:tcW w:w="1040" w:type="dxa"/>
            <w:vAlign w:val="bottom"/>
            <w:shd w:val="clear" w:color="auto" w:fill="84C524"/>
          </w:tcPr>
          <w:p>
            <w:pPr>
              <w:spacing w:after="0"/>
              <w:rPr>
                <w:sz w:val="8"/>
                <w:szCs w:val="8"/>
                <w:color w:val="auto"/>
              </w:rPr>
            </w:pPr>
          </w:p>
        </w:tc>
        <w:tc>
          <w:tcPr>
            <w:tcW w:w="1540" w:type="dxa"/>
            <w:vAlign w:val="bottom"/>
            <w:shd w:val="clear" w:color="auto" w:fill="84C524"/>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115570</wp:posOffset>
            </wp:positionV>
            <wp:extent cx="6381115" cy="464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1115"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700" w:type="dxa"/>
            <w:vAlign w:val="bottom"/>
            <w:gridSpan w:val="2"/>
            <w:shd w:val="clear" w:color="auto" w:fill="BCBFD0"/>
          </w:tcPr>
          <w:p>
            <w:pPr>
              <w:jc w:val="right"/>
              <w:ind w:right="200"/>
              <w:spacing w:after="0"/>
              <w:rPr>
                <w:sz w:val="20"/>
                <w:szCs w:val="20"/>
                <w:color w:val="auto"/>
              </w:rPr>
            </w:pPr>
            <w:r>
              <w:rPr>
                <w:rFonts w:ascii="Arial" w:cs="Arial" w:eastAsia="Arial" w:hAnsi="Arial"/>
                <w:sz w:val="18"/>
                <w:szCs w:val="18"/>
                <w:color w:val="191919"/>
              </w:rPr>
              <w:t>Comprehensive sterilization services</w:t>
            </w:r>
          </w:p>
        </w:tc>
        <w:tc>
          <w:tcPr>
            <w:tcW w:w="3880" w:type="dxa"/>
            <w:vAlign w:val="bottom"/>
            <w:gridSpan w:val="2"/>
            <w:shd w:val="clear" w:color="auto" w:fill="C4E6EB"/>
          </w:tcPr>
          <w:p>
            <w:pPr>
              <w:jc w:val="center"/>
              <w:spacing w:after="0"/>
              <w:rPr>
                <w:sz w:val="20"/>
                <w:szCs w:val="20"/>
                <w:color w:val="auto"/>
              </w:rPr>
            </w:pPr>
            <w:r>
              <w:rPr>
                <w:rFonts w:ascii="Arial" w:cs="Arial" w:eastAsia="Arial" w:hAnsi="Arial"/>
                <w:sz w:val="18"/>
                <w:szCs w:val="18"/>
                <w:color w:val="191919"/>
                <w:w w:val="92"/>
              </w:rPr>
              <w:t>Gamma technologies</w:t>
            </w:r>
          </w:p>
        </w:tc>
        <w:tc>
          <w:tcPr>
            <w:tcW w:w="4300" w:type="dxa"/>
            <w:vAlign w:val="bottom"/>
            <w:gridSpan w:val="2"/>
            <w:shd w:val="clear" w:color="auto" w:fill="DDF1B8"/>
          </w:tcPr>
          <w:p>
            <w:pPr>
              <w:jc w:val="center"/>
              <w:spacing w:after="0"/>
              <w:rPr>
                <w:sz w:val="20"/>
                <w:szCs w:val="20"/>
                <w:color w:val="auto"/>
              </w:rPr>
            </w:pPr>
            <w:r>
              <w:rPr>
                <w:rFonts w:ascii="Arial" w:cs="Arial" w:eastAsia="Arial" w:hAnsi="Arial"/>
                <w:sz w:val="18"/>
                <w:szCs w:val="18"/>
                <w:color w:val="191919"/>
                <w:w w:val="94"/>
              </w:rPr>
              <w:t>Expert lab testing and advisory services</w:t>
            </w:r>
          </w:p>
        </w:tc>
      </w:tr>
      <w:tr>
        <w:trPr>
          <w:trHeight w:val="70"/>
        </w:trPr>
        <w:tc>
          <w:tcPr>
            <w:tcW w:w="3700" w:type="dxa"/>
            <w:vAlign w:val="bottom"/>
            <w:gridSpan w:val="2"/>
            <w:shd w:val="clear" w:color="auto" w:fill="BCBFD0"/>
          </w:tcPr>
          <w:p>
            <w:pPr>
              <w:spacing w:after="0"/>
              <w:rPr>
                <w:sz w:val="6"/>
                <w:szCs w:val="6"/>
                <w:color w:val="auto"/>
              </w:rPr>
            </w:pPr>
          </w:p>
        </w:tc>
        <w:tc>
          <w:tcPr>
            <w:tcW w:w="3880" w:type="dxa"/>
            <w:vAlign w:val="bottom"/>
            <w:gridSpan w:val="2"/>
            <w:shd w:val="clear" w:color="auto" w:fill="C4E6EB"/>
          </w:tcPr>
          <w:p>
            <w:pPr>
              <w:spacing w:after="0"/>
              <w:rPr>
                <w:sz w:val="6"/>
                <w:szCs w:val="6"/>
                <w:color w:val="auto"/>
              </w:rPr>
            </w:pPr>
          </w:p>
        </w:tc>
        <w:tc>
          <w:tcPr>
            <w:tcW w:w="4300" w:type="dxa"/>
            <w:vAlign w:val="bottom"/>
            <w:gridSpan w:val="2"/>
            <w:shd w:val="clear" w:color="auto" w:fill="DDF1B8"/>
          </w:tcPr>
          <w:p>
            <w:pPr>
              <w:spacing w:after="0"/>
              <w:rPr>
                <w:sz w:val="6"/>
                <w:szCs w:val="6"/>
                <w:color w:val="auto"/>
              </w:rPr>
            </w:pPr>
          </w:p>
        </w:tc>
      </w:tr>
      <w:tr>
        <w:trPr>
          <w:trHeight w:val="397"/>
        </w:trPr>
        <w:tc>
          <w:tcPr>
            <w:tcW w:w="3700" w:type="dxa"/>
            <w:vAlign w:val="bottom"/>
            <w:gridSpan w:val="2"/>
          </w:tcPr>
          <w:p>
            <w:pPr>
              <w:jc w:val="center"/>
              <w:spacing w:after="0"/>
              <w:rPr>
                <w:sz w:val="20"/>
                <w:szCs w:val="20"/>
                <w:color w:val="auto"/>
              </w:rPr>
            </w:pPr>
            <w:r>
              <w:rPr>
                <w:rFonts w:ascii="Arial" w:cs="Arial" w:eastAsia="Arial" w:hAnsi="Arial"/>
                <w:sz w:val="17"/>
                <w:szCs w:val="17"/>
                <w:color w:val="191919"/>
                <w:w w:val="93"/>
              </w:rPr>
              <w:t>Provider of mission-critical and</w:t>
            </w:r>
          </w:p>
        </w:tc>
        <w:tc>
          <w:tcPr>
            <w:tcW w:w="3880" w:type="dxa"/>
            <w:vAlign w:val="bottom"/>
            <w:gridSpan w:val="2"/>
          </w:tcPr>
          <w:p>
            <w:pPr>
              <w:jc w:val="center"/>
              <w:spacing w:after="0"/>
              <w:rPr>
                <w:sz w:val="20"/>
                <w:szCs w:val="20"/>
                <w:color w:val="auto"/>
              </w:rPr>
            </w:pPr>
            <w:r>
              <w:rPr>
                <w:rFonts w:ascii="Arial" w:cs="Arial" w:eastAsia="Arial" w:hAnsi="Arial"/>
                <w:sz w:val="17"/>
                <w:szCs w:val="17"/>
                <w:color w:val="191919"/>
                <w:w w:val="90"/>
              </w:rPr>
              <w:t>Global leader in supply of Cobalt-60,</w:t>
            </w:r>
          </w:p>
        </w:tc>
        <w:tc>
          <w:tcPr>
            <w:tcW w:w="4300" w:type="dxa"/>
            <w:vAlign w:val="bottom"/>
            <w:gridSpan w:val="2"/>
          </w:tcPr>
          <w:p>
            <w:pPr>
              <w:jc w:val="center"/>
              <w:spacing w:after="0"/>
              <w:rPr>
                <w:sz w:val="20"/>
                <w:szCs w:val="20"/>
                <w:color w:val="auto"/>
              </w:rPr>
            </w:pPr>
            <w:r>
              <w:rPr>
                <w:rFonts w:ascii="Arial" w:cs="Arial" w:eastAsia="Arial" w:hAnsi="Arial"/>
                <w:sz w:val="17"/>
                <w:szCs w:val="17"/>
                <w:color w:val="191919"/>
                <w:w w:val="93"/>
              </w:rPr>
              <w:t>Provider of mission-critical medical</w:t>
            </w:r>
          </w:p>
        </w:tc>
      </w:tr>
      <w:tr>
        <w:trPr>
          <w:trHeight w:val="220"/>
        </w:trPr>
        <w:tc>
          <w:tcPr>
            <w:tcW w:w="3700" w:type="dxa"/>
            <w:vAlign w:val="bottom"/>
            <w:gridSpan w:val="2"/>
          </w:tcPr>
          <w:p>
            <w:pPr>
              <w:jc w:val="center"/>
              <w:spacing w:after="0"/>
              <w:rPr>
                <w:sz w:val="20"/>
                <w:szCs w:val="20"/>
                <w:color w:val="auto"/>
              </w:rPr>
            </w:pPr>
            <w:r>
              <w:rPr>
                <w:rFonts w:ascii="Arial" w:cs="Arial" w:eastAsia="Arial" w:hAnsi="Arial"/>
                <w:sz w:val="17"/>
                <w:szCs w:val="17"/>
                <w:color w:val="191919"/>
                <w:w w:val="95"/>
              </w:rPr>
              <w:t>often government-mandated</w:t>
            </w:r>
          </w:p>
        </w:tc>
        <w:tc>
          <w:tcPr>
            <w:tcW w:w="3880" w:type="dxa"/>
            <w:vAlign w:val="bottom"/>
            <w:gridSpan w:val="2"/>
          </w:tcPr>
          <w:p>
            <w:pPr>
              <w:jc w:val="center"/>
              <w:spacing w:after="0"/>
              <w:rPr>
                <w:sz w:val="20"/>
                <w:szCs w:val="20"/>
                <w:color w:val="auto"/>
              </w:rPr>
            </w:pPr>
            <w:r>
              <w:rPr>
                <w:rFonts w:ascii="Arial" w:cs="Arial" w:eastAsia="Arial" w:hAnsi="Arial"/>
                <w:sz w:val="17"/>
                <w:szCs w:val="17"/>
                <w:color w:val="191919"/>
                <w:w w:val="94"/>
              </w:rPr>
              <w:t>the key input for gamma sterilization</w:t>
            </w:r>
          </w:p>
        </w:tc>
        <w:tc>
          <w:tcPr>
            <w:tcW w:w="4300" w:type="dxa"/>
            <w:vAlign w:val="bottom"/>
            <w:gridSpan w:val="2"/>
          </w:tcPr>
          <w:p>
            <w:pPr>
              <w:jc w:val="center"/>
              <w:spacing w:after="0"/>
              <w:rPr>
                <w:sz w:val="20"/>
                <w:szCs w:val="20"/>
                <w:color w:val="auto"/>
              </w:rPr>
            </w:pPr>
            <w:r>
              <w:rPr>
                <w:rFonts w:ascii="Arial" w:cs="Arial" w:eastAsia="Arial" w:hAnsi="Arial"/>
                <w:sz w:val="17"/>
                <w:szCs w:val="17"/>
                <w:color w:val="191919"/>
                <w:w w:val="92"/>
              </w:rPr>
              <w:t>device and pharmaceutical lab testing</w:t>
            </w:r>
          </w:p>
        </w:tc>
      </w:tr>
      <w:tr>
        <w:trPr>
          <w:trHeight w:val="222"/>
        </w:trPr>
        <w:tc>
          <w:tcPr>
            <w:tcW w:w="3700" w:type="dxa"/>
            <w:vAlign w:val="bottom"/>
            <w:gridSpan w:val="2"/>
          </w:tcPr>
          <w:p>
            <w:pPr>
              <w:jc w:val="center"/>
              <w:spacing w:after="0"/>
              <w:rPr>
                <w:sz w:val="20"/>
                <w:szCs w:val="20"/>
                <w:color w:val="auto"/>
              </w:rPr>
            </w:pPr>
            <w:r>
              <w:rPr>
                <w:rFonts w:ascii="Arial" w:cs="Arial" w:eastAsia="Arial" w:hAnsi="Arial"/>
                <w:sz w:val="17"/>
                <w:szCs w:val="17"/>
                <w:color w:val="191919"/>
                <w:w w:val="92"/>
              </w:rPr>
              <w:t>sterilization services</w:t>
            </w:r>
          </w:p>
        </w:tc>
        <w:tc>
          <w:tcPr>
            <w:tcW w:w="18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300" w:type="dxa"/>
            <w:vAlign w:val="bottom"/>
            <w:gridSpan w:val="2"/>
          </w:tcPr>
          <w:p>
            <w:pPr>
              <w:jc w:val="center"/>
              <w:spacing w:after="0"/>
              <w:rPr>
                <w:sz w:val="20"/>
                <w:szCs w:val="20"/>
                <w:color w:val="auto"/>
              </w:rPr>
            </w:pPr>
            <w:r>
              <w:rPr>
                <w:rFonts w:ascii="Arial" w:cs="Arial" w:eastAsia="Arial" w:hAnsi="Arial"/>
                <w:sz w:val="17"/>
                <w:szCs w:val="17"/>
                <w:color w:val="191919"/>
                <w:w w:val="90"/>
              </w:rPr>
              <w:t>and advisory services</w:t>
            </w:r>
          </w:p>
        </w:tc>
      </w:tr>
      <w:tr>
        <w:trPr>
          <w:trHeight w:val="616"/>
        </w:trPr>
        <w:tc>
          <w:tcPr>
            <w:tcW w:w="1620" w:type="dxa"/>
            <w:vAlign w:val="bottom"/>
          </w:tcPr>
          <w:p>
            <w:pPr>
              <w:jc w:val="right"/>
              <w:ind w:right="163"/>
              <w:spacing w:after="0"/>
              <w:rPr>
                <w:sz w:val="20"/>
                <w:szCs w:val="20"/>
                <w:color w:val="auto"/>
              </w:rPr>
            </w:pPr>
            <w:r>
              <w:rPr>
                <w:rFonts w:ascii="Arial" w:cs="Arial" w:eastAsia="Arial" w:hAnsi="Arial"/>
                <w:sz w:val="48"/>
                <w:szCs w:val="48"/>
                <w:color w:val="00074E"/>
              </w:rPr>
              <w:t>48</w:t>
            </w:r>
          </w:p>
        </w:tc>
        <w:tc>
          <w:tcPr>
            <w:tcW w:w="2080" w:type="dxa"/>
            <w:vAlign w:val="bottom"/>
          </w:tcPr>
          <w:p>
            <w:pPr>
              <w:jc w:val="right"/>
              <w:ind w:right="220"/>
              <w:spacing w:after="0"/>
              <w:rPr>
                <w:sz w:val="20"/>
                <w:szCs w:val="20"/>
                <w:color w:val="auto"/>
              </w:rPr>
            </w:pPr>
            <w:r>
              <w:rPr>
                <w:rFonts w:ascii="Arial" w:cs="Arial" w:eastAsia="Arial" w:hAnsi="Arial"/>
                <w:sz w:val="48"/>
                <w:szCs w:val="48"/>
                <w:color w:val="00074E"/>
              </w:rPr>
              <w:t>2,000+</w:t>
            </w:r>
          </w:p>
        </w:tc>
        <w:tc>
          <w:tcPr>
            <w:tcW w:w="1880" w:type="dxa"/>
            <w:vAlign w:val="bottom"/>
          </w:tcPr>
          <w:p>
            <w:pPr>
              <w:jc w:val="right"/>
              <w:ind w:right="295"/>
              <w:spacing w:after="0"/>
              <w:rPr>
                <w:sz w:val="20"/>
                <w:szCs w:val="20"/>
                <w:color w:val="auto"/>
              </w:rPr>
            </w:pPr>
            <w:r>
              <w:rPr>
                <w:rFonts w:ascii="Arial" w:cs="Arial" w:eastAsia="Arial" w:hAnsi="Arial"/>
                <w:sz w:val="48"/>
                <w:szCs w:val="48"/>
                <w:color w:val="2EA7BF"/>
              </w:rPr>
              <w:t>2</w:t>
            </w:r>
          </w:p>
        </w:tc>
        <w:tc>
          <w:tcPr>
            <w:tcW w:w="2000" w:type="dxa"/>
            <w:vAlign w:val="bottom"/>
          </w:tcPr>
          <w:p>
            <w:pPr>
              <w:jc w:val="right"/>
              <w:ind w:right="580"/>
              <w:spacing w:after="0"/>
              <w:rPr>
                <w:sz w:val="20"/>
                <w:szCs w:val="20"/>
                <w:color w:val="auto"/>
              </w:rPr>
            </w:pPr>
            <w:r>
              <w:rPr>
                <w:rFonts w:ascii="Arial" w:cs="Arial" w:eastAsia="Arial" w:hAnsi="Arial"/>
                <w:sz w:val="48"/>
                <w:szCs w:val="48"/>
                <w:color w:val="2EA7BF"/>
              </w:rPr>
              <w:t>~40</w:t>
            </w:r>
          </w:p>
        </w:tc>
        <w:tc>
          <w:tcPr>
            <w:tcW w:w="1840" w:type="dxa"/>
            <w:vAlign w:val="bottom"/>
          </w:tcPr>
          <w:p>
            <w:pPr>
              <w:jc w:val="right"/>
              <w:ind w:right="243"/>
              <w:spacing w:after="0"/>
              <w:rPr>
                <w:sz w:val="20"/>
                <w:szCs w:val="20"/>
                <w:color w:val="auto"/>
              </w:rPr>
            </w:pPr>
            <w:r>
              <w:rPr>
                <w:rFonts w:ascii="Arial" w:cs="Arial" w:eastAsia="Arial" w:hAnsi="Arial"/>
                <w:sz w:val="48"/>
                <w:szCs w:val="48"/>
                <w:color w:val="84C524"/>
              </w:rPr>
              <w:t>12</w:t>
            </w:r>
          </w:p>
        </w:tc>
        <w:tc>
          <w:tcPr>
            <w:tcW w:w="2460" w:type="dxa"/>
            <w:vAlign w:val="bottom"/>
          </w:tcPr>
          <w:p>
            <w:pPr>
              <w:jc w:val="right"/>
              <w:ind w:right="580"/>
              <w:spacing w:after="0"/>
              <w:rPr>
                <w:sz w:val="20"/>
                <w:szCs w:val="20"/>
                <w:color w:val="auto"/>
              </w:rPr>
            </w:pPr>
            <w:r>
              <w:rPr>
                <w:rFonts w:ascii="Arial" w:cs="Arial" w:eastAsia="Arial" w:hAnsi="Arial"/>
                <w:sz w:val="48"/>
                <w:szCs w:val="48"/>
                <w:color w:val="84C524"/>
              </w:rPr>
              <w:t>~3,000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-941705</wp:posOffset>
            </wp:positionV>
            <wp:extent cx="7543800" cy="1985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1985645"/>
                    </a:xfrm>
                    <a:prstGeom prst="rect">
                      <a:avLst/>
                    </a:prstGeom>
                    <a:noFill/>
                  </pic:spPr>
                </pic:pic>
              </a:graphicData>
            </a:graphic>
          </wp:anchor>
        </w:drawing>
      </w:r>
    </w:p>
    <w:p>
      <w:pPr>
        <w:sectPr>
          <w:pgSz w:w="11880" w:h="15480" w:orient="portrait"/>
          <w:cols w:equalWidth="0" w:num="1">
            <w:col w:w="11880"/>
          </w:cols>
          <w:pgMar w:left="0" w:top="676" w:right="0" w:bottom="883" w:gutter="0" w:footer="0" w:header="0"/>
        </w:sectPr>
      </w:pPr>
    </w:p>
    <w:p>
      <w:pPr>
        <w:ind w:left="760"/>
        <w:spacing w:after="0"/>
        <w:tabs>
          <w:tab w:leader="none" w:pos="2200" w:val="left"/>
          <w:tab w:leader="none" w:pos="4720" w:val="left"/>
          <w:tab w:leader="none" w:pos="6000" w:val="left"/>
          <w:tab w:leader="none" w:pos="8540" w:val="left"/>
          <w:tab w:leader="none" w:pos="10040" w:val="left"/>
        </w:tabs>
        <w:rPr>
          <w:sz w:val="20"/>
          <w:szCs w:val="20"/>
          <w:color w:val="auto"/>
        </w:rPr>
      </w:pPr>
      <w:r>
        <w:rPr>
          <w:rFonts w:ascii="Arial" w:cs="Arial" w:eastAsia="Arial" w:hAnsi="Arial"/>
          <w:sz w:val="17"/>
          <w:szCs w:val="17"/>
          <w:color w:val="191919"/>
        </w:rPr>
        <w:t>locations</w:t>
      </w:r>
      <w:r>
        <w:rPr>
          <w:sz w:val="20"/>
          <w:szCs w:val="20"/>
          <w:color w:val="auto"/>
        </w:rPr>
        <w:tab/>
      </w:r>
      <w:r>
        <w:rPr>
          <w:rFonts w:ascii="Arial" w:cs="Arial" w:eastAsia="Arial" w:hAnsi="Arial"/>
          <w:sz w:val="17"/>
          <w:szCs w:val="17"/>
          <w:color w:val="191919"/>
        </w:rPr>
        <w:t>customers</w:t>
      </w:r>
      <w:r>
        <w:rPr>
          <w:sz w:val="20"/>
          <w:szCs w:val="20"/>
          <w:color w:val="auto"/>
        </w:rPr>
        <w:tab/>
      </w:r>
      <w:r>
        <w:rPr>
          <w:rFonts w:ascii="Arial" w:cs="Arial" w:eastAsia="Arial" w:hAnsi="Arial"/>
          <w:sz w:val="17"/>
          <w:szCs w:val="17"/>
          <w:color w:val="191919"/>
        </w:rPr>
        <w:t>locations</w:t>
      </w:r>
      <w:r>
        <w:rPr>
          <w:sz w:val="20"/>
          <w:szCs w:val="20"/>
          <w:color w:val="auto"/>
        </w:rPr>
        <w:tab/>
      </w:r>
      <w:r>
        <w:rPr>
          <w:rFonts w:ascii="Arial" w:cs="Arial" w:eastAsia="Arial" w:hAnsi="Arial"/>
          <w:sz w:val="17"/>
          <w:szCs w:val="17"/>
          <w:color w:val="191919"/>
        </w:rPr>
        <w:t>customers</w:t>
      </w:r>
      <w:r>
        <w:rPr>
          <w:sz w:val="20"/>
          <w:szCs w:val="20"/>
          <w:color w:val="auto"/>
        </w:rPr>
        <w:tab/>
      </w:r>
      <w:r>
        <w:rPr>
          <w:rFonts w:ascii="Arial" w:cs="Arial" w:eastAsia="Arial" w:hAnsi="Arial"/>
          <w:sz w:val="17"/>
          <w:szCs w:val="17"/>
          <w:color w:val="191919"/>
        </w:rPr>
        <w:t>locations</w:t>
      </w:r>
      <w:r>
        <w:rPr>
          <w:sz w:val="20"/>
          <w:szCs w:val="20"/>
          <w:color w:val="auto"/>
        </w:rPr>
        <w:tab/>
      </w:r>
      <w:r>
        <w:rPr>
          <w:rFonts w:ascii="Arial" w:cs="Arial" w:eastAsia="Arial" w:hAnsi="Arial"/>
          <w:sz w:val="15"/>
          <w:szCs w:val="15"/>
          <w:color w:val="191919"/>
        </w:rPr>
        <w:t>customers</w:t>
      </w:r>
    </w:p>
    <w:p>
      <w:pPr>
        <w:sectPr>
          <w:pgSz w:w="11880" w:h="15480" w:orient="portrait"/>
          <w:cols w:equalWidth="0" w:num="1">
            <w:col w:w="11880"/>
          </w:cols>
          <w:pgMar w:left="0" w:top="676" w:right="0" w:bottom="883"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0"/>
          <w:szCs w:val="40"/>
          <w:color w:val="FFFFFF"/>
        </w:rPr>
        <w:t>Living Our Mission Every Day</w:t>
      </w:r>
    </w:p>
    <w:p>
      <w:pPr>
        <w:spacing w:after="0" w:line="150" w:lineRule="exact"/>
        <w:rPr>
          <w:sz w:val="20"/>
          <w:szCs w:val="20"/>
          <w:color w:val="auto"/>
        </w:rPr>
      </w:pPr>
    </w:p>
    <w:p>
      <w:pPr>
        <w:ind w:right="880"/>
        <w:spacing w:after="0" w:line="334" w:lineRule="auto"/>
        <w:rPr>
          <w:sz w:val="20"/>
          <w:szCs w:val="20"/>
          <w:color w:val="auto"/>
        </w:rPr>
      </w:pPr>
      <w:r>
        <w:rPr>
          <w:rFonts w:ascii="Arial" w:cs="Arial" w:eastAsia="Arial" w:hAnsi="Arial"/>
          <w:sz w:val="18"/>
          <w:szCs w:val="18"/>
          <w:color w:val="FFFFFF"/>
        </w:rPr>
        <w:t>At Sotera Health, we are steadfast in our commitment to our mission, Safeguarding Global Health</w:t>
      </w:r>
      <w:r>
        <w:rPr>
          <w:rFonts w:ascii="Arial" w:cs="Arial" w:eastAsia="Arial" w:hAnsi="Arial"/>
          <w:sz w:val="10"/>
          <w:szCs w:val="10"/>
          <w:color w:val="FFFFFF"/>
        </w:rPr>
        <w:t>®</w:t>
      </w:r>
      <w:r>
        <w:rPr>
          <w:rFonts w:ascii="Arial" w:cs="Arial" w:eastAsia="Arial" w:hAnsi="Arial"/>
          <w:sz w:val="18"/>
          <w:szCs w:val="18"/>
          <w:color w:val="FFFFFF"/>
        </w:rPr>
        <w:t>. Our work helps to ensure the safety of millions of patients and healthcare workers around the globe, as well as the communities in which we operate and our 3,000+ global team members. While our high-quality testing, safe and reliable sterilization services and Cobalt-60 supply expertise enable the safety of the global healthcare industry, it is our team’s commitment to living our mission every day that makes an extraordinary difference.</w:t>
      </w:r>
    </w:p>
    <w:p>
      <w:pPr>
        <w:sectPr>
          <w:pgSz w:w="11880" w:h="15480" w:orient="portrait"/>
          <w:cols w:equalWidth="0" w:num="1">
            <w:col w:w="10080"/>
          </w:cols>
          <w:pgMar w:left="1260" w:top="144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8"/>
          <w:szCs w:val="28"/>
          <w:color w:val="00074E"/>
        </w:rPr>
        <w:t>Our Values</w:t>
      </w:r>
    </w:p>
    <w:p>
      <w:pPr>
        <w:spacing w:after="0" w:line="200" w:lineRule="exact"/>
        <w:rPr>
          <w:sz w:val="20"/>
          <w:szCs w:val="20"/>
          <w:color w:val="auto"/>
        </w:rPr>
      </w:pPr>
    </w:p>
    <w:p>
      <w:pPr>
        <w:spacing w:after="0" w:line="337"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00074E"/>
        </w:rPr>
        <w:t>SAFET Y</w:t>
      </w:r>
    </w:p>
    <w:p>
      <w:pPr>
        <w:spacing w:after="0" w:line="72" w:lineRule="exact"/>
        <w:rPr>
          <w:sz w:val="20"/>
          <w:szCs w:val="20"/>
          <w:color w:val="auto"/>
        </w:rPr>
      </w:pPr>
    </w:p>
    <w:p>
      <w:pPr>
        <w:ind w:left="920" w:right="780"/>
        <w:spacing w:after="0" w:line="358" w:lineRule="auto"/>
        <w:rPr>
          <w:sz w:val="20"/>
          <w:szCs w:val="20"/>
          <w:color w:val="auto"/>
        </w:rPr>
      </w:pPr>
      <w:r>
        <w:rPr>
          <w:rFonts w:ascii="Arial" w:cs="Arial" w:eastAsia="Arial" w:hAnsi="Arial"/>
          <w:sz w:val="18"/>
          <w:szCs w:val="18"/>
          <w:color w:val="191919"/>
        </w:rPr>
        <w:t>We are uncompromising in our commitment to health and well-being.</w:t>
      </w:r>
    </w:p>
    <w:p>
      <w:pPr>
        <w:spacing w:after="0" w:line="269"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00074E"/>
        </w:rPr>
        <w:t>CUSTOMER FOCUS</w:t>
      </w:r>
    </w:p>
    <w:p>
      <w:pPr>
        <w:spacing w:after="0" w:line="72" w:lineRule="exact"/>
        <w:rPr>
          <w:sz w:val="20"/>
          <w:szCs w:val="20"/>
          <w:color w:val="auto"/>
        </w:rPr>
      </w:pPr>
    </w:p>
    <w:p>
      <w:pPr>
        <w:ind w:left="920" w:right="860"/>
        <w:spacing w:after="0" w:line="358" w:lineRule="auto"/>
        <w:rPr>
          <w:sz w:val="20"/>
          <w:szCs w:val="20"/>
          <w:color w:val="auto"/>
        </w:rPr>
      </w:pPr>
      <w:r>
        <w:rPr>
          <w:rFonts w:ascii="Arial" w:cs="Arial" w:eastAsia="Arial" w:hAnsi="Arial"/>
          <w:sz w:val="18"/>
          <w:szCs w:val="18"/>
          <w:color w:val="191919"/>
        </w:rPr>
        <w:t>We are driven to fulfill our customers’ needs with the highest quality and care.</w:t>
      </w:r>
    </w:p>
    <w:p>
      <w:pPr>
        <w:spacing w:after="0" w:line="269"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00074E"/>
        </w:rPr>
        <w:t>PEOPLE</w:t>
      </w:r>
    </w:p>
    <w:p>
      <w:pPr>
        <w:spacing w:after="0" w:line="72" w:lineRule="exact"/>
        <w:rPr>
          <w:sz w:val="20"/>
          <w:szCs w:val="20"/>
          <w:color w:val="auto"/>
        </w:rPr>
      </w:pPr>
    </w:p>
    <w:p>
      <w:pPr>
        <w:ind w:left="920" w:right="720"/>
        <w:spacing w:after="0" w:line="433" w:lineRule="auto"/>
        <w:rPr>
          <w:sz w:val="20"/>
          <w:szCs w:val="20"/>
          <w:color w:val="auto"/>
        </w:rPr>
      </w:pPr>
      <w:r>
        <w:rPr>
          <w:rFonts w:ascii="Arial" w:cs="Arial" w:eastAsia="Arial" w:hAnsi="Arial"/>
          <w:sz w:val="16"/>
          <w:szCs w:val="16"/>
          <w:color w:val="191919"/>
        </w:rPr>
        <w:t>We value our people who are part of a global team that is diverse, respectful, passionate and collaborative.</w:t>
      </w:r>
    </w:p>
    <w:p>
      <w:pPr>
        <w:spacing w:after="0" w:line="222"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00074E"/>
        </w:rPr>
        <w:t>INTEGRITY</w:t>
      </w:r>
    </w:p>
    <w:p>
      <w:pPr>
        <w:spacing w:after="0" w:line="72" w:lineRule="exact"/>
        <w:rPr>
          <w:sz w:val="20"/>
          <w:szCs w:val="20"/>
          <w:color w:val="auto"/>
        </w:rPr>
      </w:pPr>
    </w:p>
    <w:p>
      <w:pPr>
        <w:ind w:left="920" w:right="820"/>
        <w:spacing w:after="0" w:line="358" w:lineRule="auto"/>
        <w:rPr>
          <w:sz w:val="20"/>
          <w:szCs w:val="20"/>
          <w:color w:val="auto"/>
        </w:rPr>
      </w:pPr>
      <w:r>
        <w:rPr>
          <w:rFonts w:ascii="Arial" w:cs="Arial" w:eastAsia="Arial" w:hAnsi="Arial"/>
          <w:sz w:val="18"/>
          <w:szCs w:val="18"/>
          <w:color w:val="191919"/>
        </w:rPr>
        <w:t>We are honest, reliable and accountable in everything we do.</w:t>
      </w:r>
    </w:p>
    <w:p>
      <w:pPr>
        <w:spacing w:after="0" w:line="269"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00074E"/>
        </w:rPr>
        <w:t>EXCELLENCE</w:t>
      </w:r>
    </w:p>
    <w:p>
      <w:pPr>
        <w:spacing w:after="0" w:line="72" w:lineRule="exact"/>
        <w:rPr>
          <w:sz w:val="20"/>
          <w:szCs w:val="20"/>
          <w:color w:val="auto"/>
        </w:rPr>
      </w:pPr>
    </w:p>
    <w:p>
      <w:pPr>
        <w:ind w:left="920" w:right="720"/>
        <w:spacing w:after="0" w:line="433" w:lineRule="auto"/>
        <w:rPr>
          <w:sz w:val="20"/>
          <w:szCs w:val="20"/>
          <w:color w:val="auto"/>
        </w:rPr>
      </w:pPr>
      <w:r>
        <w:rPr>
          <w:rFonts w:ascii="Arial" w:cs="Arial" w:eastAsia="Arial" w:hAnsi="Arial"/>
          <w:sz w:val="16"/>
          <w:szCs w:val="16"/>
          <w:color w:val="191919"/>
        </w:rPr>
        <w:t>We exceed the expectations of our stakeholders and continue to improve and innovate in everything we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980"/>
        <w:spacing w:after="0" w:line="392" w:lineRule="auto"/>
        <w:rPr>
          <w:sz w:val="20"/>
          <w:szCs w:val="20"/>
          <w:color w:val="auto"/>
        </w:rPr>
      </w:pPr>
      <w:r>
        <w:rPr>
          <w:rFonts w:ascii="Arial" w:cs="Arial" w:eastAsia="Arial" w:hAnsi="Arial"/>
          <w:sz w:val="18"/>
          <w:szCs w:val="18"/>
          <w:b w:val="1"/>
          <w:bCs w:val="1"/>
          <w:color w:val="191919"/>
        </w:rPr>
        <w:t>Alignment with UN Sustainable Development Goals</w:t>
      </w:r>
    </w:p>
    <w:p>
      <w:pPr>
        <w:spacing w:after="0" w:line="87" w:lineRule="exact"/>
        <w:rPr>
          <w:sz w:val="20"/>
          <w:szCs w:val="20"/>
          <w:color w:val="auto"/>
        </w:rPr>
      </w:pPr>
    </w:p>
    <w:p>
      <w:pPr>
        <w:spacing w:after="0"/>
        <w:rPr>
          <w:sz w:val="20"/>
          <w:szCs w:val="20"/>
          <w:color w:val="auto"/>
        </w:rPr>
      </w:pPr>
      <w:r>
        <w:rPr>
          <w:sz w:val="1"/>
          <w:szCs w:val="1"/>
          <w:color w:val="auto"/>
        </w:rPr>
        <w:drawing>
          <wp:inline distT="0" distB="0" distL="0" distR="0">
            <wp:extent cx="562610" cy="426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610" cy="426720"/>
                    </a:xfrm>
                    <a:prstGeom prst="rect">
                      <a:avLst/>
                    </a:prstGeom>
                    <a:noFill/>
                    <a:ln>
                      <a:noFill/>
                    </a:ln>
                  </pic:spPr>
                </pic:pic>
              </a:graphicData>
            </a:graphic>
          </wp:inline>
        </w:drawing>
      </w:r>
      <w:r>
        <w:rPr>
          <w:rFonts w:ascii="Arial" w:cs="Arial" w:eastAsia="Arial" w:hAnsi="Arial"/>
          <w:sz w:val="18"/>
          <w:szCs w:val="18"/>
          <w:color w:val="191919"/>
        </w:rPr>
        <w:t xml:space="preserve">   Good </w:t>
      </w:r>
      <w:r>
        <w:rPr>
          <w:rFonts w:ascii="Arial" w:cs="Arial" w:eastAsia="Arial" w:hAnsi="Arial"/>
          <w:sz w:val="38"/>
          <w:szCs w:val="38"/>
          <w:color w:val="191919"/>
        </w:rPr>
        <w:t>HEALTH</w:t>
      </w:r>
    </w:p>
    <w:p>
      <w:pPr>
        <w:ind w:left="1120"/>
        <w:spacing w:after="0"/>
        <w:rPr>
          <w:sz w:val="20"/>
          <w:szCs w:val="20"/>
          <w:color w:val="auto"/>
        </w:rPr>
      </w:pPr>
      <w:r>
        <w:rPr>
          <w:rFonts w:ascii="Arial" w:cs="Arial" w:eastAsia="Arial" w:hAnsi="Arial"/>
          <w:sz w:val="20"/>
          <w:szCs w:val="20"/>
          <w:color w:val="191919"/>
        </w:rPr>
        <w:t>and well-being</w:t>
      </w:r>
    </w:p>
    <w:p>
      <w:pPr>
        <w:spacing w:after="0" w:line="200" w:lineRule="exact"/>
        <w:rPr>
          <w:sz w:val="20"/>
          <w:szCs w:val="20"/>
          <w:color w:val="auto"/>
        </w:rPr>
      </w:pPr>
    </w:p>
    <w:p>
      <w:pPr>
        <w:spacing w:after="0" w:line="305" w:lineRule="exact"/>
        <w:rPr>
          <w:sz w:val="20"/>
          <w:szCs w:val="20"/>
          <w:color w:val="auto"/>
        </w:rPr>
      </w:pPr>
    </w:p>
    <w:p>
      <w:pPr>
        <w:ind w:left="1120"/>
        <w:spacing w:after="0"/>
        <w:rPr>
          <w:sz w:val="20"/>
          <w:szCs w:val="20"/>
          <w:color w:val="auto"/>
        </w:rPr>
      </w:pPr>
      <w:r>
        <w:rPr>
          <w:rFonts w:ascii="Arial" w:cs="Arial" w:eastAsia="Arial" w:hAnsi="Arial"/>
          <w:sz w:val="20"/>
          <w:szCs w:val="20"/>
          <w:color w:val="191919"/>
        </w:rPr>
        <w:t>Gender</w:t>
      </w:r>
    </w:p>
    <w:p>
      <w:pPr>
        <w:ind w:left="1120"/>
        <w:spacing w:after="0"/>
        <w:rPr>
          <w:sz w:val="20"/>
          <w:szCs w:val="20"/>
          <w:color w:val="auto"/>
        </w:rPr>
      </w:pPr>
      <w:r>
        <w:rPr>
          <w:rFonts w:ascii="Arial" w:cs="Arial" w:eastAsia="Arial" w:hAnsi="Arial"/>
          <w:sz w:val="39"/>
          <w:szCs w:val="39"/>
          <w:color w:val="191919"/>
        </w:rPr>
        <w:t>EQUALITY</w:t>
      </w:r>
    </w:p>
    <w:p>
      <w:pPr>
        <w:spacing w:after="0" w:line="3815" w:lineRule="exact"/>
        <w:rPr>
          <w:sz w:val="20"/>
          <w:szCs w:val="20"/>
          <w:color w:val="auto"/>
        </w:rPr>
      </w:pPr>
    </w:p>
    <w:p>
      <w:pPr>
        <w:sectPr>
          <w:pgSz w:w="11880" w:h="15480" w:orient="portrait"/>
          <w:cols w:equalWidth="0" w:num="2">
            <w:col w:w="5700" w:space="720"/>
            <w:col w:w="3660"/>
          </w:cols>
          <w:pgMar w:left="1260" w:top="1440"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920"/>
        <w:spacing w:after="0"/>
        <w:rPr>
          <w:sz w:val="20"/>
          <w:szCs w:val="20"/>
          <w:color w:val="auto"/>
        </w:rPr>
      </w:pPr>
      <w:r>
        <w:rPr>
          <w:rFonts w:ascii="Arial" w:cs="Arial" w:eastAsia="Arial" w:hAnsi="Arial"/>
          <w:sz w:val="13"/>
          <w:szCs w:val="13"/>
          <w:color w:val="00074E"/>
        </w:rPr>
        <w:t>• 1</w:t>
      </w:r>
    </w:p>
    <w:p>
      <w:pPr>
        <w:sectPr>
          <w:pgSz w:w="11880" w:h="15480" w:orient="portrait"/>
          <w:cols w:equalWidth="0" w:num="1">
            <w:col w:w="10080"/>
          </w:cols>
          <w:pgMar w:left="1260" w:top="1440" w:right="540" w:bottom="0" w:gutter="0" w:footer="0" w:header="0"/>
          <w:type w:val="continuous"/>
        </w:sectPr>
      </w:pPr>
    </w:p>
    <w:bookmarkStart w:id="3" w:name="page4"/>
    <w:bookmarkEnd w:id="3"/>
    <w:p>
      <w:pPr>
        <w:ind w:right="2280"/>
        <w:spacing w:after="0" w:line="282" w:lineRule="auto"/>
        <w:tabs>
          <w:tab w:leader="none" w:pos="454" w:val="left"/>
        </w:tabs>
        <w:numPr>
          <w:ilvl w:val="0"/>
          <w:numId w:val="1"/>
        </w:numPr>
        <w:rPr>
          <w:rFonts w:ascii="Arial" w:cs="Arial" w:eastAsia="Arial" w:hAnsi="Arial"/>
          <w:sz w:val="54"/>
          <w:szCs w:val="54"/>
          <w:color w:val="00074E"/>
        </w:rPr>
      </w:pPr>
      <w:r>
        <w:rPr>
          <w:rFonts w:ascii="Arial" w:cs="Arial" w:eastAsia="Arial" w:hAnsi="Arial"/>
          <w:sz w:val="54"/>
          <w:szCs w:val="54"/>
          <w:color w:val="00074E"/>
        </w:rPr>
        <w:drawing>
          <wp:anchor simplePos="0" relativeHeight="251657728" behindDoc="1" locked="0" layoutInCell="0" allowOverlap="1">
            <wp:simplePos x="0" y="0"/>
            <wp:positionH relativeFrom="page">
              <wp:posOffset>0</wp:posOffset>
            </wp:positionH>
            <wp:positionV relativeFrom="page">
              <wp:posOffset>0</wp:posOffset>
            </wp:positionV>
            <wp:extent cx="7543800" cy="5038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5038090"/>
                    </a:xfrm>
                    <a:prstGeom prst="rect">
                      <a:avLst/>
                    </a:prstGeom>
                    <a:noFill/>
                  </pic:spPr>
                </pic:pic>
              </a:graphicData>
            </a:graphic>
          </wp:anchor>
        </w:drawing>
        <w:t>Letter from Our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80"/>
        <w:spacing w:after="0"/>
        <w:rPr>
          <w:sz w:val="20"/>
          <w:szCs w:val="20"/>
          <w:color w:val="auto"/>
        </w:rPr>
      </w:pPr>
      <w:r>
        <w:rPr>
          <w:rFonts w:ascii="Arial" w:cs="Arial" w:eastAsia="Arial" w:hAnsi="Arial"/>
          <w:sz w:val="28"/>
          <w:szCs w:val="28"/>
          <w:color w:val="00074E"/>
        </w:rPr>
        <w:t>Dear Shareholders,</w:t>
      </w:r>
    </w:p>
    <w:p>
      <w:pPr>
        <w:spacing w:after="0" w:line="266" w:lineRule="exact"/>
        <w:rPr>
          <w:sz w:val="20"/>
          <w:szCs w:val="20"/>
          <w:color w:val="auto"/>
        </w:rPr>
      </w:pPr>
    </w:p>
    <w:p>
      <w:pPr>
        <w:ind w:left="1080" w:right="80"/>
        <w:spacing w:after="0" w:line="363" w:lineRule="auto"/>
        <w:rPr>
          <w:sz w:val="20"/>
          <w:szCs w:val="20"/>
          <w:color w:val="auto"/>
        </w:rPr>
      </w:pPr>
      <w:r>
        <w:rPr>
          <w:rFonts w:ascii="Arial" w:cs="Arial" w:eastAsia="Arial" w:hAnsi="Arial"/>
          <w:sz w:val="20"/>
          <w:szCs w:val="20"/>
          <w:color w:val="00074E"/>
        </w:rPr>
        <w:t>Reflecting on 2024, I am proud to share that Sotera Health has continued to exemplify our unwavering commitment to our mission of Safeguarding Global Health</w:t>
      </w:r>
      <w:r>
        <w:rPr>
          <w:rFonts w:ascii="Arial" w:cs="Arial" w:eastAsia="Arial" w:hAnsi="Arial"/>
          <w:sz w:val="11"/>
          <w:szCs w:val="11"/>
          <w:color w:val="00074E"/>
        </w:rPr>
        <w:t>®</w:t>
      </w:r>
      <w:r>
        <w:rPr>
          <w:rFonts w:ascii="Arial" w:cs="Arial" w:eastAsia="Arial" w:hAnsi="Arial"/>
          <w:sz w:val="20"/>
          <w:szCs w:val="20"/>
          <w:color w:val="00074E"/>
        </w:rPr>
        <w:t>. Our focus on excellence has driven significant achievements across our businesses—Sterigenics, Nordion, and Nelson Labs—reinforcing our position as a trusted partner in the healthcare industry.</w:t>
      </w:r>
    </w:p>
    <w:p>
      <w:pPr>
        <w:spacing w:after="0" w:line="104" w:lineRule="exact"/>
        <w:rPr>
          <w:sz w:val="20"/>
          <w:szCs w:val="20"/>
          <w:color w:val="auto"/>
        </w:rPr>
      </w:pPr>
    </w:p>
    <w:p>
      <w:pPr>
        <w:ind w:left="1080"/>
        <w:spacing w:after="0" w:line="351" w:lineRule="auto"/>
        <w:rPr>
          <w:sz w:val="20"/>
          <w:szCs w:val="20"/>
          <w:color w:val="auto"/>
        </w:rPr>
      </w:pPr>
      <w:r>
        <w:rPr>
          <w:rFonts w:ascii="Arial" w:cs="Arial" w:eastAsia="Arial" w:hAnsi="Arial"/>
          <w:sz w:val="18"/>
          <w:szCs w:val="18"/>
          <w:color w:val="191919"/>
        </w:rPr>
        <w:t>We continue to be presented with exciting opportunities as the global economy evolves rapidly. The rate of technological innovation offers new avenues for growth and partnership with our healthcare customers, while geopolitical and supply chain disruptions help to refine our strategies and enhance our agility. However, it is the resilience of our people that continues to make me most proud. Embracing these external factors, combined with an unrelenting focus on execution, led to another year of top- and bottom-line growth. This growth underscores the strength of our business model and our ability to deliver consistent results, all while being uncompromising in living our core values of Safety, Customer Focus, People, Integrity and Excellence.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00074E"/>
        </w:rPr>
        <w:t>Michael B. Petras, Jr.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191919"/>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0"/>
        <w:spacing w:after="0" w:line="323" w:lineRule="auto"/>
        <w:rPr>
          <w:sz w:val="20"/>
          <w:szCs w:val="20"/>
          <w:color w:val="auto"/>
        </w:rPr>
      </w:pPr>
      <w:r>
        <w:rPr>
          <w:rFonts w:ascii="Arial" w:cs="Arial" w:eastAsia="Arial" w:hAnsi="Arial"/>
          <w:sz w:val="22"/>
          <w:szCs w:val="22"/>
          <w:color w:val="00074E"/>
        </w:rPr>
        <w:t>Key financial and operational highlights from 2024 include:</w:t>
      </w:r>
    </w:p>
    <w:p>
      <w:pPr>
        <w:spacing w:after="0" w:line="39" w:lineRule="exact"/>
        <w:rPr>
          <w:sz w:val="20"/>
          <w:szCs w:val="20"/>
          <w:color w:val="auto"/>
        </w:rPr>
      </w:pPr>
    </w:p>
    <w:p>
      <w:pPr>
        <w:jc w:val="both"/>
        <w:ind w:left="180" w:right="240" w:hanging="178"/>
        <w:spacing w:after="0" w:line="326" w:lineRule="auto"/>
        <w:tabs>
          <w:tab w:leader="none" w:pos="180" w:val="left"/>
        </w:tabs>
        <w:numPr>
          <w:ilvl w:val="0"/>
          <w:numId w:val="2"/>
        </w:numPr>
        <w:rPr>
          <w:rFonts w:ascii="Arial" w:cs="Arial" w:eastAsia="Arial" w:hAnsi="Arial"/>
          <w:sz w:val="20"/>
          <w:szCs w:val="20"/>
          <w:color w:val="191919"/>
        </w:rPr>
      </w:pPr>
      <w:r>
        <w:rPr>
          <w:rFonts w:ascii="Arial" w:cs="Arial" w:eastAsia="Arial" w:hAnsi="Arial"/>
          <w:sz w:val="20"/>
          <w:szCs w:val="20"/>
          <w:color w:val="191919"/>
        </w:rPr>
        <w:t>Consistently delivering growth, with 2024 marking the 19</w:t>
      </w:r>
      <w:r>
        <w:rPr>
          <w:rFonts w:ascii="Arial" w:cs="Arial" w:eastAsia="Arial" w:hAnsi="Arial"/>
          <w:sz w:val="11"/>
          <w:szCs w:val="11"/>
          <w:color w:val="191919"/>
        </w:rPr>
        <w:t>th</w:t>
      </w:r>
      <w:r>
        <w:rPr>
          <w:rFonts w:ascii="Arial" w:cs="Arial" w:eastAsia="Arial" w:hAnsi="Arial"/>
          <w:sz w:val="20"/>
          <w:szCs w:val="20"/>
          <w:color w:val="191919"/>
        </w:rPr>
        <w:t xml:space="preserve"> consecutive year of annual revenue growth for our Company;</w:t>
      </w:r>
    </w:p>
    <w:p>
      <w:pPr>
        <w:spacing w:after="0" w:line="52" w:lineRule="exact"/>
        <w:rPr>
          <w:rFonts w:ascii="Arial" w:cs="Arial" w:eastAsia="Arial" w:hAnsi="Arial"/>
          <w:sz w:val="20"/>
          <w:szCs w:val="20"/>
          <w:color w:val="191919"/>
        </w:rPr>
      </w:pPr>
    </w:p>
    <w:p>
      <w:pPr>
        <w:ind w:left="180" w:right="460" w:hanging="178"/>
        <w:spacing w:after="0" w:line="326" w:lineRule="auto"/>
        <w:tabs>
          <w:tab w:leader="none" w:pos="180" w:val="left"/>
        </w:tabs>
        <w:numPr>
          <w:ilvl w:val="0"/>
          <w:numId w:val="2"/>
        </w:numPr>
        <w:rPr>
          <w:rFonts w:ascii="Arial" w:cs="Arial" w:eastAsia="Arial" w:hAnsi="Arial"/>
          <w:sz w:val="20"/>
          <w:szCs w:val="20"/>
          <w:color w:val="191919"/>
        </w:rPr>
      </w:pPr>
      <w:r>
        <w:rPr>
          <w:rFonts w:ascii="Arial" w:cs="Arial" w:eastAsia="Arial" w:hAnsi="Arial"/>
          <w:sz w:val="20"/>
          <w:szCs w:val="20"/>
          <w:color w:val="191919"/>
        </w:rPr>
        <w:t>Ongoing focus on operational excellence and reorganizing within our businesses as needed to foster growth;</w:t>
      </w:r>
    </w:p>
    <w:p>
      <w:pPr>
        <w:spacing w:after="0" w:line="52" w:lineRule="exact"/>
        <w:rPr>
          <w:rFonts w:ascii="Arial" w:cs="Arial" w:eastAsia="Arial" w:hAnsi="Arial"/>
          <w:sz w:val="20"/>
          <w:szCs w:val="20"/>
          <w:color w:val="191919"/>
        </w:rPr>
      </w:pPr>
    </w:p>
    <w:p>
      <w:pPr>
        <w:ind w:left="180" w:right="320" w:hanging="178"/>
        <w:spacing w:after="0" w:line="340" w:lineRule="auto"/>
        <w:tabs>
          <w:tab w:leader="none" w:pos="180" w:val="left"/>
        </w:tabs>
        <w:numPr>
          <w:ilvl w:val="0"/>
          <w:numId w:val="2"/>
        </w:numPr>
        <w:rPr>
          <w:rFonts w:ascii="Arial" w:cs="Arial" w:eastAsia="Arial" w:hAnsi="Arial"/>
          <w:sz w:val="20"/>
          <w:szCs w:val="20"/>
          <w:color w:val="191919"/>
        </w:rPr>
      </w:pPr>
      <w:r>
        <w:rPr>
          <w:rFonts w:ascii="Arial" w:cs="Arial" w:eastAsia="Arial" w:hAnsi="Arial"/>
          <w:sz w:val="20"/>
          <w:szCs w:val="20"/>
          <w:color w:val="191919"/>
        </w:rPr>
        <w:t>Achieving 100% fulfillment of customer Cobalt-60 requests, the first time since 2018;</w:t>
      </w:r>
    </w:p>
    <w:p>
      <w:pPr>
        <w:spacing w:after="0" w:line="38" w:lineRule="exact"/>
        <w:rPr>
          <w:rFonts w:ascii="Arial" w:cs="Arial" w:eastAsia="Arial" w:hAnsi="Arial"/>
          <w:sz w:val="20"/>
          <w:szCs w:val="20"/>
          <w:color w:val="191919"/>
        </w:rPr>
      </w:pPr>
    </w:p>
    <w:p>
      <w:pPr>
        <w:ind w:left="180" w:right="580" w:hanging="178"/>
        <w:spacing w:after="0" w:line="405" w:lineRule="auto"/>
        <w:tabs>
          <w:tab w:leader="none" w:pos="180" w:val="left"/>
        </w:tabs>
        <w:numPr>
          <w:ilvl w:val="0"/>
          <w:numId w:val="2"/>
        </w:numPr>
        <w:rPr>
          <w:rFonts w:ascii="Arial" w:cs="Arial" w:eastAsia="Arial" w:hAnsi="Arial"/>
          <w:sz w:val="17"/>
          <w:szCs w:val="17"/>
          <w:color w:val="191919"/>
        </w:rPr>
      </w:pPr>
      <w:r>
        <w:rPr>
          <w:rFonts w:ascii="Arial" w:cs="Arial" w:eastAsia="Arial" w:hAnsi="Arial"/>
          <w:sz w:val="17"/>
          <w:szCs w:val="17"/>
          <w:color w:val="191919"/>
        </w:rPr>
        <w:t>Welcoming Danielle Menture, Senior Vice President, Global Environmental, Health, Safety and Sustainability to the executive team;</w:t>
      </w:r>
    </w:p>
    <w:p>
      <w:pPr>
        <w:ind w:left="180" w:right="160" w:hanging="178"/>
        <w:spacing w:after="0" w:line="366" w:lineRule="auto"/>
        <w:tabs>
          <w:tab w:leader="none" w:pos="180" w:val="left"/>
        </w:tabs>
        <w:numPr>
          <w:ilvl w:val="0"/>
          <w:numId w:val="2"/>
        </w:numPr>
        <w:rPr>
          <w:rFonts w:ascii="Arial" w:cs="Arial" w:eastAsia="Arial" w:hAnsi="Arial"/>
          <w:sz w:val="18"/>
          <w:szCs w:val="18"/>
          <w:color w:val="191919"/>
        </w:rPr>
      </w:pPr>
      <w:r>
        <w:rPr>
          <w:rFonts w:ascii="Arial" w:cs="Arial" w:eastAsia="Arial" w:hAnsi="Arial"/>
          <w:sz w:val="18"/>
          <w:szCs w:val="18"/>
          <w:color w:val="191919"/>
        </w:rPr>
        <w:t>Hosting our inaugural Investor Day in New York City, where we outlined our strategic position and future growth plans, while providing an opportunity for enhanced shareholder engagement;</w:t>
      </w:r>
    </w:p>
    <w:p>
      <w:pPr>
        <w:spacing w:after="0" w:line="27" w:lineRule="exact"/>
        <w:rPr>
          <w:rFonts w:ascii="Arial" w:cs="Arial" w:eastAsia="Arial" w:hAnsi="Arial"/>
          <w:sz w:val="18"/>
          <w:szCs w:val="18"/>
          <w:color w:val="191919"/>
        </w:rPr>
      </w:pPr>
    </w:p>
    <w:p>
      <w:pPr>
        <w:ind w:left="180" w:right="560" w:hanging="178"/>
        <w:spacing w:after="0" w:line="322" w:lineRule="auto"/>
        <w:tabs>
          <w:tab w:leader="none" w:pos="180" w:val="left"/>
        </w:tabs>
        <w:numPr>
          <w:ilvl w:val="0"/>
          <w:numId w:val="2"/>
        </w:numPr>
        <w:rPr>
          <w:rFonts w:ascii="Arial" w:cs="Arial" w:eastAsia="Arial" w:hAnsi="Arial"/>
          <w:sz w:val="20"/>
          <w:szCs w:val="20"/>
          <w:color w:val="191919"/>
        </w:rPr>
      </w:pPr>
      <w:r>
        <w:rPr>
          <w:rFonts w:ascii="Arial" w:cs="Arial" w:eastAsia="Arial" w:hAnsi="Arial"/>
          <w:sz w:val="20"/>
          <w:szCs w:val="20"/>
          <w:color w:val="191919"/>
        </w:rPr>
        <w:t>Successfully completing Term Loan and Senior Secured Note financings to enhance our capital structure and support our long-term growth initiatives;</w:t>
      </w:r>
    </w:p>
    <w:p>
      <w:pPr>
        <w:spacing w:after="0" w:line="55" w:lineRule="exact"/>
        <w:rPr>
          <w:rFonts w:ascii="Arial" w:cs="Arial" w:eastAsia="Arial" w:hAnsi="Arial"/>
          <w:sz w:val="20"/>
          <w:szCs w:val="20"/>
          <w:color w:val="191919"/>
        </w:rPr>
      </w:pPr>
    </w:p>
    <w:p>
      <w:pPr>
        <w:ind w:left="180" w:hanging="178"/>
        <w:spacing w:after="0" w:line="326" w:lineRule="auto"/>
        <w:tabs>
          <w:tab w:leader="none" w:pos="180" w:val="left"/>
        </w:tabs>
        <w:numPr>
          <w:ilvl w:val="0"/>
          <w:numId w:val="2"/>
        </w:numPr>
        <w:rPr>
          <w:rFonts w:ascii="Arial" w:cs="Arial" w:eastAsia="Arial" w:hAnsi="Arial"/>
          <w:sz w:val="20"/>
          <w:szCs w:val="20"/>
          <w:color w:val="191919"/>
        </w:rPr>
      </w:pPr>
      <w:r>
        <w:rPr>
          <w:rFonts w:ascii="Arial" w:cs="Arial" w:eastAsia="Arial" w:hAnsi="Arial"/>
          <w:sz w:val="20"/>
          <w:szCs w:val="20"/>
          <w:color w:val="191919"/>
        </w:rPr>
        <w:t>Strengthening our Board governance with the appointment of Christopher Simon as an independent director in August 2024;</w:t>
      </w:r>
    </w:p>
    <w:p>
      <w:pPr>
        <w:spacing w:after="0" w:line="200" w:lineRule="exact"/>
        <w:rPr>
          <w:sz w:val="20"/>
          <w:szCs w:val="20"/>
          <w:color w:val="auto"/>
        </w:rPr>
      </w:pPr>
    </w:p>
    <w:p>
      <w:pPr>
        <w:sectPr>
          <w:pgSz w:w="11880" w:h="15480" w:orient="portrait"/>
          <w:cols w:equalWidth="0" w:num="2">
            <w:col w:w="5360" w:space="600"/>
            <w:col w:w="4480"/>
          </w:cols>
          <w:pgMar w:left="540" w:top="71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00074E"/>
        </w:rPr>
        <w:t>• 2</w:t>
      </w:r>
    </w:p>
    <w:p>
      <w:pPr>
        <w:sectPr>
          <w:pgSz w:w="11880" w:h="15480" w:orient="portrait"/>
          <w:cols w:equalWidth="0" w:num="1">
            <w:col w:w="10440"/>
          </w:cols>
          <w:pgMar w:left="540" w:top="710" w:right="900" w:bottom="0" w:gutter="0" w:footer="0" w:header="0"/>
          <w:type w:val="continuous"/>
        </w:sectPr>
      </w:pPr>
    </w:p>
    <w:bookmarkStart w:id="4" w:name="page5"/>
    <w:bookmarkEnd w:id="4"/>
    <w:p>
      <w:pPr>
        <w:ind w:left="3240" w:right="360" w:hanging="949"/>
        <w:spacing w:after="0" w:line="180" w:lineRule="auto"/>
        <w:rPr>
          <w:sz w:val="20"/>
          <w:szCs w:val="20"/>
          <w:color w:val="auto"/>
        </w:rPr>
      </w:pPr>
      <w:r>
        <w:rPr>
          <w:rFonts w:ascii="Arial" w:cs="Arial" w:eastAsia="Arial" w:hAnsi="Arial"/>
          <w:sz w:val="122"/>
          <w:szCs w:val="122"/>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w:t>
      </w:r>
      <w:r>
        <w:rPr>
          <w:rFonts w:ascii="Arial" w:cs="Arial" w:eastAsia="Arial" w:hAnsi="Arial"/>
          <w:sz w:val="29"/>
          <w:szCs w:val="29"/>
          <w:color w:val="FFFFFF"/>
        </w:rPr>
        <w:t>Our focus on excellence has driven significant</w:t>
      </w:r>
      <w:r>
        <w:rPr>
          <w:rFonts w:ascii="Arial" w:cs="Arial" w:eastAsia="Arial" w:hAnsi="Arial"/>
          <w:sz w:val="122"/>
          <w:szCs w:val="122"/>
          <w:b w:val="1"/>
          <w:bCs w:val="1"/>
          <w:color w:val="FFFFFF"/>
        </w:rPr>
        <w:t xml:space="preserve"> </w:t>
      </w:r>
      <w:r>
        <w:rPr>
          <w:rFonts w:ascii="Arial" w:cs="Arial" w:eastAsia="Arial" w:hAnsi="Arial"/>
          <w:sz w:val="29"/>
          <w:szCs w:val="29"/>
          <w:color w:val="FFFFFF"/>
        </w:rPr>
        <w:t>achievements across our businesses—Sterigenics, Nordion, and Nelson Labs—reinforcing our position as a trusted partner in the healthcare industry.</w:t>
      </w:r>
    </w:p>
    <w:p>
      <w:pPr>
        <w:sectPr>
          <w:pgSz w:w="11880" w:h="15480" w:orient="portrait"/>
          <w:cols w:equalWidth="0" w:num="1">
            <w:col w:w="10260"/>
          </w:cols>
          <w:pgMar w:left="1080" w:top="30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right="40" w:hanging="180"/>
        <w:spacing w:after="0" w:line="340" w:lineRule="auto"/>
        <w:tabs>
          <w:tab w:leader="none" w:pos="180" w:val="left"/>
        </w:tabs>
        <w:numPr>
          <w:ilvl w:val="0"/>
          <w:numId w:val="4"/>
        </w:numPr>
        <w:rPr>
          <w:rFonts w:ascii="Arial" w:cs="Arial" w:eastAsia="Arial" w:hAnsi="Arial"/>
          <w:sz w:val="20"/>
          <w:szCs w:val="20"/>
          <w:color w:val="191919"/>
        </w:rPr>
      </w:pPr>
      <w:r>
        <w:rPr>
          <w:rFonts w:ascii="Arial" w:cs="Arial" w:eastAsia="Arial" w:hAnsi="Arial"/>
          <w:sz w:val="20"/>
          <w:szCs w:val="20"/>
          <w:color w:val="191919"/>
        </w:rPr>
        <w:t>Continuing our valuable dialogue with investors through our outreach and engagement efforts; and</w:t>
      </w:r>
    </w:p>
    <w:p>
      <w:pPr>
        <w:spacing w:after="0" w:line="38" w:lineRule="exact"/>
        <w:rPr>
          <w:rFonts w:ascii="Arial" w:cs="Arial" w:eastAsia="Arial" w:hAnsi="Arial"/>
          <w:sz w:val="20"/>
          <w:szCs w:val="20"/>
          <w:color w:val="191919"/>
        </w:rPr>
      </w:pPr>
    </w:p>
    <w:p>
      <w:pPr>
        <w:ind w:left="180" w:hanging="180"/>
        <w:spacing w:after="0" w:line="362" w:lineRule="auto"/>
        <w:tabs>
          <w:tab w:leader="none" w:pos="180" w:val="left"/>
        </w:tabs>
        <w:numPr>
          <w:ilvl w:val="0"/>
          <w:numId w:val="4"/>
        </w:numPr>
        <w:rPr>
          <w:rFonts w:ascii="Arial" w:cs="Arial" w:eastAsia="Arial" w:hAnsi="Arial"/>
          <w:sz w:val="18"/>
          <w:szCs w:val="18"/>
          <w:color w:val="191919"/>
        </w:rPr>
      </w:pPr>
      <w:r>
        <w:rPr>
          <w:rFonts w:ascii="Arial" w:cs="Arial" w:eastAsia="Arial" w:hAnsi="Arial"/>
          <w:sz w:val="18"/>
          <w:szCs w:val="18"/>
          <w:color w:val="191919"/>
        </w:rPr>
        <w:t>Further evolving our corporate responsibility principles and remaining steadfast in advancing our environmental sustainability programs, improving data collection processes and investing in state-of-the-art technologies to reduce emissions across our facilities.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0074E"/>
        </w:rPr>
        <w:t>Looking Ahead</w:t>
      </w:r>
    </w:p>
    <w:p>
      <w:pPr>
        <w:spacing w:after="0" w:line="180" w:lineRule="exact"/>
        <w:rPr>
          <w:sz w:val="20"/>
          <w:szCs w:val="20"/>
          <w:color w:val="auto"/>
        </w:rPr>
      </w:pPr>
    </w:p>
    <w:p>
      <w:pPr>
        <w:ind w:right="40"/>
        <w:spacing w:after="0" w:line="367" w:lineRule="auto"/>
        <w:rPr>
          <w:sz w:val="20"/>
          <w:szCs w:val="20"/>
          <w:color w:val="auto"/>
        </w:rPr>
      </w:pPr>
      <w:r>
        <w:rPr>
          <w:rFonts w:ascii="Arial" w:cs="Arial" w:eastAsia="Arial" w:hAnsi="Arial"/>
          <w:sz w:val="20"/>
          <w:szCs w:val="20"/>
          <w:color w:val="00074E"/>
        </w:rPr>
        <w:t>As we progress through 2025, we believe our commitment to excellence and our strategic focus will prevail. Our resilience and dedication are the cornerstones of our success, and they will continue to guide us. We remain focused on our four key priorities as communicated during our Investor Day:</w:t>
      </w:r>
    </w:p>
    <w:p>
      <w:pPr>
        <w:spacing w:after="0" w:line="108" w:lineRule="exact"/>
        <w:rPr>
          <w:sz w:val="20"/>
          <w:szCs w:val="20"/>
          <w:color w:val="auto"/>
        </w:rPr>
      </w:pPr>
    </w:p>
    <w:p>
      <w:pPr>
        <w:ind w:left="180" w:right="760" w:hanging="180"/>
        <w:spacing w:after="0" w:line="358" w:lineRule="auto"/>
        <w:tabs>
          <w:tab w:leader="none" w:pos="180" w:val="left"/>
        </w:tabs>
        <w:numPr>
          <w:ilvl w:val="0"/>
          <w:numId w:val="5"/>
        </w:numPr>
        <w:rPr>
          <w:rFonts w:ascii="Arial" w:cs="Arial" w:eastAsia="Arial" w:hAnsi="Arial"/>
          <w:sz w:val="22"/>
          <w:szCs w:val="22"/>
          <w:color w:val="001659"/>
        </w:rPr>
      </w:pPr>
      <w:r>
        <w:rPr>
          <w:rFonts w:ascii="Arial" w:cs="Arial" w:eastAsia="Arial" w:hAnsi="Arial"/>
          <w:sz w:val="22"/>
          <w:szCs w:val="22"/>
          <w:b w:val="1"/>
          <w:bCs w:val="1"/>
          <w:color w:val="001659"/>
        </w:rPr>
        <w:t xml:space="preserve">Excellence in serving our customers </w:t>
      </w:r>
      <w:r>
        <w:rPr>
          <w:rFonts w:ascii="Arial" w:cs="Arial" w:eastAsia="Arial" w:hAnsi="Arial"/>
          <w:sz w:val="22"/>
          <w:szCs w:val="22"/>
          <w:color w:val="001659"/>
        </w:rPr>
        <w:t>with</w:t>
      </w:r>
      <w:r>
        <w:rPr>
          <w:rFonts w:ascii="Arial" w:cs="Arial" w:eastAsia="Arial" w:hAnsi="Arial"/>
          <w:sz w:val="22"/>
          <w:szCs w:val="22"/>
          <w:b w:val="1"/>
          <w:bCs w:val="1"/>
          <w:color w:val="001659"/>
        </w:rPr>
        <w:t xml:space="preserve"> </w:t>
      </w:r>
      <w:r>
        <w:rPr>
          <w:rFonts w:ascii="Arial" w:cs="Arial" w:eastAsia="Arial" w:hAnsi="Arial"/>
          <w:sz w:val="22"/>
          <w:szCs w:val="22"/>
          <w:color w:val="001659"/>
        </w:rPr>
        <w:t>end-to-end solutions;</w:t>
      </w:r>
    </w:p>
    <w:p>
      <w:pPr>
        <w:spacing w:after="0" w:line="40" w:lineRule="exact"/>
        <w:rPr>
          <w:rFonts w:ascii="Arial" w:cs="Arial" w:eastAsia="Arial" w:hAnsi="Arial"/>
          <w:sz w:val="22"/>
          <w:szCs w:val="22"/>
          <w:color w:val="001659"/>
        </w:rPr>
      </w:pPr>
    </w:p>
    <w:p>
      <w:pPr>
        <w:ind w:left="180" w:hanging="180"/>
        <w:spacing w:after="0"/>
        <w:tabs>
          <w:tab w:leader="none" w:pos="180" w:val="left"/>
        </w:tabs>
        <w:numPr>
          <w:ilvl w:val="0"/>
          <w:numId w:val="5"/>
        </w:numPr>
        <w:rPr>
          <w:rFonts w:ascii="Arial" w:cs="Arial" w:eastAsia="Arial" w:hAnsi="Arial"/>
          <w:sz w:val="22"/>
          <w:szCs w:val="22"/>
          <w:color w:val="001659"/>
        </w:rPr>
      </w:pPr>
      <w:r>
        <w:rPr>
          <w:rFonts w:ascii="Arial" w:cs="Arial" w:eastAsia="Arial" w:hAnsi="Arial"/>
          <w:sz w:val="22"/>
          <w:szCs w:val="22"/>
          <w:b w:val="1"/>
          <w:bCs w:val="1"/>
          <w:color w:val="001659"/>
        </w:rPr>
        <w:t>Winning in growth markets</w:t>
      </w:r>
      <w:r>
        <w:rPr>
          <w:rFonts w:ascii="Arial" w:cs="Arial" w:eastAsia="Arial" w:hAnsi="Arial"/>
          <w:sz w:val="22"/>
          <w:szCs w:val="22"/>
          <w:color w:val="001659"/>
        </w:rPr>
        <w:t>;</w:t>
      </w:r>
    </w:p>
    <w:p>
      <w:pPr>
        <w:spacing w:after="0" w:line="202" w:lineRule="exact"/>
        <w:rPr>
          <w:rFonts w:ascii="Arial" w:cs="Arial" w:eastAsia="Arial" w:hAnsi="Arial"/>
          <w:sz w:val="22"/>
          <w:szCs w:val="22"/>
          <w:color w:val="001659"/>
        </w:rPr>
      </w:pPr>
    </w:p>
    <w:p>
      <w:pPr>
        <w:ind w:left="180" w:right="660" w:hanging="180"/>
        <w:spacing w:after="0" w:line="358" w:lineRule="auto"/>
        <w:tabs>
          <w:tab w:leader="none" w:pos="180" w:val="left"/>
        </w:tabs>
        <w:numPr>
          <w:ilvl w:val="0"/>
          <w:numId w:val="5"/>
        </w:numPr>
        <w:rPr>
          <w:rFonts w:ascii="Arial" w:cs="Arial" w:eastAsia="Arial" w:hAnsi="Arial"/>
          <w:sz w:val="22"/>
          <w:szCs w:val="22"/>
          <w:color w:val="001659"/>
        </w:rPr>
      </w:pPr>
      <w:r>
        <w:rPr>
          <w:rFonts w:ascii="Arial" w:cs="Arial" w:eastAsia="Arial" w:hAnsi="Arial"/>
          <w:sz w:val="22"/>
          <w:szCs w:val="22"/>
          <w:b w:val="1"/>
          <w:bCs w:val="1"/>
          <w:color w:val="001659"/>
        </w:rPr>
        <w:t xml:space="preserve">Driving operational excellence </w:t>
      </w:r>
      <w:r>
        <w:rPr>
          <w:rFonts w:ascii="Arial" w:cs="Arial" w:eastAsia="Arial" w:hAnsi="Arial"/>
          <w:sz w:val="22"/>
          <w:szCs w:val="22"/>
          <w:color w:val="001659"/>
        </w:rPr>
        <w:t>to enhance</w:t>
      </w:r>
      <w:r>
        <w:rPr>
          <w:rFonts w:ascii="Arial" w:cs="Arial" w:eastAsia="Arial" w:hAnsi="Arial"/>
          <w:sz w:val="22"/>
          <w:szCs w:val="22"/>
          <w:b w:val="1"/>
          <w:bCs w:val="1"/>
          <w:color w:val="001659"/>
        </w:rPr>
        <w:t xml:space="preserve"> </w:t>
      </w:r>
      <w:r>
        <w:rPr>
          <w:rFonts w:ascii="Arial" w:cs="Arial" w:eastAsia="Arial" w:hAnsi="Arial"/>
          <w:sz w:val="22"/>
          <w:szCs w:val="22"/>
          <w:color w:val="001659"/>
        </w:rPr>
        <w:t>Free Cash Flow; and</w:t>
      </w:r>
    </w:p>
    <w:p>
      <w:pPr>
        <w:spacing w:after="0" w:line="40" w:lineRule="exact"/>
        <w:rPr>
          <w:rFonts w:ascii="Arial" w:cs="Arial" w:eastAsia="Arial" w:hAnsi="Arial"/>
          <w:sz w:val="22"/>
          <w:szCs w:val="22"/>
          <w:color w:val="001659"/>
        </w:rPr>
      </w:pPr>
    </w:p>
    <w:p>
      <w:pPr>
        <w:ind w:left="180" w:hanging="180"/>
        <w:spacing w:after="0"/>
        <w:tabs>
          <w:tab w:leader="none" w:pos="180" w:val="left"/>
        </w:tabs>
        <w:numPr>
          <w:ilvl w:val="0"/>
          <w:numId w:val="5"/>
        </w:numPr>
        <w:rPr>
          <w:rFonts w:ascii="Arial" w:cs="Arial" w:eastAsia="Arial" w:hAnsi="Arial"/>
          <w:sz w:val="22"/>
          <w:szCs w:val="22"/>
          <w:color w:val="001659"/>
        </w:rPr>
      </w:pPr>
      <w:r>
        <w:rPr>
          <w:rFonts w:ascii="Arial" w:cs="Arial" w:eastAsia="Arial" w:hAnsi="Arial"/>
          <w:sz w:val="22"/>
          <w:szCs w:val="22"/>
          <w:b w:val="1"/>
          <w:bCs w:val="1"/>
          <w:color w:val="001659"/>
        </w:rPr>
        <w:t>Disciplined capital deployment</w:t>
      </w:r>
      <w:r>
        <w:rPr>
          <w:rFonts w:ascii="Arial" w:cs="Arial" w:eastAsia="Arial" w:hAnsi="Arial"/>
          <w:sz w:val="22"/>
          <w:szCs w:val="22"/>
          <w:color w:val="001659"/>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40"/>
        <w:spacing w:after="0" w:line="357" w:lineRule="auto"/>
        <w:rPr>
          <w:sz w:val="20"/>
          <w:szCs w:val="20"/>
          <w:color w:val="auto"/>
        </w:rPr>
      </w:pPr>
      <w:r>
        <w:rPr>
          <w:rFonts w:ascii="Arial" w:cs="Arial" w:eastAsia="Arial" w:hAnsi="Arial"/>
          <w:sz w:val="18"/>
          <w:szCs w:val="18"/>
          <w:color w:val="191919"/>
        </w:rPr>
        <w:t>I want to take a moment to say thank you to our 3,000 dedicated employees across the globe, our valued customers, and you—our shareholders—for your continued trust and support. We take our responsibility seriously and we will continue to work together to make a meaningful impact in the healthcare industry and uphold our mission of Safeguarding Global Health</w:t>
      </w:r>
      <w:r>
        <w:rPr>
          <w:rFonts w:ascii="Arial" w:cs="Arial" w:eastAsia="Arial" w:hAnsi="Arial"/>
          <w:sz w:val="11"/>
          <w:szCs w:val="11"/>
          <w:color w:val="191919"/>
        </w:rPr>
        <w:t>®</w:t>
      </w:r>
      <w:r>
        <w:rPr>
          <w:rFonts w:ascii="Arial" w:cs="Arial" w:eastAsia="Arial" w:hAnsi="Arial"/>
          <w:sz w:val="18"/>
          <w:szCs w:val="18"/>
          <w:color w:val="19191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191919"/>
        </w:rPr>
        <w:t>Michael B. Petras, Jr.</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191919"/>
        </w:rPr>
        <w:t>Chairman and Chief Executive Officer</w:t>
      </w:r>
    </w:p>
    <w:p>
      <w:pPr>
        <w:spacing w:after="0" w:line="3912" w:lineRule="exact"/>
        <w:rPr>
          <w:sz w:val="20"/>
          <w:szCs w:val="20"/>
          <w:color w:val="auto"/>
        </w:rPr>
      </w:pPr>
    </w:p>
    <w:p>
      <w:pPr>
        <w:sectPr>
          <w:pgSz w:w="11880" w:h="15480" w:orient="portrait"/>
          <w:cols w:equalWidth="0" w:num="2">
            <w:col w:w="4700" w:space="440"/>
            <w:col w:w="5120"/>
          </w:cols>
          <w:pgMar w:left="1080" w:top="309" w:right="5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5"/>
          <w:szCs w:val="15"/>
          <w:color w:val="00074E"/>
        </w:rPr>
        <w:t>• 3</w:t>
      </w:r>
    </w:p>
    <w:p>
      <w:pPr>
        <w:sectPr>
          <w:pgSz w:w="11880" w:h="15480" w:orient="portrait"/>
          <w:cols w:equalWidth="0" w:num="1">
            <w:col w:w="10260"/>
          </w:cols>
          <w:pgMar w:left="1080" w:top="309" w:right="540" w:bottom="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127875" cy="4836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4836795"/>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2"/>
                <w:szCs w:val="12"/>
                <w:i w:val="1"/>
                <w:iCs w:val="1"/>
                <w:color w:val="808080"/>
              </w:rPr>
              <w:t>Back row</w:t>
            </w:r>
          </w:p>
        </w:tc>
        <w:tc>
          <w:tcPr>
            <w:tcW w:w="9100" w:type="dxa"/>
            <w:vAlign w:val="bottom"/>
          </w:tcPr>
          <w:p>
            <w:pPr>
              <w:ind w:left="380"/>
              <w:spacing w:after="0"/>
              <w:rPr>
                <w:sz w:val="20"/>
                <w:szCs w:val="20"/>
                <w:color w:val="auto"/>
              </w:rPr>
            </w:pPr>
            <w:r>
              <w:rPr>
                <w:rFonts w:ascii="Arial" w:cs="Arial" w:eastAsia="Arial" w:hAnsi="Arial"/>
                <w:sz w:val="14"/>
                <w:szCs w:val="14"/>
                <w:color w:val="191919"/>
                <w:w w:val="90"/>
              </w:rPr>
              <w:t>Robert B. Knauss, Managing Director, Warburg Pincus; Christopher A. Simon, President and Chief Executive Officer, Haemonetics; Karen A. Flynn, Former</w:t>
            </w:r>
          </w:p>
        </w:tc>
      </w:tr>
      <w:tr>
        <w:trPr>
          <w:trHeight w:val="200"/>
        </w:trPr>
        <w:tc>
          <w:tcPr>
            <w:tcW w:w="960" w:type="dxa"/>
            <w:vAlign w:val="bottom"/>
          </w:tcPr>
          <w:p>
            <w:pPr>
              <w:spacing w:after="0"/>
              <w:rPr>
                <w:sz w:val="20"/>
                <w:szCs w:val="20"/>
                <w:color w:val="auto"/>
              </w:rPr>
            </w:pPr>
            <w:r>
              <w:rPr>
                <w:rFonts w:ascii="Arial" w:cs="Arial" w:eastAsia="Arial" w:hAnsi="Arial"/>
                <w:sz w:val="12"/>
                <w:szCs w:val="12"/>
                <w:i w:val="1"/>
                <w:iCs w:val="1"/>
                <w:color w:val="808080"/>
              </w:rPr>
              <w:t>left to right:</w:t>
            </w:r>
          </w:p>
        </w:tc>
        <w:tc>
          <w:tcPr>
            <w:tcW w:w="9100" w:type="dxa"/>
            <w:vAlign w:val="bottom"/>
          </w:tcPr>
          <w:p>
            <w:pPr>
              <w:ind w:left="380"/>
              <w:spacing w:after="0"/>
              <w:rPr>
                <w:sz w:val="20"/>
                <w:szCs w:val="20"/>
                <w:color w:val="auto"/>
              </w:rPr>
            </w:pPr>
            <w:r>
              <w:rPr>
                <w:rFonts w:ascii="Arial" w:cs="Arial" w:eastAsia="Arial" w:hAnsi="Arial"/>
                <w:sz w:val="14"/>
                <w:szCs w:val="14"/>
                <w:color w:val="191919"/>
                <w:w w:val="88"/>
              </w:rPr>
              <w:t>Senior Vice President and Chief Commercial Officer, Catalent Pharma Solutions; James C. Neary, Managing Director, Warburg Pincus; Ruoxi Chen, Managing</w:t>
            </w:r>
          </w:p>
        </w:tc>
      </w:tr>
      <w:tr>
        <w:trPr>
          <w:trHeight w:val="180"/>
        </w:trPr>
        <w:tc>
          <w:tcPr>
            <w:tcW w:w="960" w:type="dxa"/>
            <w:vAlign w:val="bottom"/>
          </w:tcPr>
          <w:p>
            <w:pPr>
              <w:spacing w:after="0"/>
              <w:rPr>
                <w:sz w:val="15"/>
                <w:szCs w:val="15"/>
                <w:color w:val="auto"/>
              </w:rPr>
            </w:pPr>
          </w:p>
        </w:tc>
        <w:tc>
          <w:tcPr>
            <w:tcW w:w="9100" w:type="dxa"/>
            <w:vAlign w:val="bottom"/>
          </w:tcPr>
          <w:p>
            <w:pPr>
              <w:ind w:left="380"/>
              <w:spacing w:after="0"/>
              <w:rPr>
                <w:sz w:val="20"/>
                <w:szCs w:val="20"/>
                <w:color w:val="auto"/>
              </w:rPr>
            </w:pPr>
            <w:r>
              <w:rPr>
                <w:rFonts w:ascii="Arial" w:cs="Arial" w:eastAsia="Arial" w:hAnsi="Arial"/>
                <w:sz w:val="14"/>
                <w:szCs w:val="14"/>
                <w:color w:val="191919"/>
                <w:w w:val="88"/>
              </w:rPr>
              <w:t>Director, Warburg Pincus; Sean L. Cunningham, Managing Director, GTCR; David E. Wheadon, M.D., Former Senior Vice President, Global Regulatory Affairs,</w:t>
            </w:r>
          </w:p>
        </w:tc>
      </w:tr>
      <w:tr>
        <w:trPr>
          <w:trHeight w:val="186"/>
        </w:trPr>
        <w:tc>
          <w:tcPr>
            <w:tcW w:w="960" w:type="dxa"/>
            <w:vAlign w:val="bottom"/>
          </w:tcPr>
          <w:p>
            <w:pPr>
              <w:spacing w:after="0"/>
              <w:rPr>
                <w:sz w:val="16"/>
                <w:szCs w:val="16"/>
                <w:color w:val="auto"/>
              </w:rPr>
            </w:pPr>
          </w:p>
        </w:tc>
        <w:tc>
          <w:tcPr>
            <w:tcW w:w="9100" w:type="dxa"/>
            <w:vAlign w:val="bottom"/>
          </w:tcPr>
          <w:p>
            <w:pPr>
              <w:ind w:left="380"/>
              <w:spacing w:after="0"/>
              <w:rPr>
                <w:sz w:val="20"/>
                <w:szCs w:val="20"/>
                <w:color w:val="auto"/>
              </w:rPr>
            </w:pPr>
            <w:r>
              <w:rPr>
                <w:rFonts w:ascii="Arial" w:cs="Arial" w:eastAsia="Arial" w:hAnsi="Arial"/>
                <w:sz w:val="14"/>
                <w:szCs w:val="14"/>
                <w:color w:val="191919"/>
              </w:rPr>
              <w:t>Patient Safety and Quality Assurance, AstraZeneca PLC; Constantine S. Mihas, Managing Director, GTCR</w:t>
            </w:r>
          </w:p>
        </w:tc>
      </w:tr>
      <w:tr>
        <w:trPr>
          <w:trHeight w:val="264"/>
        </w:trPr>
        <w:tc>
          <w:tcPr>
            <w:tcW w:w="960" w:type="dxa"/>
            <w:vAlign w:val="bottom"/>
          </w:tcPr>
          <w:p>
            <w:pPr>
              <w:spacing w:after="0"/>
              <w:rPr>
                <w:sz w:val="20"/>
                <w:szCs w:val="20"/>
                <w:color w:val="auto"/>
              </w:rPr>
            </w:pPr>
            <w:r>
              <w:rPr>
                <w:rFonts w:ascii="Arial" w:cs="Arial" w:eastAsia="Arial" w:hAnsi="Arial"/>
                <w:sz w:val="12"/>
                <w:szCs w:val="12"/>
                <w:i w:val="1"/>
                <w:iCs w:val="1"/>
                <w:color w:val="808080"/>
              </w:rPr>
              <w:t>Seated</w:t>
            </w:r>
          </w:p>
        </w:tc>
        <w:tc>
          <w:tcPr>
            <w:tcW w:w="9100" w:type="dxa"/>
            <w:vAlign w:val="bottom"/>
          </w:tcPr>
          <w:p>
            <w:pPr>
              <w:ind w:left="380"/>
              <w:spacing w:after="0"/>
              <w:rPr>
                <w:sz w:val="20"/>
                <w:szCs w:val="20"/>
                <w:color w:val="auto"/>
              </w:rPr>
            </w:pPr>
            <w:r>
              <w:rPr>
                <w:rFonts w:ascii="Arial" w:cs="Arial" w:eastAsia="Arial" w:hAnsi="Arial"/>
                <w:sz w:val="14"/>
                <w:szCs w:val="14"/>
                <w:color w:val="191919"/>
                <w:w w:val="93"/>
              </w:rPr>
              <w:t>Vincent K. Petrella, Lead Independent Director, Sotera Health; Former Executive Vice President, Chief Financial Officer and Treasurer, Lincoln Electric</w:t>
            </w:r>
          </w:p>
        </w:tc>
      </w:tr>
      <w:tr>
        <w:trPr>
          <w:trHeight w:val="182"/>
        </w:trPr>
        <w:tc>
          <w:tcPr>
            <w:tcW w:w="960" w:type="dxa"/>
            <w:vAlign w:val="bottom"/>
          </w:tcPr>
          <w:p>
            <w:pPr>
              <w:spacing w:after="0"/>
              <w:rPr>
                <w:sz w:val="20"/>
                <w:szCs w:val="20"/>
                <w:color w:val="auto"/>
              </w:rPr>
            </w:pPr>
            <w:r>
              <w:rPr>
                <w:rFonts w:ascii="Arial" w:cs="Arial" w:eastAsia="Arial" w:hAnsi="Arial"/>
                <w:sz w:val="12"/>
                <w:szCs w:val="12"/>
                <w:i w:val="1"/>
                <w:iCs w:val="1"/>
                <w:color w:val="808080"/>
              </w:rPr>
              <w:t>left to right:</w:t>
            </w:r>
          </w:p>
        </w:tc>
        <w:tc>
          <w:tcPr>
            <w:tcW w:w="9100" w:type="dxa"/>
            <w:vAlign w:val="bottom"/>
          </w:tcPr>
          <w:p>
            <w:pPr>
              <w:ind w:left="380"/>
              <w:spacing w:after="0"/>
              <w:rPr>
                <w:sz w:val="20"/>
                <w:szCs w:val="20"/>
                <w:color w:val="auto"/>
              </w:rPr>
            </w:pPr>
            <w:r>
              <w:rPr>
                <w:rFonts w:ascii="Arial" w:cs="Arial" w:eastAsia="Arial" w:hAnsi="Arial"/>
                <w:sz w:val="14"/>
                <w:szCs w:val="14"/>
                <w:color w:val="191919"/>
                <w:w w:val="93"/>
              </w:rPr>
              <w:t>Holdings, Inc.; Michael B. Petras, Jr., Chairman and Chief Executive Officer, Sotera Health; Ann R. Klee, Former Executive Vice President of Business</w:t>
            </w:r>
          </w:p>
        </w:tc>
      </w:tr>
      <w:tr>
        <w:trPr>
          <w:trHeight w:val="184"/>
        </w:trPr>
        <w:tc>
          <w:tcPr>
            <w:tcW w:w="960" w:type="dxa"/>
            <w:vAlign w:val="bottom"/>
          </w:tcPr>
          <w:p>
            <w:pPr>
              <w:spacing w:after="0"/>
              <w:rPr>
                <w:sz w:val="15"/>
                <w:szCs w:val="15"/>
                <w:color w:val="auto"/>
              </w:rPr>
            </w:pPr>
          </w:p>
        </w:tc>
        <w:tc>
          <w:tcPr>
            <w:tcW w:w="9100" w:type="dxa"/>
            <w:vAlign w:val="bottom"/>
          </w:tcPr>
          <w:p>
            <w:pPr>
              <w:ind w:left="380"/>
              <w:spacing w:after="0"/>
              <w:rPr>
                <w:sz w:val="20"/>
                <w:szCs w:val="20"/>
                <w:color w:val="auto"/>
              </w:rPr>
            </w:pPr>
            <w:r>
              <w:rPr>
                <w:rFonts w:ascii="Arial" w:cs="Arial" w:eastAsia="Arial" w:hAnsi="Arial"/>
                <w:sz w:val="14"/>
                <w:szCs w:val="14"/>
                <w:color w:val="191919"/>
              </w:rPr>
              <w:t>Development &amp; External Affairs, Suffolk Construction</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32"/>
          <w:szCs w:val="32"/>
          <w:color w:val="auto"/>
        </w:rPr>
        <w:t>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-209550</wp:posOffset>
            </wp:positionV>
            <wp:extent cx="121285" cy="235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285" cy="235585"/>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160020</wp:posOffset>
            </wp:positionV>
            <wp:extent cx="914400" cy="175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4400" cy="175196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160020</wp:posOffset>
            </wp:positionV>
            <wp:extent cx="914400" cy="1751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0" cy="175133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160020</wp:posOffset>
            </wp:positionV>
            <wp:extent cx="914400" cy="1751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4400" cy="175133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6"/>
                <w:szCs w:val="16"/>
                <w:color w:val="191919"/>
              </w:rPr>
              <w:t>Michael B. Petras, Jr.</w:t>
            </w:r>
          </w:p>
        </w:tc>
        <w:tc>
          <w:tcPr>
            <w:tcW w:w="3600" w:type="dxa"/>
            <w:vAlign w:val="bottom"/>
          </w:tcPr>
          <w:p>
            <w:pPr>
              <w:ind w:left="1080"/>
              <w:spacing w:after="0"/>
              <w:rPr>
                <w:sz w:val="20"/>
                <w:szCs w:val="20"/>
                <w:color w:val="auto"/>
              </w:rPr>
            </w:pPr>
            <w:r>
              <w:rPr>
                <w:rFonts w:ascii="Arial" w:cs="Arial" w:eastAsia="Arial" w:hAnsi="Arial"/>
                <w:sz w:val="16"/>
                <w:szCs w:val="16"/>
                <w:color w:val="191919"/>
              </w:rPr>
              <w:t>Jonathan M. Lyons</w:t>
            </w:r>
          </w:p>
        </w:tc>
        <w:tc>
          <w:tcPr>
            <w:tcW w:w="2040" w:type="dxa"/>
            <w:vAlign w:val="bottom"/>
          </w:tcPr>
          <w:p>
            <w:pPr>
              <w:ind w:left="900"/>
              <w:spacing w:after="0"/>
              <w:rPr>
                <w:sz w:val="20"/>
                <w:szCs w:val="20"/>
                <w:color w:val="auto"/>
              </w:rPr>
            </w:pPr>
            <w:r>
              <w:rPr>
                <w:rFonts w:ascii="Arial" w:cs="Arial" w:eastAsia="Arial" w:hAnsi="Arial"/>
                <w:sz w:val="16"/>
                <w:szCs w:val="16"/>
                <w:color w:val="191919"/>
              </w:rPr>
              <w:t>Riaz Bandali</w:t>
            </w:r>
          </w:p>
        </w:tc>
      </w:tr>
      <w:tr>
        <w:trPr>
          <w:trHeight w:val="193"/>
        </w:trPr>
        <w:tc>
          <w:tcPr>
            <w:tcW w:w="2360" w:type="dxa"/>
            <w:vAlign w:val="bottom"/>
          </w:tcPr>
          <w:p>
            <w:pPr>
              <w:spacing w:after="0"/>
              <w:rPr>
                <w:sz w:val="20"/>
                <w:szCs w:val="20"/>
                <w:color w:val="auto"/>
              </w:rPr>
            </w:pPr>
            <w:r>
              <w:rPr>
                <w:rFonts w:ascii="Arial" w:cs="Arial" w:eastAsia="Arial" w:hAnsi="Arial"/>
                <w:sz w:val="15"/>
                <w:szCs w:val="15"/>
                <w:color w:val="191919"/>
              </w:rPr>
              <w:t>Chairman and Chief</w:t>
            </w:r>
          </w:p>
        </w:tc>
        <w:tc>
          <w:tcPr>
            <w:tcW w:w="3600" w:type="dxa"/>
            <w:vAlign w:val="bottom"/>
          </w:tcPr>
          <w:p>
            <w:pPr>
              <w:ind w:left="1080"/>
              <w:spacing w:after="0"/>
              <w:rPr>
                <w:sz w:val="20"/>
                <w:szCs w:val="20"/>
                <w:color w:val="auto"/>
              </w:rPr>
            </w:pPr>
            <w:r>
              <w:rPr>
                <w:rFonts w:ascii="Arial" w:cs="Arial" w:eastAsia="Arial" w:hAnsi="Arial"/>
                <w:sz w:val="15"/>
                <w:szCs w:val="15"/>
                <w:color w:val="191919"/>
              </w:rPr>
              <w:t>Senior Vice President</w:t>
            </w:r>
          </w:p>
        </w:tc>
        <w:tc>
          <w:tcPr>
            <w:tcW w:w="2040" w:type="dxa"/>
            <w:vAlign w:val="bottom"/>
          </w:tcPr>
          <w:p>
            <w:pPr>
              <w:ind w:left="900"/>
              <w:spacing w:after="0"/>
              <w:rPr>
                <w:sz w:val="20"/>
                <w:szCs w:val="20"/>
                <w:color w:val="auto"/>
              </w:rPr>
            </w:pPr>
            <w:r>
              <w:rPr>
                <w:rFonts w:ascii="Arial" w:cs="Arial" w:eastAsia="Arial" w:hAnsi="Arial"/>
                <w:sz w:val="15"/>
                <w:szCs w:val="15"/>
                <w:color w:val="191919"/>
                <w:w w:val="90"/>
              </w:rPr>
              <w:t>President, Nordion</w:t>
            </w:r>
          </w:p>
        </w:tc>
      </w:tr>
      <w:tr>
        <w:trPr>
          <w:trHeight w:val="190"/>
        </w:trPr>
        <w:tc>
          <w:tcPr>
            <w:tcW w:w="2360" w:type="dxa"/>
            <w:vAlign w:val="bottom"/>
          </w:tcPr>
          <w:p>
            <w:pPr>
              <w:spacing w:after="0"/>
              <w:rPr>
                <w:sz w:val="20"/>
                <w:szCs w:val="20"/>
                <w:color w:val="auto"/>
              </w:rPr>
            </w:pPr>
            <w:r>
              <w:rPr>
                <w:rFonts w:ascii="Arial" w:cs="Arial" w:eastAsia="Arial" w:hAnsi="Arial"/>
                <w:sz w:val="15"/>
                <w:szCs w:val="15"/>
                <w:color w:val="191919"/>
              </w:rPr>
              <w:t>Executive Officer,</w:t>
            </w:r>
          </w:p>
        </w:tc>
        <w:tc>
          <w:tcPr>
            <w:tcW w:w="3600" w:type="dxa"/>
            <w:vAlign w:val="bottom"/>
          </w:tcPr>
          <w:p>
            <w:pPr>
              <w:ind w:left="1080"/>
              <w:spacing w:after="0"/>
              <w:rPr>
                <w:sz w:val="20"/>
                <w:szCs w:val="20"/>
                <w:color w:val="auto"/>
              </w:rPr>
            </w:pPr>
            <w:r>
              <w:rPr>
                <w:rFonts w:ascii="Arial" w:cs="Arial" w:eastAsia="Arial" w:hAnsi="Arial"/>
                <w:sz w:val="15"/>
                <w:szCs w:val="15"/>
                <w:color w:val="191919"/>
              </w:rPr>
              <w:t>and Chief Financial Officer,</w:t>
            </w:r>
          </w:p>
        </w:tc>
        <w:tc>
          <w:tcPr>
            <w:tcW w:w="2040" w:type="dxa"/>
            <w:vAlign w:val="bottom"/>
          </w:tcPr>
          <w:p>
            <w:pPr>
              <w:spacing w:after="0"/>
              <w:rPr>
                <w:sz w:val="16"/>
                <w:szCs w:val="16"/>
                <w:color w:val="auto"/>
              </w:rPr>
            </w:pPr>
          </w:p>
        </w:tc>
      </w:tr>
      <w:tr>
        <w:trPr>
          <w:trHeight w:val="196"/>
        </w:trPr>
        <w:tc>
          <w:tcPr>
            <w:tcW w:w="2360" w:type="dxa"/>
            <w:vAlign w:val="bottom"/>
          </w:tcPr>
          <w:p>
            <w:pPr>
              <w:spacing w:after="0"/>
              <w:rPr>
                <w:sz w:val="20"/>
                <w:szCs w:val="20"/>
                <w:color w:val="auto"/>
              </w:rPr>
            </w:pPr>
            <w:r>
              <w:rPr>
                <w:rFonts w:ascii="Arial" w:cs="Arial" w:eastAsia="Arial" w:hAnsi="Arial"/>
                <w:sz w:val="15"/>
                <w:szCs w:val="15"/>
                <w:color w:val="191919"/>
              </w:rPr>
              <w:t>Sotera Health</w:t>
            </w:r>
          </w:p>
        </w:tc>
        <w:tc>
          <w:tcPr>
            <w:tcW w:w="3600" w:type="dxa"/>
            <w:vAlign w:val="bottom"/>
          </w:tcPr>
          <w:p>
            <w:pPr>
              <w:ind w:left="1080"/>
              <w:spacing w:after="0"/>
              <w:rPr>
                <w:sz w:val="20"/>
                <w:szCs w:val="20"/>
                <w:color w:val="auto"/>
              </w:rPr>
            </w:pPr>
            <w:r>
              <w:rPr>
                <w:rFonts w:ascii="Arial" w:cs="Arial" w:eastAsia="Arial" w:hAnsi="Arial"/>
                <w:sz w:val="15"/>
                <w:szCs w:val="15"/>
                <w:color w:val="191919"/>
              </w:rPr>
              <w:t>Sotera Health</w:t>
            </w:r>
          </w:p>
        </w:tc>
        <w:tc>
          <w:tcPr>
            <w:tcW w:w="2040" w:type="dxa"/>
            <w:vAlign w:val="bottom"/>
          </w:tcPr>
          <w:p>
            <w:pPr>
              <w:spacing w:after="0"/>
              <w:rPr>
                <w:sz w:val="17"/>
                <w:szCs w:val="17"/>
                <w:color w:val="auto"/>
              </w:rPr>
            </w:pPr>
          </w:p>
        </w:tc>
      </w:tr>
    </w:tbl>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506"/>
        </w:trPr>
        <w:tc>
          <w:tcPr>
            <w:tcW w:w="1440" w:type="dxa"/>
            <w:vAlign w:val="bottom"/>
            <w:shd w:val="clear" w:color="auto" w:fill="000000"/>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6"/>
                <w:szCs w:val="16"/>
                <w:color w:val="191919"/>
              </w:rPr>
              <w:t>Michael P. Rutz</w:t>
            </w:r>
          </w:p>
        </w:tc>
        <w:tc>
          <w:tcPr>
            <w:tcW w:w="1440" w:type="dxa"/>
            <w:vAlign w:val="bottom"/>
            <w:shd w:val="clear" w:color="auto" w:fill="000000"/>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6"/>
                <w:szCs w:val="16"/>
                <w:color w:val="191919"/>
              </w:rPr>
              <w:t>Joseph A. Shrawder</w:t>
            </w:r>
          </w:p>
        </w:tc>
        <w:tc>
          <w:tcPr>
            <w:tcW w:w="1440" w:type="dxa"/>
            <w:vAlign w:val="bottom"/>
            <w:shd w:val="clear" w:color="auto" w:fill="000000"/>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191919"/>
              </w:rPr>
              <w:t>Alex Dimitrief</w:t>
            </w:r>
          </w:p>
        </w:tc>
      </w:tr>
      <w:tr>
        <w:trPr>
          <w:trHeight w:val="190"/>
        </w:trPr>
        <w:tc>
          <w:tcPr>
            <w:tcW w:w="1440" w:type="dxa"/>
            <w:vAlign w:val="bottom"/>
            <w:shd w:val="clear" w:color="auto" w:fill="000000"/>
          </w:tcPr>
          <w:p>
            <w:pPr>
              <w:spacing w:after="0"/>
              <w:rPr>
                <w:sz w:val="16"/>
                <w:szCs w:val="16"/>
                <w:color w:val="auto"/>
              </w:rPr>
            </w:pPr>
          </w:p>
        </w:tc>
        <w:tc>
          <w:tcPr>
            <w:tcW w:w="2000" w:type="dxa"/>
            <w:vAlign w:val="bottom"/>
          </w:tcPr>
          <w:p>
            <w:pPr>
              <w:ind w:left="20"/>
              <w:spacing w:after="0"/>
              <w:rPr>
                <w:sz w:val="20"/>
                <w:szCs w:val="20"/>
                <w:color w:val="auto"/>
              </w:rPr>
            </w:pPr>
            <w:r>
              <w:rPr>
                <w:rFonts w:ascii="Arial" w:cs="Arial" w:eastAsia="Arial" w:hAnsi="Arial"/>
                <w:sz w:val="15"/>
                <w:szCs w:val="15"/>
                <w:color w:val="191919"/>
              </w:rPr>
              <w:t>President, Sterigenics</w:t>
            </w:r>
          </w:p>
        </w:tc>
        <w:tc>
          <w:tcPr>
            <w:tcW w:w="1440" w:type="dxa"/>
            <w:vAlign w:val="bottom"/>
            <w:shd w:val="clear" w:color="auto" w:fill="000000"/>
          </w:tcPr>
          <w:p>
            <w:pPr>
              <w:spacing w:after="0"/>
              <w:rPr>
                <w:sz w:val="16"/>
                <w:szCs w:val="16"/>
                <w:color w:val="auto"/>
              </w:rPr>
            </w:pPr>
          </w:p>
        </w:tc>
        <w:tc>
          <w:tcPr>
            <w:tcW w:w="2000" w:type="dxa"/>
            <w:vAlign w:val="bottom"/>
          </w:tcPr>
          <w:p>
            <w:pPr>
              <w:ind w:left="20"/>
              <w:spacing w:after="0"/>
              <w:rPr>
                <w:sz w:val="20"/>
                <w:szCs w:val="20"/>
                <w:color w:val="auto"/>
              </w:rPr>
            </w:pPr>
            <w:r>
              <w:rPr>
                <w:rFonts w:ascii="Arial" w:cs="Arial" w:eastAsia="Arial" w:hAnsi="Arial"/>
                <w:sz w:val="15"/>
                <w:szCs w:val="15"/>
                <w:color w:val="191919"/>
              </w:rPr>
              <w:t>President, Nelson Labs</w:t>
            </w:r>
          </w:p>
        </w:tc>
        <w:tc>
          <w:tcPr>
            <w:tcW w:w="1440" w:type="dxa"/>
            <w:vAlign w:val="bottom"/>
            <w:shd w:val="clear" w:color="auto" w:fill="000000"/>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191919"/>
                <w:w w:val="88"/>
              </w:rPr>
              <w:t>Senior Vice President</w:t>
            </w:r>
          </w:p>
        </w:tc>
      </w:tr>
      <w:tr>
        <w:trPr>
          <w:trHeight w:val="190"/>
        </w:trPr>
        <w:tc>
          <w:tcPr>
            <w:tcW w:w="1440" w:type="dxa"/>
            <w:vAlign w:val="bottom"/>
            <w:shd w:val="clear" w:color="auto" w:fill="000000"/>
          </w:tcPr>
          <w:p>
            <w:pPr>
              <w:spacing w:after="0"/>
              <w:rPr>
                <w:sz w:val="16"/>
                <w:szCs w:val="16"/>
                <w:color w:val="auto"/>
              </w:rPr>
            </w:pPr>
          </w:p>
        </w:tc>
        <w:tc>
          <w:tcPr>
            <w:tcW w:w="2000" w:type="dxa"/>
            <w:vAlign w:val="bottom"/>
          </w:tcPr>
          <w:p>
            <w:pPr>
              <w:spacing w:after="0"/>
              <w:rPr>
                <w:sz w:val="16"/>
                <w:szCs w:val="16"/>
                <w:color w:val="auto"/>
              </w:rPr>
            </w:pPr>
          </w:p>
        </w:tc>
        <w:tc>
          <w:tcPr>
            <w:tcW w:w="1440" w:type="dxa"/>
            <w:vAlign w:val="bottom"/>
            <w:shd w:val="clear" w:color="auto" w:fill="000000"/>
          </w:tcPr>
          <w:p>
            <w:pPr>
              <w:spacing w:after="0"/>
              <w:rPr>
                <w:sz w:val="16"/>
                <w:szCs w:val="16"/>
                <w:color w:val="auto"/>
              </w:rPr>
            </w:pPr>
          </w:p>
        </w:tc>
        <w:tc>
          <w:tcPr>
            <w:tcW w:w="2000" w:type="dxa"/>
            <w:vAlign w:val="bottom"/>
          </w:tcPr>
          <w:p>
            <w:pPr>
              <w:spacing w:after="0"/>
              <w:rPr>
                <w:sz w:val="16"/>
                <w:szCs w:val="16"/>
                <w:color w:val="auto"/>
              </w:rPr>
            </w:pPr>
          </w:p>
        </w:tc>
        <w:tc>
          <w:tcPr>
            <w:tcW w:w="1440" w:type="dxa"/>
            <w:vAlign w:val="bottom"/>
            <w:shd w:val="clear" w:color="auto" w:fill="000000"/>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191919"/>
                <w:w w:val="87"/>
              </w:rPr>
              <w:t>and General Counsel,</w:t>
            </w:r>
          </w:p>
        </w:tc>
      </w:tr>
      <w:tr>
        <w:trPr>
          <w:trHeight w:val="196"/>
        </w:trPr>
        <w:tc>
          <w:tcPr>
            <w:tcW w:w="1440" w:type="dxa"/>
            <w:vAlign w:val="bottom"/>
            <w:shd w:val="clear" w:color="auto" w:fill="000000"/>
          </w:tcPr>
          <w:p>
            <w:pPr>
              <w:spacing w:after="0"/>
              <w:rPr>
                <w:sz w:val="17"/>
                <w:szCs w:val="17"/>
                <w:color w:val="auto"/>
              </w:rPr>
            </w:pPr>
          </w:p>
        </w:tc>
        <w:tc>
          <w:tcPr>
            <w:tcW w:w="2000" w:type="dxa"/>
            <w:vAlign w:val="bottom"/>
          </w:tcPr>
          <w:p>
            <w:pPr>
              <w:spacing w:after="0"/>
              <w:rPr>
                <w:sz w:val="17"/>
                <w:szCs w:val="17"/>
                <w:color w:val="auto"/>
              </w:rPr>
            </w:pPr>
          </w:p>
        </w:tc>
        <w:tc>
          <w:tcPr>
            <w:tcW w:w="1440" w:type="dxa"/>
            <w:vAlign w:val="bottom"/>
            <w:shd w:val="clear" w:color="auto" w:fill="000000"/>
          </w:tcPr>
          <w:p>
            <w:pPr>
              <w:spacing w:after="0"/>
              <w:rPr>
                <w:sz w:val="17"/>
                <w:szCs w:val="17"/>
                <w:color w:val="auto"/>
              </w:rPr>
            </w:pPr>
          </w:p>
        </w:tc>
        <w:tc>
          <w:tcPr>
            <w:tcW w:w="2000" w:type="dxa"/>
            <w:vAlign w:val="bottom"/>
          </w:tcPr>
          <w:p>
            <w:pPr>
              <w:spacing w:after="0"/>
              <w:rPr>
                <w:sz w:val="17"/>
                <w:szCs w:val="17"/>
                <w:color w:val="auto"/>
              </w:rPr>
            </w:pPr>
          </w:p>
        </w:tc>
        <w:tc>
          <w:tcPr>
            <w:tcW w:w="1440" w:type="dxa"/>
            <w:vAlign w:val="bottom"/>
            <w:shd w:val="clear" w:color="auto" w:fill="000000"/>
          </w:tcPr>
          <w:p>
            <w:pPr>
              <w:spacing w:after="0"/>
              <w:rPr>
                <w:sz w:val="17"/>
                <w:szCs w:val="17"/>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191919"/>
              </w:rPr>
              <w:t>Sotera Health</w:t>
            </w:r>
          </w:p>
        </w:tc>
      </w:tr>
      <w:tr>
        <w:trPr>
          <w:trHeight w:val="365"/>
        </w:trPr>
        <w:tc>
          <w:tcPr>
            <w:tcW w:w="1440" w:type="dxa"/>
            <w:vAlign w:val="bottom"/>
            <w:shd w:val="clear" w:color="auto" w:fill="000000"/>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shd w:val="clear" w:color="auto" w:fill="000000"/>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shd w:val="clear" w:color="auto" w:fill="000000"/>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2334895</wp:posOffset>
            </wp:positionH>
            <wp:positionV relativeFrom="paragraph">
              <wp:posOffset>-21590</wp:posOffset>
            </wp:positionV>
            <wp:extent cx="915035" cy="1807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5035" cy="1807210"/>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-21590</wp:posOffset>
            </wp:positionV>
            <wp:extent cx="914400" cy="1748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4400" cy="174879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-21590</wp:posOffset>
            </wp:positionV>
            <wp:extent cx="918210" cy="1807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18210" cy="1807210"/>
                    </a:xfrm>
                    <a:prstGeom prst="rect">
                      <a:avLst/>
                    </a:prstGeom>
                    <a:noFill/>
                  </pic:spPr>
                </pic:pic>
              </a:graphicData>
            </a:graphic>
          </wp:anchor>
        </w:drawing>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Arial" w:cs="Arial" w:eastAsia="Arial" w:hAnsi="Arial"/>
                <w:sz w:val="16"/>
                <w:szCs w:val="16"/>
                <w:color w:val="191919"/>
              </w:rPr>
              <w:t>Kristin A. Gibbs</w:t>
            </w:r>
          </w:p>
        </w:tc>
        <w:tc>
          <w:tcPr>
            <w:tcW w:w="3480" w:type="dxa"/>
            <w:vAlign w:val="bottom"/>
          </w:tcPr>
          <w:p>
            <w:pPr>
              <w:ind w:left="1020"/>
              <w:spacing w:after="0"/>
              <w:rPr>
                <w:sz w:val="20"/>
                <w:szCs w:val="20"/>
                <w:color w:val="auto"/>
              </w:rPr>
            </w:pPr>
            <w:r>
              <w:rPr>
                <w:rFonts w:ascii="Arial" w:cs="Arial" w:eastAsia="Arial" w:hAnsi="Arial"/>
                <w:sz w:val="16"/>
                <w:szCs w:val="16"/>
                <w:color w:val="191919"/>
              </w:rPr>
              <w:t>Robert G. Hauzie</w:t>
            </w:r>
          </w:p>
        </w:tc>
        <w:tc>
          <w:tcPr>
            <w:tcW w:w="2580" w:type="dxa"/>
            <w:vAlign w:val="bottom"/>
          </w:tcPr>
          <w:p>
            <w:pPr>
              <w:ind w:left="980"/>
              <w:spacing w:after="0"/>
              <w:rPr>
                <w:sz w:val="20"/>
                <w:szCs w:val="20"/>
                <w:color w:val="auto"/>
              </w:rPr>
            </w:pPr>
            <w:r>
              <w:rPr>
                <w:rFonts w:ascii="Arial" w:cs="Arial" w:eastAsia="Arial" w:hAnsi="Arial"/>
                <w:sz w:val="16"/>
                <w:szCs w:val="16"/>
                <w:color w:val="191919"/>
                <w:w w:val="88"/>
              </w:rPr>
              <w:t>William (BJ) O. Lehmann</w:t>
            </w:r>
          </w:p>
        </w:tc>
      </w:tr>
      <w:tr>
        <w:trPr>
          <w:trHeight w:val="190"/>
        </w:trPr>
        <w:tc>
          <w:tcPr>
            <w:tcW w:w="2420" w:type="dxa"/>
            <w:vAlign w:val="bottom"/>
          </w:tcPr>
          <w:p>
            <w:pPr>
              <w:spacing w:after="0"/>
              <w:rPr>
                <w:sz w:val="20"/>
                <w:szCs w:val="20"/>
                <w:color w:val="auto"/>
              </w:rPr>
            </w:pPr>
            <w:r>
              <w:rPr>
                <w:rFonts w:ascii="Arial" w:cs="Arial" w:eastAsia="Arial" w:hAnsi="Arial"/>
                <w:sz w:val="15"/>
                <w:szCs w:val="15"/>
                <w:color w:val="191919"/>
              </w:rPr>
              <w:t>Chief Marketing Officer,</w:t>
            </w:r>
          </w:p>
        </w:tc>
        <w:tc>
          <w:tcPr>
            <w:tcW w:w="3480" w:type="dxa"/>
            <w:vAlign w:val="bottom"/>
          </w:tcPr>
          <w:p>
            <w:pPr>
              <w:ind w:left="1020"/>
              <w:spacing w:after="0"/>
              <w:rPr>
                <w:sz w:val="20"/>
                <w:szCs w:val="20"/>
                <w:color w:val="auto"/>
              </w:rPr>
            </w:pPr>
            <w:r>
              <w:rPr>
                <w:rFonts w:ascii="Arial" w:cs="Arial" w:eastAsia="Arial" w:hAnsi="Arial"/>
                <w:sz w:val="15"/>
                <w:szCs w:val="15"/>
                <w:color w:val="191919"/>
              </w:rPr>
              <w:t>Chief Information Officer,</w:t>
            </w:r>
          </w:p>
        </w:tc>
        <w:tc>
          <w:tcPr>
            <w:tcW w:w="2580" w:type="dxa"/>
            <w:vAlign w:val="bottom"/>
          </w:tcPr>
          <w:p>
            <w:pPr>
              <w:ind w:left="980"/>
              <w:spacing w:after="0"/>
              <w:rPr>
                <w:sz w:val="20"/>
                <w:szCs w:val="20"/>
                <w:color w:val="auto"/>
              </w:rPr>
            </w:pPr>
            <w:r>
              <w:rPr>
                <w:rFonts w:ascii="Arial" w:cs="Arial" w:eastAsia="Arial" w:hAnsi="Arial"/>
                <w:sz w:val="15"/>
                <w:szCs w:val="15"/>
                <w:color w:val="191919"/>
              </w:rPr>
              <w:t>Senior Vice President,</w:t>
            </w:r>
          </w:p>
        </w:tc>
      </w:tr>
      <w:tr>
        <w:trPr>
          <w:trHeight w:val="190"/>
        </w:trPr>
        <w:tc>
          <w:tcPr>
            <w:tcW w:w="2420" w:type="dxa"/>
            <w:vAlign w:val="bottom"/>
          </w:tcPr>
          <w:p>
            <w:pPr>
              <w:spacing w:after="0"/>
              <w:rPr>
                <w:sz w:val="20"/>
                <w:szCs w:val="20"/>
                <w:color w:val="auto"/>
              </w:rPr>
            </w:pPr>
            <w:r>
              <w:rPr>
                <w:rFonts w:ascii="Arial" w:cs="Arial" w:eastAsia="Arial" w:hAnsi="Arial"/>
                <w:sz w:val="15"/>
                <w:szCs w:val="15"/>
                <w:color w:val="191919"/>
              </w:rPr>
              <w:t>Sotera Health</w:t>
            </w:r>
          </w:p>
        </w:tc>
        <w:tc>
          <w:tcPr>
            <w:tcW w:w="3480" w:type="dxa"/>
            <w:vAlign w:val="bottom"/>
          </w:tcPr>
          <w:p>
            <w:pPr>
              <w:ind w:left="1020"/>
              <w:spacing w:after="0"/>
              <w:rPr>
                <w:sz w:val="20"/>
                <w:szCs w:val="20"/>
                <w:color w:val="auto"/>
              </w:rPr>
            </w:pPr>
            <w:r>
              <w:rPr>
                <w:rFonts w:ascii="Arial" w:cs="Arial" w:eastAsia="Arial" w:hAnsi="Arial"/>
                <w:sz w:val="15"/>
                <w:szCs w:val="15"/>
                <w:color w:val="191919"/>
              </w:rPr>
              <w:t>Sotera Health</w:t>
            </w:r>
          </w:p>
        </w:tc>
        <w:tc>
          <w:tcPr>
            <w:tcW w:w="2580" w:type="dxa"/>
            <w:vAlign w:val="bottom"/>
          </w:tcPr>
          <w:p>
            <w:pPr>
              <w:ind w:left="980"/>
              <w:spacing w:after="0"/>
              <w:rPr>
                <w:sz w:val="20"/>
                <w:szCs w:val="20"/>
                <w:color w:val="auto"/>
              </w:rPr>
            </w:pPr>
            <w:r>
              <w:rPr>
                <w:rFonts w:ascii="Arial" w:cs="Arial" w:eastAsia="Arial" w:hAnsi="Arial"/>
                <w:sz w:val="15"/>
                <w:szCs w:val="15"/>
                <w:color w:val="191919"/>
                <w:w w:val="91"/>
              </w:rPr>
              <w:t>Corporate Development &amp;</w:t>
            </w:r>
          </w:p>
        </w:tc>
      </w:tr>
      <w:tr>
        <w:trPr>
          <w:trHeight w:val="196"/>
        </w:trPr>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580" w:type="dxa"/>
            <w:vAlign w:val="bottom"/>
          </w:tcPr>
          <w:p>
            <w:pPr>
              <w:ind w:left="980"/>
              <w:spacing w:after="0"/>
              <w:rPr>
                <w:sz w:val="20"/>
                <w:szCs w:val="20"/>
                <w:color w:val="auto"/>
              </w:rPr>
            </w:pPr>
            <w:r>
              <w:rPr>
                <w:rFonts w:ascii="Arial" w:cs="Arial" w:eastAsia="Arial" w:hAnsi="Arial"/>
                <w:sz w:val="15"/>
                <w:szCs w:val="15"/>
                <w:color w:val="191919"/>
              </w:rPr>
              <w:t>Strategy, Sotera Health</w:t>
            </w:r>
          </w:p>
        </w:tc>
      </w:tr>
    </w:tbl>
    <w:p>
      <w:pPr>
        <w:spacing w:after="0" w:line="327" w:lineRule="exact"/>
        <w:rPr>
          <w:sz w:val="20"/>
          <w:szCs w:val="20"/>
          <w:color w:val="auto"/>
        </w:rPr>
      </w:pPr>
    </w:p>
    <w:tbl>
      <w:tblPr>
        <w:tblLayout w:type="fixed"/>
        <w:tblInd w:w="240" w:type="dxa"/>
        <w:tblCellMar>
          <w:top w:w="0" w:type="dxa"/>
          <w:left w:w="0" w:type="dxa"/>
          <w:bottom w:w="0" w:type="dxa"/>
          <w:right w:w="0" w:type="dxa"/>
        </w:tblCellMar>
      </w:tblPr>
      <w:tr>
        <w:trPr>
          <w:trHeight w:val="503"/>
        </w:trPr>
        <w:tc>
          <w:tcPr>
            <w:tcW w:w="1440" w:type="dxa"/>
            <w:vAlign w:val="bottom"/>
            <w:shd w:val="clear" w:color="auto" w:fill="000000"/>
          </w:tcPr>
          <w:p>
            <w:pPr>
              <w:spacing w:after="0"/>
              <w:rPr>
                <w:sz w:val="24"/>
                <w:szCs w:val="24"/>
                <w:color w:val="auto"/>
              </w:rPr>
            </w:pPr>
          </w:p>
        </w:tc>
        <w:tc>
          <w:tcPr>
            <w:tcW w:w="2620" w:type="dxa"/>
            <w:vAlign w:val="bottom"/>
          </w:tcPr>
          <w:p>
            <w:pPr>
              <w:ind w:left="20"/>
              <w:spacing w:after="0"/>
              <w:rPr>
                <w:sz w:val="20"/>
                <w:szCs w:val="20"/>
                <w:color w:val="auto"/>
              </w:rPr>
            </w:pPr>
            <w:r>
              <w:rPr>
                <w:rFonts w:ascii="Arial" w:cs="Arial" w:eastAsia="Arial" w:hAnsi="Arial"/>
                <w:sz w:val="16"/>
                <w:szCs w:val="16"/>
                <w:color w:val="191919"/>
              </w:rPr>
              <w:t>Danielle J. Menture</w:t>
            </w:r>
          </w:p>
        </w:tc>
        <w:tc>
          <w:tcPr>
            <w:tcW w:w="3300" w:type="dxa"/>
            <w:vAlign w:val="bottom"/>
          </w:tcPr>
          <w:p>
            <w:pPr>
              <w:ind w:left="840"/>
              <w:spacing w:after="0"/>
              <w:rPr>
                <w:sz w:val="20"/>
                <w:szCs w:val="20"/>
                <w:color w:val="auto"/>
              </w:rPr>
            </w:pPr>
            <w:r>
              <w:rPr>
                <w:rFonts w:ascii="Arial" w:cs="Arial" w:eastAsia="Arial" w:hAnsi="Arial"/>
                <w:sz w:val="16"/>
                <w:szCs w:val="16"/>
                <w:color w:val="191919"/>
              </w:rPr>
              <w:t>Erika Ostrowski</w:t>
            </w:r>
          </w:p>
        </w:tc>
        <w:tc>
          <w:tcPr>
            <w:tcW w:w="2420" w:type="dxa"/>
            <w:vAlign w:val="bottom"/>
          </w:tcPr>
          <w:p>
            <w:pPr>
              <w:ind w:left="980"/>
              <w:spacing w:after="0"/>
              <w:rPr>
                <w:sz w:val="20"/>
                <w:szCs w:val="20"/>
                <w:color w:val="auto"/>
              </w:rPr>
            </w:pPr>
            <w:r>
              <w:rPr>
                <w:rFonts w:ascii="Arial" w:cs="Arial" w:eastAsia="Arial" w:hAnsi="Arial"/>
                <w:sz w:val="16"/>
                <w:szCs w:val="16"/>
                <w:color w:val="191919"/>
              </w:rPr>
              <w:t>Sally R. Turner</w:t>
            </w:r>
          </w:p>
        </w:tc>
      </w:tr>
      <w:tr>
        <w:trPr>
          <w:trHeight w:val="190"/>
        </w:trPr>
        <w:tc>
          <w:tcPr>
            <w:tcW w:w="1440" w:type="dxa"/>
            <w:vAlign w:val="bottom"/>
            <w:shd w:val="clear" w:color="auto" w:fill="000000"/>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5"/>
                <w:szCs w:val="15"/>
                <w:color w:val="191919"/>
              </w:rPr>
              <w:t>Senior Vice President,</w:t>
            </w:r>
          </w:p>
        </w:tc>
        <w:tc>
          <w:tcPr>
            <w:tcW w:w="3300" w:type="dxa"/>
            <w:vAlign w:val="bottom"/>
          </w:tcPr>
          <w:p>
            <w:pPr>
              <w:ind w:left="840"/>
              <w:spacing w:after="0"/>
              <w:rPr>
                <w:sz w:val="20"/>
                <w:szCs w:val="20"/>
                <w:color w:val="auto"/>
              </w:rPr>
            </w:pPr>
            <w:r>
              <w:rPr>
                <w:rFonts w:ascii="Arial" w:cs="Arial" w:eastAsia="Arial" w:hAnsi="Arial"/>
                <w:sz w:val="15"/>
                <w:szCs w:val="15"/>
                <w:color w:val="191919"/>
              </w:rPr>
              <w:t>Vice President,</w:t>
            </w:r>
          </w:p>
        </w:tc>
        <w:tc>
          <w:tcPr>
            <w:tcW w:w="2420" w:type="dxa"/>
            <w:vAlign w:val="bottom"/>
          </w:tcPr>
          <w:p>
            <w:pPr>
              <w:ind w:left="980"/>
              <w:spacing w:after="0"/>
              <w:rPr>
                <w:sz w:val="20"/>
                <w:szCs w:val="20"/>
                <w:color w:val="auto"/>
              </w:rPr>
            </w:pPr>
            <w:r>
              <w:rPr>
                <w:rFonts w:ascii="Arial" w:cs="Arial" w:eastAsia="Arial" w:hAnsi="Arial"/>
                <w:sz w:val="15"/>
                <w:szCs w:val="15"/>
                <w:color w:val="191919"/>
                <w:w w:val="86"/>
              </w:rPr>
              <w:t>Chief Human Resources</w:t>
            </w:r>
          </w:p>
        </w:tc>
      </w:tr>
      <w:tr>
        <w:trPr>
          <w:trHeight w:val="190"/>
        </w:trPr>
        <w:tc>
          <w:tcPr>
            <w:tcW w:w="1440" w:type="dxa"/>
            <w:vAlign w:val="bottom"/>
            <w:shd w:val="clear" w:color="auto" w:fill="000000"/>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5"/>
                <w:szCs w:val="15"/>
                <w:color w:val="191919"/>
              </w:rPr>
              <w:t>Global Environmental, Health</w:t>
            </w:r>
          </w:p>
        </w:tc>
        <w:tc>
          <w:tcPr>
            <w:tcW w:w="3300" w:type="dxa"/>
            <w:vAlign w:val="bottom"/>
          </w:tcPr>
          <w:p>
            <w:pPr>
              <w:ind w:left="840"/>
              <w:spacing w:after="0"/>
              <w:rPr>
                <w:sz w:val="20"/>
                <w:szCs w:val="20"/>
                <w:color w:val="auto"/>
              </w:rPr>
            </w:pPr>
            <w:r>
              <w:rPr>
                <w:rFonts w:ascii="Arial" w:cs="Arial" w:eastAsia="Arial" w:hAnsi="Arial"/>
                <w:sz w:val="15"/>
                <w:szCs w:val="15"/>
                <w:color w:val="191919"/>
              </w:rPr>
              <w:t>Deputy General Counsel</w:t>
            </w:r>
          </w:p>
        </w:tc>
        <w:tc>
          <w:tcPr>
            <w:tcW w:w="2420" w:type="dxa"/>
            <w:vAlign w:val="bottom"/>
          </w:tcPr>
          <w:p>
            <w:pPr>
              <w:ind w:left="980"/>
              <w:spacing w:after="0"/>
              <w:rPr>
                <w:sz w:val="20"/>
                <w:szCs w:val="20"/>
                <w:color w:val="auto"/>
              </w:rPr>
            </w:pPr>
            <w:r>
              <w:rPr>
                <w:rFonts w:ascii="Arial" w:cs="Arial" w:eastAsia="Arial" w:hAnsi="Arial"/>
                <w:sz w:val="15"/>
                <w:szCs w:val="15"/>
                <w:color w:val="191919"/>
                <w:w w:val="98"/>
              </w:rPr>
              <w:t>Officer, Sotera Health</w:t>
            </w:r>
          </w:p>
        </w:tc>
      </w:tr>
      <w:tr>
        <w:trPr>
          <w:trHeight w:val="190"/>
        </w:trPr>
        <w:tc>
          <w:tcPr>
            <w:tcW w:w="1440" w:type="dxa"/>
            <w:vAlign w:val="bottom"/>
            <w:shd w:val="clear" w:color="auto" w:fill="000000"/>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5"/>
                <w:szCs w:val="15"/>
                <w:color w:val="191919"/>
              </w:rPr>
              <w:t>&amp; Safety and Sustainability,</w:t>
            </w:r>
          </w:p>
        </w:tc>
        <w:tc>
          <w:tcPr>
            <w:tcW w:w="3300" w:type="dxa"/>
            <w:vAlign w:val="bottom"/>
          </w:tcPr>
          <w:p>
            <w:pPr>
              <w:ind w:left="840"/>
              <w:spacing w:after="0"/>
              <w:rPr>
                <w:sz w:val="20"/>
                <w:szCs w:val="20"/>
                <w:color w:val="auto"/>
              </w:rPr>
            </w:pPr>
            <w:r>
              <w:rPr>
                <w:rFonts w:ascii="Arial" w:cs="Arial" w:eastAsia="Arial" w:hAnsi="Arial"/>
                <w:sz w:val="15"/>
                <w:szCs w:val="15"/>
                <w:color w:val="191919"/>
              </w:rPr>
              <w:t>and Corporate Secretary,</w:t>
            </w:r>
          </w:p>
        </w:tc>
        <w:tc>
          <w:tcPr>
            <w:tcW w:w="2420" w:type="dxa"/>
            <w:vAlign w:val="bottom"/>
          </w:tcPr>
          <w:p>
            <w:pPr>
              <w:spacing w:after="0"/>
              <w:rPr>
                <w:sz w:val="16"/>
                <w:szCs w:val="16"/>
                <w:color w:val="auto"/>
              </w:rPr>
            </w:pPr>
          </w:p>
        </w:tc>
      </w:tr>
      <w:tr>
        <w:trPr>
          <w:trHeight w:val="200"/>
        </w:trPr>
        <w:tc>
          <w:tcPr>
            <w:tcW w:w="1440" w:type="dxa"/>
            <w:vAlign w:val="bottom"/>
            <w:shd w:val="clear" w:color="auto" w:fill="000000"/>
          </w:tcPr>
          <w:p>
            <w:pPr>
              <w:spacing w:after="0"/>
              <w:rPr>
                <w:sz w:val="17"/>
                <w:szCs w:val="17"/>
                <w:color w:val="auto"/>
              </w:rPr>
            </w:pPr>
          </w:p>
        </w:tc>
        <w:tc>
          <w:tcPr>
            <w:tcW w:w="2620" w:type="dxa"/>
            <w:vAlign w:val="bottom"/>
          </w:tcPr>
          <w:p>
            <w:pPr>
              <w:ind w:left="20"/>
              <w:spacing w:after="0"/>
              <w:rPr>
                <w:sz w:val="20"/>
                <w:szCs w:val="20"/>
                <w:color w:val="auto"/>
              </w:rPr>
            </w:pPr>
            <w:r>
              <w:rPr>
                <w:rFonts w:ascii="Arial" w:cs="Arial" w:eastAsia="Arial" w:hAnsi="Arial"/>
                <w:sz w:val="15"/>
                <w:szCs w:val="15"/>
                <w:color w:val="191919"/>
              </w:rPr>
              <w:t>Sotera Health</w:t>
            </w:r>
          </w:p>
        </w:tc>
        <w:tc>
          <w:tcPr>
            <w:tcW w:w="3300" w:type="dxa"/>
            <w:vAlign w:val="bottom"/>
          </w:tcPr>
          <w:p>
            <w:pPr>
              <w:ind w:left="840"/>
              <w:spacing w:after="0"/>
              <w:rPr>
                <w:sz w:val="20"/>
                <w:szCs w:val="20"/>
                <w:color w:val="auto"/>
              </w:rPr>
            </w:pPr>
            <w:r>
              <w:rPr>
                <w:rFonts w:ascii="Arial" w:cs="Arial" w:eastAsia="Arial" w:hAnsi="Arial"/>
                <w:sz w:val="15"/>
                <w:szCs w:val="15"/>
                <w:color w:val="191919"/>
              </w:rPr>
              <w:t>Sotera Health</w:t>
            </w:r>
          </w:p>
        </w:tc>
        <w:tc>
          <w:tcPr>
            <w:tcW w:w="2420" w:type="dxa"/>
            <w:vAlign w:val="bottom"/>
          </w:tcPr>
          <w:p>
            <w:pPr>
              <w:spacing w:after="0"/>
              <w:rPr>
                <w:sz w:val="17"/>
                <w:szCs w:val="17"/>
                <w:color w:val="auto"/>
              </w:rPr>
            </w:pPr>
          </w:p>
        </w:tc>
      </w:tr>
      <w:tr>
        <w:trPr>
          <w:trHeight w:val="167"/>
        </w:trPr>
        <w:tc>
          <w:tcPr>
            <w:tcW w:w="1440" w:type="dxa"/>
            <w:vAlign w:val="bottom"/>
            <w:shd w:val="clear" w:color="auto" w:fill="000000"/>
          </w:tcPr>
          <w:p>
            <w:pPr>
              <w:spacing w:after="0"/>
              <w:rPr>
                <w:sz w:val="14"/>
                <w:szCs w:val="14"/>
                <w:color w:val="auto"/>
              </w:rPr>
            </w:pPr>
          </w:p>
        </w:tc>
        <w:tc>
          <w:tcPr>
            <w:tcW w:w="2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20" w:type="dxa"/>
            <w:vAlign w:val="bottom"/>
          </w:tcPr>
          <w:p>
            <w:pPr>
              <w:spacing w:after="0"/>
              <w:rPr>
                <w:sz w:val="14"/>
                <w:szCs w:val="14"/>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00074E"/>
        </w:rPr>
        <w:t>• 4</w:t>
      </w:r>
    </w:p>
    <w:p>
      <w:pPr>
        <w:sectPr>
          <w:pgSz w:w="11880" w:h="15480" w:orient="portrait"/>
          <w:cols w:equalWidth="0" w:num="1">
            <w:col w:w="10420"/>
          </w:cols>
          <w:pgMar w:left="540" w:top="907" w:right="920" w:bottom="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1790700</wp:posOffset>
            </wp:positionH>
            <wp:positionV relativeFrom="page">
              <wp:posOffset>3680460</wp:posOffset>
            </wp:positionV>
            <wp:extent cx="3975100" cy="131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75100" cy="131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64"/>
          <w:szCs w:val="64"/>
          <w:color w:val="auto"/>
        </w:rPr>
        <w:t>2024 Form 10-K</w:t>
      </w:r>
    </w:p>
    <w:p>
      <w:pPr>
        <w:sectPr>
          <w:pgSz w:w="11880" w:h="15480" w:orient="portrait"/>
          <w:cols w:equalWidth="0" w:num="1">
            <w:col w:w="9000"/>
          </w:cols>
          <w:pgMar w:left="1440" w:top="1440" w:right="1440" w:bottom="1440" w:gutter="0" w:footer="0" w:header="0"/>
        </w:sectPr>
      </w:pPr>
    </w:p>
    <w:bookmarkStart w:id="7" w:name="page8"/>
    <w:bookmarkEnd w:id="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5" w:lineRule="exact"/>
        <w:rPr>
          <w:sz w:val="20"/>
          <w:szCs w:val="20"/>
          <w:color w:val="auto"/>
        </w:rPr>
      </w:pPr>
    </w:p>
    <w:p>
      <w:pPr>
        <w:ind w:left="400" w:hanging="350"/>
        <w:spacing w:after="0"/>
        <w:tabs>
          <w:tab w:leader="none" w:pos="400" w:val="left"/>
        </w:tabs>
        <w:numPr>
          <w:ilvl w:val="0"/>
          <w:numId w:val="6"/>
        </w:numPr>
        <w:rPr>
          <w:rFonts w:ascii="MS PGothic" w:cs="MS PGothic" w:eastAsia="MS PGothic" w:hAnsi="MS PGothic"/>
          <w:sz w:val="20"/>
          <w:szCs w:val="20"/>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2024</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2" w:lineRule="exact"/>
        <w:rPr>
          <w:sz w:val="20"/>
          <w:szCs w:val="20"/>
          <w:color w:val="auto"/>
        </w:rPr>
      </w:pPr>
    </w:p>
    <w:p>
      <w:pPr>
        <w:jc w:val="center"/>
        <w:ind w:left="3720" w:right="680" w:hanging="3670"/>
        <w:spacing w:after="0" w:line="441" w:lineRule="auto"/>
        <w:tabs>
          <w:tab w:leader="none" w:pos="389" w:val="left"/>
        </w:tabs>
        <w:numPr>
          <w:ilvl w:val="0"/>
          <w:numId w:val="7"/>
        </w:numPr>
        <w:rPr>
          <w:rFonts w:ascii="MS PGothic" w:cs="MS PGothic" w:eastAsia="MS PGothic" w:hAnsi="MS PGothic"/>
          <w:sz w:val="20"/>
          <w:szCs w:val="20"/>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001-39729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-8890</wp:posOffset>
            </wp:positionV>
            <wp:extent cx="1447800" cy="476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780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34"/>
          <w:szCs w:val="34"/>
          <w:b w:val="1"/>
          <w:bCs w:val="1"/>
          <w:color w:val="auto"/>
        </w:rPr>
        <w:t>SOTERA HEALTH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jc w:val="center"/>
              <w:ind w:left="750"/>
              <w:spacing w:after="0"/>
              <w:rPr>
                <w:sz w:val="20"/>
                <w:szCs w:val="20"/>
                <w:color w:val="auto"/>
              </w:rPr>
            </w:pPr>
            <w:r>
              <w:rPr>
                <w:rFonts w:ascii="Arial" w:cs="Arial" w:eastAsia="Arial" w:hAnsi="Arial"/>
                <w:sz w:val="18"/>
                <w:szCs w:val="18"/>
                <w:b w:val="1"/>
                <w:bCs w:val="1"/>
                <w:color w:val="auto"/>
                <w:w w:val="91"/>
              </w:rPr>
              <w:t>Delaware</w:t>
            </w:r>
          </w:p>
        </w:tc>
        <w:tc>
          <w:tcPr>
            <w:tcW w:w="1840" w:type="dxa"/>
            <w:vAlign w:val="bottom"/>
          </w:tcPr>
          <w:p>
            <w:pPr>
              <w:spacing w:after="0"/>
              <w:rPr>
                <w:sz w:val="20"/>
                <w:szCs w:val="20"/>
                <w:color w:val="auto"/>
              </w:rPr>
            </w:pPr>
          </w:p>
        </w:tc>
        <w:tc>
          <w:tcPr>
            <w:tcW w:w="4120" w:type="dxa"/>
            <w:vAlign w:val="bottom"/>
          </w:tcPr>
          <w:p>
            <w:pPr>
              <w:jc w:val="right"/>
              <w:ind w:right="2030"/>
              <w:spacing w:after="0"/>
              <w:rPr>
                <w:sz w:val="20"/>
                <w:szCs w:val="20"/>
                <w:color w:val="auto"/>
              </w:rPr>
            </w:pPr>
            <w:r>
              <w:rPr>
                <w:rFonts w:ascii="Arial" w:cs="Arial" w:eastAsia="Arial" w:hAnsi="Arial"/>
                <w:sz w:val="18"/>
                <w:szCs w:val="18"/>
                <w:b w:val="1"/>
                <w:bCs w:val="1"/>
                <w:color w:val="auto"/>
              </w:rPr>
              <w:t>47-3531161</w:t>
            </w:r>
          </w:p>
        </w:tc>
      </w:tr>
      <w:tr>
        <w:trPr>
          <w:trHeight w:val="255"/>
        </w:trPr>
        <w:tc>
          <w:tcPr>
            <w:tcW w:w="6120" w:type="dxa"/>
            <w:vAlign w:val="bottom"/>
            <w:gridSpan w:val="2"/>
          </w:tcPr>
          <w:p>
            <w:pPr>
              <w:jc w:val="center"/>
              <w:ind w:right="8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20" w:type="dxa"/>
            <w:vAlign w:val="bottom"/>
          </w:tcPr>
          <w:p>
            <w:pPr>
              <w:jc w:val="center"/>
              <w:ind w:right="890"/>
              <w:spacing w:after="0"/>
              <w:rPr>
                <w:sz w:val="20"/>
                <w:szCs w:val="20"/>
                <w:color w:val="auto"/>
              </w:rPr>
            </w:pPr>
            <w:r>
              <w:rPr>
                <w:rFonts w:ascii="Arial" w:cs="Arial" w:eastAsia="Arial" w:hAnsi="Arial"/>
                <w:sz w:val="18"/>
                <w:szCs w:val="18"/>
                <w:color w:val="auto"/>
                <w:w w:val="94"/>
              </w:rPr>
              <w:t>(I.R.S. Employer Identification No.)</w:t>
            </w:r>
          </w:p>
        </w:tc>
      </w:tr>
      <w:tr>
        <w:trPr>
          <w:trHeight w:val="360"/>
        </w:trPr>
        <w:tc>
          <w:tcPr>
            <w:tcW w:w="4280" w:type="dxa"/>
            <w:vAlign w:val="bottom"/>
          </w:tcPr>
          <w:p>
            <w:pPr>
              <w:jc w:val="center"/>
              <w:ind w:left="770"/>
              <w:spacing w:after="0"/>
              <w:rPr>
                <w:sz w:val="20"/>
                <w:szCs w:val="20"/>
                <w:color w:val="auto"/>
              </w:rPr>
            </w:pPr>
            <w:r>
              <w:rPr>
                <w:rFonts w:ascii="Arial" w:cs="Arial" w:eastAsia="Arial" w:hAnsi="Arial"/>
                <w:sz w:val="18"/>
                <w:szCs w:val="18"/>
                <w:b w:val="1"/>
                <w:bCs w:val="1"/>
                <w:color w:val="auto"/>
                <w:w w:val="90"/>
              </w:rPr>
              <w:t>9100 South Hills Blvd, Suite 300</w:t>
            </w:r>
          </w:p>
        </w:tc>
        <w:tc>
          <w:tcPr>
            <w:tcW w:w="18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55"/>
        </w:trPr>
        <w:tc>
          <w:tcPr>
            <w:tcW w:w="4280" w:type="dxa"/>
            <w:vAlign w:val="bottom"/>
          </w:tcPr>
          <w:p>
            <w:pPr>
              <w:jc w:val="center"/>
              <w:ind w:left="770"/>
              <w:spacing w:after="0"/>
              <w:rPr>
                <w:sz w:val="20"/>
                <w:szCs w:val="20"/>
                <w:color w:val="auto"/>
              </w:rPr>
            </w:pPr>
            <w:r>
              <w:rPr>
                <w:rFonts w:ascii="Arial" w:cs="Arial" w:eastAsia="Arial" w:hAnsi="Arial"/>
                <w:sz w:val="18"/>
                <w:szCs w:val="18"/>
                <w:b w:val="1"/>
                <w:bCs w:val="1"/>
                <w:color w:val="auto"/>
                <w:w w:val="91"/>
              </w:rPr>
              <w:t>Broadview Heights, Ohio</w:t>
            </w:r>
          </w:p>
        </w:tc>
        <w:tc>
          <w:tcPr>
            <w:tcW w:w="1840" w:type="dxa"/>
            <w:vAlign w:val="bottom"/>
          </w:tcPr>
          <w:p>
            <w:pPr>
              <w:spacing w:after="0"/>
              <w:rPr>
                <w:sz w:val="22"/>
                <w:szCs w:val="22"/>
                <w:color w:val="auto"/>
              </w:rPr>
            </w:pPr>
          </w:p>
        </w:tc>
        <w:tc>
          <w:tcPr>
            <w:tcW w:w="4120" w:type="dxa"/>
            <w:vAlign w:val="bottom"/>
          </w:tcPr>
          <w:p>
            <w:pPr>
              <w:jc w:val="right"/>
              <w:ind w:right="2230"/>
              <w:spacing w:after="0"/>
              <w:rPr>
                <w:sz w:val="20"/>
                <w:szCs w:val="20"/>
                <w:color w:val="auto"/>
              </w:rPr>
            </w:pPr>
            <w:r>
              <w:rPr>
                <w:rFonts w:ascii="Arial" w:cs="Arial" w:eastAsia="Arial" w:hAnsi="Arial"/>
                <w:sz w:val="18"/>
                <w:szCs w:val="18"/>
                <w:b w:val="1"/>
                <w:bCs w:val="1"/>
                <w:color w:val="auto"/>
              </w:rPr>
              <w:t>44147</w:t>
            </w:r>
          </w:p>
        </w:tc>
      </w:tr>
      <w:tr>
        <w:trPr>
          <w:trHeight w:val="246"/>
        </w:trPr>
        <w:tc>
          <w:tcPr>
            <w:tcW w:w="4280" w:type="dxa"/>
            <w:vAlign w:val="bottom"/>
          </w:tcPr>
          <w:p>
            <w:pPr>
              <w:jc w:val="center"/>
              <w:ind w:left="770"/>
              <w:spacing w:after="0"/>
              <w:rPr>
                <w:sz w:val="20"/>
                <w:szCs w:val="20"/>
                <w:color w:val="auto"/>
              </w:rPr>
            </w:pPr>
            <w:r>
              <w:rPr>
                <w:rFonts w:ascii="Arial" w:cs="Arial" w:eastAsia="Arial" w:hAnsi="Arial"/>
                <w:sz w:val="18"/>
                <w:szCs w:val="18"/>
                <w:color w:val="auto"/>
                <w:w w:val="92"/>
              </w:rPr>
              <w:t>(Address of principal executive offices)</w:t>
            </w:r>
          </w:p>
        </w:tc>
        <w:tc>
          <w:tcPr>
            <w:tcW w:w="1840" w:type="dxa"/>
            <w:vAlign w:val="bottom"/>
          </w:tcPr>
          <w:p>
            <w:pPr>
              <w:spacing w:after="0"/>
              <w:rPr>
                <w:sz w:val="21"/>
                <w:szCs w:val="21"/>
                <w:color w:val="auto"/>
              </w:rPr>
            </w:pPr>
          </w:p>
        </w:tc>
        <w:tc>
          <w:tcPr>
            <w:tcW w:w="4120" w:type="dxa"/>
            <w:vAlign w:val="bottom"/>
          </w:tcPr>
          <w:p>
            <w:pPr>
              <w:jc w:val="center"/>
              <w:ind w:right="870"/>
              <w:spacing w:after="0"/>
              <w:rPr>
                <w:sz w:val="20"/>
                <w:szCs w:val="20"/>
                <w:color w:val="auto"/>
              </w:rPr>
            </w:pPr>
            <w:r>
              <w:rPr>
                <w:rFonts w:ascii="Arial" w:cs="Arial" w:eastAsia="Arial" w:hAnsi="Arial"/>
                <w:sz w:val="18"/>
                <w:szCs w:val="18"/>
                <w:color w:val="auto"/>
                <w:w w:val="94"/>
              </w:rPr>
              <w:t>(Zip Code)</w:t>
            </w:r>
          </w:p>
        </w:tc>
      </w:tr>
      <w:tr>
        <w:trPr>
          <w:trHeight w:val="252"/>
        </w:trPr>
        <w:tc>
          <w:tcPr>
            <w:tcW w:w="4280" w:type="dxa"/>
            <w:vAlign w:val="bottom"/>
          </w:tcPr>
          <w:p>
            <w:pPr>
              <w:spacing w:after="0"/>
              <w:rPr>
                <w:sz w:val="21"/>
                <w:szCs w:val="21"/>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(440) 262-1410</w:t>
            </w:r>
          </w:p>
        </w:tc>
        <w:tc>
          <w:tcPr>
            <w:tcW w:w="4120" w:type="dxa"/>
            <w:vAlign w:val="bottom"/>
          </w:tcPr>
          <w:p>
            <w:pPr>
              <w:spacing w:after="0"/>
              <w:rPr>
                <w:sz w:val="21"/>
                <w:szCs w:val="21"/>
                <w:color w:val="auto"/>
              </w:rPr>
            </w:pPr>
          </w:p>
        </w:tc>
      </w:tr>
      <w:tr>
        <w:trPr>
          <w:trHeight w:val="258"/>
        </w:trPr>
        <w:tc>
          <w:tcPr>
            <w:tcW w:w="10240" w:type="dxa"/>
            <w:vAlign w:val="bottom"/>
            <w:gridSpan w:val="3"/>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2"/>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8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2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Trading Symbol(s)</w:t>
            </w:r>
          </w:p>
        </w:tc>
        <w:tc>
          <w:tcPr>
            <w:tcW w:w="4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8"/>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8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SHC</w:t>
            </w:r>
          </w:p>
        </w:tc>
        <w:tc>
          <w:tcPr>
            <w:tcW w:w="4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44" w:lineRule="exact"/>
        <w:rPr>
          <w:sz w:val="20"/>
          <w:szCs w:val="20"/>
          <w:color w:val="auto"/>
        </w:rPr>
      </w:pPr>
    </w:p>
    <w:p>
      <w:pPr>
        <w:ind w:right="1360"/>
        <w:spacing w:after="0" w:line="23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 Indicate by check mark if the registrant is not required to file reports pursuant to Section 13 or Section 15(d) of the Act.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Yes </w:t>
      </w:r>
      <w:r>
        <w:rPr>
          <w:rFonts w:ascii="MS PGothic" w:cs="MS PGothic" w:eastAsia="MS PGothic" w:hAnsi="MS PGothic"/>
          <w:sz w:val="15"/>
          <w:szCs w:val="15"/>
          <w:b w:val="1"/>
          <w:bCs w:val="1"/>
          <w:color w:val="auto"/>
        </w:rPr>
        <w:t>☒</w:t>
      </w:r>
      <w:r>
        <w:rPr>
          <w:rFonts w:ascii="Arial" w:cs="Arial" w:eastAsia="Arial" w:hAnsi="Arial"/>
          <w:sz w:val="15"/>
          <w:szCs w:val="15"/>
          <w:color w:val="auto"/>
        </w:rPr>
        <w:t xml:space="preserve"> No</w:t>
      </w:r>
    </w:p>
    <w:p>
      <w:pPr>
        <w:spacing w:after="0" w:line="1" w:lineRule="exact"/>
        <w:rPr>
          <w:sz w:val="20"/>
          <w:szCs w:val="20"/>
          <w:color w:val="auto"/>
        </w:rPr>
      </w:pPr>
    </w:p>
    <w:p>
      <w:pPr>
        <w:ind w:right="28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w:t>
      </w:r>
    </w:p>
    <w:p>
      <w:pPr>
        <w:spacing w:after="0" w:line="2" w:lineRule="exact"/>
        <w:rPr>
          <w:sz w:val="20"/>
          <w:szCs w:val="20"/>
          <w:color w:val="auto"/>
        </w:rPr>
      </w:pPr>
    </w:p>
    <w:p>
      <w:pPr>
        <w:ind w:right="30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w:t>
      </w:r>
    </w:p>
    <w:p>
      <w:pPr>
        <w:spacing w:after="0" w:line="2"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0"/>
          <w:szCs w:val="20"/>
          <w:color w:val="auto"/>
        </w:rPr>
      </w:pPr>
    </w:p>
    <w:tbl>
      <w:tblPr>
        <w:tblLayout w:type="fixed"/>
        <w:tblInd w:w="1500" w:type="dxa"/>
        <w:tblCellMar>
          <w:top w:w="0" w:type="dxa"/>
          <w:left w:w="0" w:type="dxa"/>
          <w:bottom w:w="0" w:type="dxa"/>
          <w:right w:w="0" w:type="dxa"/>
        </w:tblCellMar>
      </w:tblPr>
      <w:tr>
        <w:trPr>
          <w:trHeight w:val="225"/>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8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400" w:type="dxa"/>
            <w:vAlign w:val="bottom"/>
          </w:tcPr>
          <w:p>
            <w:pPr>
              <w:jc w:val="center"/>
              <w:spacing w:after="0"/>
              <w:rPr>
                <w:sz w:val="20"/>
                <w:szCs w:val="20"/>
                <w:color w:val="auto"/>
              </w:rPr>
            </w:pPr>
            <w:r>
              <w:rPr>
                <w:rFonts w:ascii="Arial" w:cs="Arial" w:eastAsia="Arial" w:hAnsi="Arial"/>
                <w:sz w:val="16"/>
                <w:szCs w:val="16"/>
                <w:color w:val="auto"/>
                <w:w w:val="95"/>
              </w:rPr>
              <w:t>Accelerated filer</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25"/>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860"/>
              <w:spacing w:after="0" w:line="161" w:lineRule="exact"/>
              <w:rPr>
                <w:sz w:val="20"/>
                <w:szCs w:val="20"/>
                <w:color w:val="auto"/>
              </w:rPr>
            </w:pPr>
            <w:r>
              <w:rPr>
                <w:rFonts w:ascii="MS PGothic" w:cs="MS PGothic" w:eastAsia="MS PGothic" w:hAnsi="MS PGothic"/>
                <w:sz w:val="16"/>
                <w:szCs w:val="16"/>
                <w:b w:val="1"/>
                <w:bCs w:val="1"/>
                <w:color w:val="auto"/>
              </w:rPr>
              <w:t>☐</w:t>
            </w:r>
          </w:p>
        </w:tc>
        <w:tc>
          <w:tcPr>
            <w:tcW w:w="3400" w:type="dxa"/>
            <w:vAlign w:val="bottom"/>
          </w:tcPr>
          <w:p>
            <w:pPr>
              <w:jc w:val="center"/>
              <w:spacing w:after="0"/>
              <w:rPr>
                <w:sz w:val="20"/>
                <w:szCs w:val="20"/>
                <w:color w:val="auto"/>
              </w:rPr>
            </w:pPr>
            <w:r>
              <w:rPr>
                <w:rFonts w:ascii="Arial" w:cs="Arial" w:eastAsia="Arial" w:hAnsi="Arial"/>
                <w:sz w:val="16"/>
                <w:szCs w:val="16"/>
                <w:color w:val="auto"/>
                <w:w w:val="94"/>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53"/>
        </w:trPr>
        <w:tc>
          <w:tcPr>
            <w:tcW w:w="2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w w:val="94"/>
              </w:rPr>
              <w:t>Emerging growth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56" w:lineRule="exact"/>
        <w:rPr>
          <w:sz w:val="20"/>
          <w:szCs w:val="20"/>
          <w:color w:val="auto"/>
        </w:rPr>
      </w:pPr>
    </w:p>
    <w:p>
      <w:pPr>
        <w:ind w:right="14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2" w:lineRule="exact"/>
        <w:rPr>
          <w:sz w:val="20"/>
          <w:szCs w:val="20"/>
          <w:color w:val="auto"/>
        </w:rPr>
      </w:pPr>
    </w:p>
    <w:p>
      <w:pPr>
        <w:ind w:right="40"/>
        <w:spacing w:after="0" w:line="21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b w:val="1"/>
          <w:bCs w:val="1"/>
          <w:color w:val="auto"/>
        </w:rPr>
        <w:t>☒</w:t>
      </w:r>
    </w:p>
    <w:p>
      <w:pPr>
        <w:ind w:right="300"/>
        <w:spacing w:after="0" w:line="212" w:lineRule="exact"/>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MS PGothic" w:cs="MS PGothic" w:eastAsia="MS PGothic" w:hAnsi="MS PGothic"/>
          <w:sz w:val="16"/>
          <w:szCs w:val="16"/>
          <w:b w:val="1"/>
          <w:bCs w:val="1"/>
          <w:color w:val="auto"/>
        </w:rPr>
        <w:t>☐</w:t>
      </w:r>
    </w:p>
    <w:p>
      <w:pPr>
        <w:ind w:right="100"/>
        <w:spacing w:after="0" w:line="212"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w:t>
      </w:r>
    </w:p>
    <w:p>
      <w:pPr>
        <w:spacing w:after="0" w:line="4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as of June 28, 2024, based upon the last sale price of such voting and non-voting common stock on that date, was $1,524,907,421.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20, 2025, there were 283,473,342 shares of the registrant’s common stock, $0.01 par value per share, outstanding.</w:t>
      </w:r>
    </w:p>
    <w:p>
      <w:pPr>
        <w:sectPr>
          <w:pgSz w:w="11880" w:h="15480" w:orient="portrait"/>
          <w:cols w:equalWidth="0" w:num="1">
            <w:col w:w="10240"/>
          </w:cols>
          <w:pgMar w:left="820" w:top="674" w:right="820" w:bottom="20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137" w:lineRule="exact"/>
        <w:rPr>
          <w:sz w:val="20"/>
          <w:szCs w:val="20"/>
          <w:color w:val="auto"/>
        </w:rPr>
      </w:pPr>
    </w:p>
    <w:p>
      <w:pPr>
        <w:ind w:left="20" w:right="280"/>
        <w:spacing w:after="0" w:line="275" w:lineRule="auto"/>
        <w:rPr>
          <w:sz w:val="20"/>
          <w:szCs w:val="20"/>
          <w:color w:val="auto"/>
        </w:rPr>
      </w:pPr>
      <w:r>
        <w:rPr>
          <w:rFonts w:ascii="Arial" w:cs="Arial" w:eastAsia="Arial" w:hAnsi="Arial"/>
          <w:sz w:val="17"/>
          <w:szCs w:val="17"/>
          <w:color w:val="auto"/>
        </w:rPr>
        <w:t>Portions of the Definitive Proxy Statement for the registrant’s 2025 Annual Meeting of Stockholders are incorporated by reference in Part III of this Annual Report on Form 10-K. Sotera Health Company intends to file the Definitive Proxy Statement with the Securities and Exchange Commission within 120 days after the end of the registrant’s fiscal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150495</wp:posOffset>
                </wp:positionV>
                <wp:extent cx="0" cy="17462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625"/>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1.85pt" to="0.5pt,25.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2178050</wp:posOffset>
                </wp:positionH>
                <wp:positionV relativeFrom="paragraph">
                  <wp:posOffset>150495</wp:posOffset>
                </wp:positionV>
                <wp:extent cx="0" cy="17462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5pt,11.85pt" to="171.5pt,25.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4349750</wp:posOffset>
                </wp:positionH>
                <wp:positionV relativeFrom="paragraph">
                  <wp:posOffset>150495</wp:posOffset>
                </wp:positionV>
                <wp:extent cx="0" cy="17462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5pt,11.85pt" to="342.5pt,25.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6521450</wp:posOffset>
                </wp:positionH>
                <wp:positionV relativeFrom="paragraph">
                  <wp:posOffset>150495</wp:posOffset>
                </wp:positionV>
                <wp:extent cx="0" cy="17462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4625"/>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3.5pt,11.85pt" to="513.5pt,25.6pt" o:allowincell="f" strokecolor="#000000" strokeweight="0pt"/>
            </w:pict>
          </mc:Fallback>
        </mc:AlternateConten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4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Audit Firm PCAOB ID: 42</w:t>
            </w:r>
          </w:p>
        </w:tc>
        <w:tc>
          <w:tcPr>
            <w:tcW w:w="3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Auditor Name: Ernst &amp; Young LLP</w:t>
            </w:r>
          </w:p>
        </w:tc>
        <w:tc>
          <w:tcPr>
            <w:tcW w:w="34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Auditor Location: Cleveland, Ohio</w:t>
            </w:r>
          </w:p>
        </w:tc>
      </w:tr>
    </w:tbl>
    <w:p>
      <w:pPr>
        <w:sectPr>
          <w:pgSz w:w="11880" w:h="15480" w:orient="portrait"/>
          <w:cols w:equalWidth="0" w:num="1">
            <w:col w:w="10280"/>
          </w:cols>
          <w:pgMar w:left="800" w:top="533" w:right="80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80" w:type="dxa"/>
            <w:vAlign w:val="bottom"/>
            <w:gridSpan w:val="12"/>
          </w:tcPr>
          <w:p>
            <w:pPr>
              <w:jc w:val="center"/>
              <w:ind w:right="2440"/>
              <w:spacing w:after="0"/>
              <w:rPr>
                <w:sz w:val="20"/>
                <w:szCs w:val="20"/>
                <w:color w:val="auto"/>
              </w:rPr>
            </w:pPr>
            <w:r>
              <w:rPr>
                <w:rFonts w:ascii="Arial" w:cs="Arial" w:eastAsia="Arial" w:hAnsi="Arial"/>
                <w:sz w:val="20"/>
                <w:szCs w:val="20"/>
                <w:b w:val="1"/>
                <w:bCs w:val="1"/>
                <w:color w:val="auto"/>
                <w:w w:val="99"/>
              </w:rPr>
              <w:t>SOTERA HEALTH COMPANY</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80" w:type="dxa"/>
            <w:vAlign w:val="bottom"/>
            <w:gridSpan w:val="12"/>
          </w:tcPr>
          <w:p>
            <w:pPr>
              <w:jc w:val="center"/>
              <w:ind w:right="2440"/>
              <w:spacing w:after="0"/>
              <w:rPr>
                <w:sz w:val="20"/>
                <w:szCs w:val="20"/>
                <w:color w:val="auto"/>
              </w:rPr>
            </w:pPr>
            <w:r>
              <w:rPr>
                <w:rFonts w:ascii="Arial" w:cs="Arial" w:eastAsia="Arial" w:hAnsi="Arial"/>
                <w:sz w:val="20"/>
                <w:szCs w:val="20"/>
                <w:b w:val="1"/>
                <w:bCs w:val="1"/>
                <w:color w:val="auto"/>
                <w:w w:val="96"/>
              </w:rPr>
              <w:t>- TABLE OF CONTENTS -</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4"/>
          </w:tcPr>
          <w:p>
            <w:pPr>
              <w:ind w:left="200"/>
              <w:spacing w:after="0"/>
              <w:rPr>
                <w:sz w:val="20"/>
                <w:szCs w:val="20"/>
                <w:color w:val="auto"/>
              </w:rPr>
            </w:pPr>
            <w:r>
              <w:rPr>
                <w:rFonts w:ascii="Arial" w:cs="Arial" w:eastAsia="Arial" w:hAnsi="Arial"/>
                <w:sz w:val="20"/>
                <w:szCs w:val="20"/>
                <w:b w:val="1"/>
                <w:bCs w:val="1"/>
                <w:color w:val="auto"/>
              </w:rPr>
              <w:t>Page No.</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20"/>
                <w:szCs w:val="20"/>
                <w:b w:val="1"/>
                <w:bCs w:val="1"/>
                <w:color w:val="auto"/>
              </w:rPr>
              <w:t>PART I</w:t>
            </w: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Borders>
              <w:right w:val="single" w:sz="8" w:color="D2EEF5"/>
            </w:tcBorders>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Borders>
              <w:right w:val="single" w:sz="8" w:color="D2EEF5"/>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1.</w:t>
            </w:r>
          </w:p>
        </w:tc>
        <w:tc>
          <w:tcPr>
            <w:tcW w:w="7520" w:type="dxa"/>
            <w:vAlign w:val="bottom"/>
            <w:gridSpan w:val="25"/>
          </w:tcPr>
          <w:p>
            <w:pPr>
              <w:spacing w:after="0" w:line="204" w:lineRule="exact"/>
              <w:rPr>
                <w:sz w:val="20"/>
                <w:szCs w:val="20"/>
                <w:color w:val="auto"/>
              </w:rPr>
            </w:pPr>
            <w:r>
              <w:rPr>
                <w:rFonts w:ascii="Arial" w:cs="Arial" w:eastAsia="Arial" w:hAnsi="Arial"/>
                <w:sz w:val="20"/>
                <w:szCs w:val="20"/>
                <w:color w:val="1C2790"/>
              </w:rPr>
              <w:t>Business</w:t>
            </w:r>
          </w:p>
        </w:tc>
        <w:tc>
          <w:tcPr>
            <w:tcW w:w="620" w:type="dxa"/>
            <w:vAlign w:val="bottom"/>
            <w:gridSpan w:val="2"/>
          </w:tcPr>
          <w:p>
            <w:pPr>
              <w:jc w:val="center"/>
              <w:ind w:left="442"/>
              <w:spacing w:after="0" w:line="204" w:lineRule="exact"/>
              <w:rPr>
                <w:sz w:val="20"/>
                <w:szCs w:val="20"/>
                <w:color w:val="auto"/>
              </w:rPr>
            </w:pPr>
            <w:r>
              <w:rPr>
                <w:rFonts w:ascii="Arial" w:cs="Arial" w:eastAsia="Arial" w:hAnsi="Arial"/>
                <w:sz w:val="20"/>
                <w:szCs w:val="20"/>
                <w:color w:val="1C2790"/>
                <w:w w:val="71"/>
              </w:rPr>
              <w:t>6</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1C2790"/>
          </w:tcPr>
          <w:p>
            <w:pPr>
              <w:spacing w:after="0" w:line="20" w:lineRule="exact"/>
              <w:rPr>
                <w:sz w:val="1"/>
                <w:szCs w:val="1"/>
                <w:color w:val="auto"/>
              </w:rPr>
            </w:pPr>
          </w:p>
        </w:tc>
        <w:tc>
          <w:tcPr>
            <w:tcW w:w="340" w:type="dxa"/>
            <w:vAlign w:val="bottom"/>
            <w:shd w:val="clear" w:color="auto" w:fill="1C279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1A.</w:t>
            </w:r>
          </w:p>
        </w:tc>
        <w:tc>
          <w:tcPr>
            <w:tcW w:w="1000" w:type="dxa"/>
            <w:vAlign w:val="bottom"/>
            <w:gridSpan w:val="5"/>
            <w:vMerge w:val="restart"/>
          </w:tcPr>
          <w:p>
            <w:pPr>
              <w:spacing w:after="0"/>
              <w:rPr>
                <w:sz w:val="20"/>
                <w:szCs w:val="20"/>
                <w:color w:val="auto"/>
              </w:rPr>
            </w:pPr>
            <w:r>
              <w:rPr>
                <w:rFonts w:ascii="Arial" w:cs="Arial" w:eastAsia="Arial" w:hAnsi="Arial"/>
                <w:sz w:val="20"/>
                <w:szCs w:val="20"/>
                <w:color w:val="1C2790"/>
                <w:w w:val="88"/>
              </w:rPr>
              <w:t>Risk Factors</w:t>
            </w:r>
          </w:p>
        </w:tc>
        <w:tc>
          <w:tcPr>
            <w:tcW w:w="6520" w:type="dxa"/>
            <w:vAlign w:val="bottom"/>
            <w:gridSpan w:val="20"/>
            <w:vMerge w:val="restart"/>
          </w:tcPr>
          <w:p>
            <w:pPr>
              <w:spacing w:after="0"/>
              <w:rPr>
                <w:sz w:val="4"/>
                <w:szCs w:val="4"/>
                <w:color w:val="auto"/>
              </w:rPr>
            </w:pPr>
          </w:p>
        </w:tc>
        <w:tc>
          <w:tcPr>
            <w:tcW w:w="540" w:type="dxa"/>
            <w:vAlign w:val="bottom"/>
            <w:vMerge w:val="restart"/>
          </w:tcPr>
          <w:p>
            <w:pPr>
              <w:spacing w:after="0"/>
              <w:rPr>
                <w:sz w:val="4"/>
                <w:szCs w:val="4"/>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1C2790"/>
                <w:w w:val="73"/>
              </w:rPr>
              <w:t>18</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000" w:type="dxa"/>
            <w:vAlign w:val="bottom"/>
            <w:tcBorders>
              <w:bottom w:val="single" w:sz="8" w:color="1C2790"/>
            </w:tcBorders>
            <w:gridSpan w:val="5"/>
            <w:vMerge w:val="continue"/>
          </w:tcPr>
          <w:p>
            <w:pPr>
              <w:spacing w:after="0"/>
              <w:rPr>
                <w:sz w:val="22"/>
                <w:szCs w:val="22"/>
                <w:color w:val="auto"/>
              </w:rPr>
            </w:pPr>
          </w:p>
        </w:tc>
        <w:tc>
          <w:tcPr>
            <w:tcW w:w="6520" w:type="dxa"/>
            <w:vAlign w:val="bottom"/>
            <w:gridSpan w:val="20"/>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140" w:type="dxa"/>
            <w:vAlign w:val="bottom"/>
            <w:tcBorders>
              <w:bottom w:val="single" w:sz="8" w:color="1C2790"/>
            </w:tcBorders>
            <w:gridSpan w:val="2"/>
            <w:vMerge w:val="continue"/>
          </w:tcPr>
          <w:p>
            <w:pPr>
              <w:spacing w:after="0"/>
              <w:rPr>
                <w:sz w:val="22"/>
                <w:szCs w:val="22"/>
                <w:color w:val="auto"/>
              </w:rPr>
            </w:pPr>
          </w:p>
        </w:tc>
        <w:tc>
          <w:tcPr>
            <w:tcW w:w="500" w:type="dxa"/>
            <w:vAlign w:val="bottom"/>
            <w:tcBorders>
              <w:right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1B.</w:t>
            </w:r>
          </w:p>
        </w:tc>
        <w:tc>
          <w:tcPr>
            <w:tcW w:w="2240" w:type="dxa"/>
            <w:vAlign w:val="bottom"/>
            <w:tcBorders>
              <w:bottom w:val="single" w:sz="8" w:color="1C2790"/>
            </w:tcBorders>
            <w:gridSpan w:val="13"/>
          </w:tcPr>
          <w:p>
            <w:pPr>
              <w:spacing w:after="0" w:line="204" w:lineRule="exact"/>
              <w:rPr>
                <w:sz w:val="20"/>
                <w:szCs w:val="20"/>
                <w:color w:val="auto"/>
              </w:rPr>
            </w:pPr>
            <w:r>
              <w:rPr>
                <w:rFonts w:ascii="Arial" w:cs="Arial" w:eastAsia="Arial" w:hAnsi="Arial"/>
                <w:sz w:val="20"/>
                <w:szCs w:val="20"/>
                <w:color w:val="1C2790"/>
                <w:w w:val="88"/>
              </w:rPr>
              <w:t>Unresolved Staff Comments</w:t>
            </w:r>
          </w:p>
        </w:tc>
        <w:tc>
          <w:tcPr>
            <w:tcW w:w="52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1C2790"/>
            </w:tcBorders>
            <w:gridSpan w:val="2"/>
          </w:tcPr>
          <w:p>
            <w:pPr>
              <w:jc w:val="center"/>
              <w:spacing w:after="0"/>
              <w:rPr>
                <w:sz w:val="20"/>
                <w:szCs w:val="20"/>
                <w:color w:val="auto"/>
              </w:rPr>
            </w:pPr>
            <w:r>
              <w:rPr>
                <w:rFonts w:ascii="Arial" w:cs="Arial" w:eastAsia="Arial" w:hAnsi="Arial"/>
                <w:sz w:val="17"/>
                <w:szCs w:val="17"/>
                <w:color w:val="1C2790"/>
                <w:w w:val="73"/>
              </w:rPr>
              <w:t>44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1C.</w:t>
            </w:r>
          </w:p>
        </w:tc>
        <w:tc>
          <w:tcPr>
            <w:tcW w:w="7520" w:type="dxa"/>
            <w:vAlign w:val="bottom"/>
            <w:gridSpan w:val="25"/>
            <w:vMerge w:val="restart"/>
          </w:tcPr>
          <w:p>
            <w:pPr>
              <w:spacing w:after="0"/>
              <w:rPr>
                <w:sz w:val="20"/>
                <w:szCs w:val="20"/>
                <w:color w:val="auto"/>
              </w:rPr>
            </w:pPr>
            <w:r>
              <w:rPr>
                <w:rFonts w:ascii="Arial" w:cs="Arial" w:eastAsia="Arial" w:hAnsi="Arial"/>
                <w:sz w:val="20"/>
                <w:szCs w:val="20"/>
                <w:color w:val="1C2790"/>
              </w:rPr>
              <w:t>Cybersecurity</w:t>
            </w:r>
          </w:p>
        </w:tc>
        <w:tc>
          <w:tcPr>
            <w:tcW w:w="680" w:type="dxa"/>
            <w:vAlign w:val="bottom"/>
            <w:gridSpan w:val="3"/>
            <w:vMerge w:val="restart"/>
          </w:tcPr>
          <w:p>
            <w:pPr>
              <w:jc w:val="center"/>
              <w:ind w:left="382"/>
              <w:spacing w:after="0"/>
              <w:rPr>
                <w:sz w:val="20"/>
                <w:szCs w:val="20"/>
                <w:color w:val="auto"/>
              </w:rPr>
            </w:pPr>
            <w:r>
              <w:rPr>
                <w:rFonts w:ascii="Arial" w:cs="Arial" w:eastAsia="Arial" w:hAnsi="Arial"/>
                <w:sz w:val="20"/>
                <w:szCs w:val="20"/>
                <w:color w:val="1C2790"/>
                <w:w w:val="89"/>
              </w:rPr>
              <w:t>44</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8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7520" w:type="dxa"/>
            <w:vAlign w:val="bottom"/>
            <w:gridSpan w:val="25"/>
            <w:vMerge w:val="continue"/>
          </w:tcPr>
          <w:p>
            <w:pPr>
              <w:spacing w:after="0"/>
              <w:rPr>
                <w:sz w:val="22"/>
                <w:szCs w:val="22"/>
                <w:color w:val="auto"/>
              </w:rPr>
            </w:pPr>
          </w:p>
        </w:tc>
        <w:tc>
          <w:tcPr>
            <w:tcW w:w="680" w:type="dxa"/>
            <w:vAlign w:val="bottom"/>
            <w:gridSpan w:val="3"/>
            <w:vMerge w:val="continue"/>
          </w:tcPr>
          <w:p>
            <w:pPr>
              <w:spacing w:after="0"/>
              <w:rPr>
                <w:sz w:val="22"/>
                <w:szCs w:val="22"/>
                <w:color w:val="auto"/>
              </w:rPr>
            </w:pPr>
          </w:p>
        </w:tc>
        <w:tc>
          <w:tcPr>
            <w:tcW w:w="500" w:type="dxa"/>
            <w:vAlign w:val="bottom"/>
            <w:tcBorders>
              <w:right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2.</w:t>
            </w:r>
          </w:p>
        </w:tc>
        <w:tc>
          <w:tcPr>
            <w:tcW w:w="1100" w:type="dxa"/>
            <w:vAlign w:val="bottom"/>
            <w:tcBorders>
              <w:top w:val="single" w:sz="8" w:color="1C2790"/>
            </w:tcBorders>
            <w:gridSpan w:val="6"/>
          </w:tcPr>
          <w:p>
            <w:pPr>
              <w:spacing w:after="0" w:line="204" w:lineRule="exact"/>
              <w:rPr>
                <w:sz w:val="20"/>
                <w:szCs w:val="20"/>
                <w:color w:val="auto"/>
              </w:rPr>
            </w:pPr>
            <w:r>
              <w:rPr>
                <w:rFonts w:ascii="Arial" w:cs="Arial" w:eastAsia="Arial" w:hAnsi="Arial"/>
                <w:sz w:val="20"/>
                <w:szCs w:val="20"/>
                <w:color w:val="1C2790"/>
              </w:rPr>
              <w:t>Properties</w:t>
            </w:r>
          </w:p>
        </w:tc>
        <w:tc>
          <w:tcPr>
            <w:tcW w:w="6420" w:type="dxa"/>
            <w:vAlign w:val="bottom"/>
            <w:gridSpan w:val="1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1C2790"/>
            </w:tcBorders>
            <w:gridSpan w:val="2"/>
          </w:tcPr>
          <w:p>
            <w:pPr>
              <w:jc w:val="center"/>
              <w:spacing w:after="0"/>
              <w:rPr>
                <w:sz w:val="20"/>
                <w:szCs w:val="20"/>
                <w:color w:val="auto"/>
              </w:rPr>
            </w:pPr>
            <w:r>
              <w:rPr>
                <w:rFonts w:ascii="Arial" w:cs="Arial" w:eastAsia="Arial" w:hAnsi="Arial"/>
                <w:sz w:val="17"/>
                <w:szCs w:val="17"/>
                <w:color w:val="1C2790"/>
                <w:w w:val="73"/>
              </w:rPr>
              <w:t>46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1C2790"/>
          </w:tcPr>
          <w:p>
            <w:pPr>
              <w:spacing w:after="0" w:line="20" w:lineRule="exact"/>
              <w:rPr>
                <w:sz w:val="1"/>
                <w:szCs w:val="1"/>
                <w:color w:val="auto"/>
              </w:rPr>
            </w:pPr>
          </w:p>
        </w:tc>
        <w:tc>
          <w:tcPr>
            <w:tcW w:w="440" w:type="dxa"/>
            <w:vAlign w:val="bottom"/>
            <w:tcBorders>
              <w:right w:val="single" w:sz="8" w:color="1C2790"/>
            </w:tcBorders>
            <w:gridSpan w:val="2"/>
            <w:shd w:val="clear" w:color="auto" w:fill="1C279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1C2790"/>
            </w:tcBorders>
          </w:tcPr>
          <w:p>
            <w:pPr>
              <w:spacing w:after="0" w:line="20" w:lineRule="exact"/>
              <w:rPr>
                <w:sz w:val="1"/>
                <w:szCs w:val="1"/>
                <w:color w:val="auto"/>
              </w:rPr>
            </w:pPr>
          </w:p>
        </w:tc>
        <w:tc>
          <w:tcPr>
            <w:tcW w:w="140" w:type="dxa"/>
            <w:vAlign w:val="bottom"/>
            <w:gridSpan w:val="2"/>
            <w:shd w:val="clear" w:color="auto" w:fill="1C279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3.</w:t>
            </w:r>
          </w:p>
        </w:tc>
        <w:tc>
          <w:tcPr>
            <w:tcW w:w="1460" w:type="dxa"/>
            <w:vAlign w:val="bottom"/>
            <w:gridSpan w:val="8"/>
            <w:vMerge w:val="restart"/>
          </w:tcPr>
          <w:p>
            <w:pPr>
              <w:spacing w:after="0"/>
              <w:rPr>
                <w:sz w:val="20"/>
                <w:szCs w:val="20"/>
                <w:color w:val="auto"/>
              </w:rPr>
            </w:pPr>
            <w:r>
              <w:rPr>
                <w:rFonts w:ascii="Arial" w:cs="Arial" w:eastAsia="Arial" w:hAnsi="Arial"/>
                <w:sz w:val="20"/>
                <w:szCs w:val="20"/>
                <w:color w:val="1C2790"/>
                <w:w w:val="86"/>
              </w:rPr>
              <w:t>Legal Proceedings</w:t>
            </w:r>
          </w:p>
        </w:tc>
        <w:tc>
          <w:tcPr>
            <w:tcW w:w="6060" w:type="dxa"/>
            <w:vAlign w:val="bottom"/>
            <w:gridSpan w:val="17"/>
            <w:vMerge w:val="restart"/>
          </w:tcPr>
          <w:p>
            <w:pPr>
              <w:spacing w:after="0"/>
              <w:rPr>
                <w:sz w:val="4"/>
                <w:szCs w:val="4"/>
                <w:color w:val="auto"/>
              </w:rPr>
            </w:pPr>
          </w:p>
        </w:tc>
        <w:tc>
          <w:tcPr>
            <w:tcW w:w="540" w:type="dxa"/>
            <w:vAlign w:val="bottom"/>
            <w:vMerge w:val="restart"/>
          </w:tcPr>
          <w:p>
            <w:pPr>
              <w:spacing w:after="0"/>
              <w:rPr>
                <w:sz w:val="4"/>
                <w:szCs w:val="4"/>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1C2790"/>
                <w:w w:val="73"/>
              </w:rPr>
              <w:t>46</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460" w:type="dxa"/>
            <w:vAlign w:val="bottom"/>
            <w:tcBorders>
              <w:bottom w:val="single" w:sz="8" w:color="1C2790"/>
            </w:tcBorders>
            <w:gridSpan w:val="8"/>
            <w:vMerge w:val="continue"/>
          </w:tcPr>
          <w:p>
            <w:pPr>
              <w:spacing w:after="0"/>
              <w:rPr>
                <w:sz w:val="22"/>
                <w:szCs w:val="22"/>
                <w:color w:val="auto"/>
              </w:rPr>
            </w:pPr>
          </w:p>
        </w:tc>
        <w:tc>
          <w:tcPr>
            <w:tcW w:w="6060" w:type="dxa"/>
            <w:vAlign w:val="bottom"/>
            <w:gridSpan w:val="17"/>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140" w:type="dxa"/>
            <w:vAlign w:val="bottom"/>
            <w:tcBorders>
              <w:bottom w:val="single" w:sz="8" w:color="1C2790"/>
            </w:tcBorders>
            <w:gridSpan w:val="2"/>
            <w:vMerge w:val="continue"/>
          </w:tcPr>
          <w:p>
            <w:pPr>
              <w:spacing w:after="0"/>
              <w:rPr>
                <w:sz w:val="22"/>
                <w:szCs w:val="22"/>
                <w:color w:val="auto"/>
              </w:rPr>
            </w:pPr>
          </w:p>
        </w:tc>
        <w:tc>
          <w:tcPr>
            <w:tcW w:w="500" w:type="dxa"/>
            <w:vAlign w:val="bottom"/>
            <w:tcBorders>
              <w:right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4.</w:t>
            </w:r>
          </w:p>
        </w:tc>
        <w:tc>
          <w:tcPr>
            <w:tcW w:w="7520" w:type="dxa"/>
            <w:vAlign w:val="bottom"/>
            <w:gridSpan w:val="25"/>
          </w:tcPr>
          <w:p>
            <w:pPr>
              <w:spacing w:after="0" w:line="204" w:lineRule="exact"/>
              <w:rPr>
                <w:sz w:val="20"/>
                <w:szCs w:val="20"/>
                <w:color w:val="auto"/>
              </w:rPr>
            </w:pPr>
            <w:r>
              <w:rPr>
                <w:rFonts w:ascii="Arial" w:cs="Arial" w:eastAsia="Arial" w:hAnsi="Arial"/>
                <w:sz w:val="20"/>
                <w:szCs w:val="20"/>
                <w:color w:val="1C2790"/>
              </w:rPr>
              <w:t>Mine Safety Disclosures</w:t>
            </w:r>
          </w:p>
        </w:tc>
        <w:tc>
          <w:tcPr>
            <w:tcW w:w="680" w:type="dxa"/>
            <w:vAlign w:val="bottom"/>
            <w:gridSpan w:val="3"/>
          </w:tcPr>
          <w:p>
            <w:pPr>
              <w:jc w:val="center"/>
              <w:ind w:left="382"/>
              <w:spacing w:after="0" w:line="204" w:lineRule="exact"/>
              <w:rPr>
                <w:sz w:val="20"/>
                <w:szCs w:val="20"/>
                <w:color w:val="auto"/>
              </w:rPr>
            </w:pPr>
            <w:r>
              <w:rPr>
                <w:rFonts w:ascii="Arial" w:cs="Arial" w:eastAsia="Arial" w:hAnsi="Arial"/>
                <w:sz w:val="20"/>
                <w:szCs w:val="20"/>
                <w:color w:val="1C2790"/>
                <w:w w:val="89"/>
              </w:rPr>
              <w:t>47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840" w:type="dxa"/>
            <w:vAlign w:val="bottom"/>
            <w:vMerge w:val="restart"/>
          </w:tcPr>
          <w:p>
            <w:pPr>
              <w:spacing w:after="0"/>
              <w:rPr>
                <w:sz w:val="20"/>
                <w:szCs w:val="20"/>
                <w:color w:val="auto"/>
              </w:rPr>
            </w:pPr>
            <w:r>
              <w:rPr>
                <w:rFonts w:ascii="Arial" w:cs="Arial" w:eastAsia="Arial" w:hAnsi="Arial"/>
                <w:sz w:val="20"/>
                <w:szCs w:val="20"/>
                <w:b w:val="1"/>
                <w:bCs w:val="1"/>
                <w:color w:val="auto"/>
              </w:rPr>
              <w:t>PART II</w:t>
            </w:r>
          </w:p>
        </w:tc>
        <w:tc>
          <w:tcPr>
            <w:tcW w:w="48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1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20" w:type="dxa"/>
            <w:vAlign w:val="bottom"/>
            <w:tcBorders>
              <w:top w:val="single" w:sz="8" w:color="1C2790"/>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8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4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5.</w:t>
            </w:r>
          </w:p>
        </w:tc>
        <w:tc>
          <w:tcPr>
            <w:tcW w:w="7480" w:type="dxa"/>
            <w:vAlign w:val="bottom"/>
            <w:gridSpan w:val="24"/>
            <w:vMerge w:val="restart"/>
          </w:tcPr>
          <w:p>
            <w:pPr>
              <w:spacing w:after="0"/>
              <w:rPr>
                <w:sz w:val="20"/>
                <w:szCs w:val="20"/>
                <w:color w:val="auto"/>
              </w:rPr>
            </w:pPr>
            <w:r>
              <w:rPr>
                <w:rFonts w:ascii="Arial" w:cs="Arial" w:eastAsia="Arial" w:hAnsi="Arial"/>
                <w:sz w:val="20"/>
                <w:szCs w:val="20"/>
                <w:color w:val="1C2790"/>
                <w:w w:val="89"/>
              </w:rPr>
              <w:t>Market for Registrant’s Common Equity, Related Stockholder Matters and Issuer Purchases of</w:t>
            </w:r>
          </w:p>
        </w:tc>
        <w:tc>
          <w:tcPr>
            <w:tcW w:w="40" w:type="dxa"/>
            <w:vAlign w:val="bottom"/>
            <w:vMerge w:val="restart"/>
          </w:tcPr>
          <w:p>
            <w:pPr>
              <w:spacing w:after="0"/>
              <w:rPr>
                <w:sz w:val="3"/>
                <w:szCs w:val="3"/>
                <w:color w:val="auto"/>
              </w:rPr>
            </w:pPr>
          </w:p>
        </w:tc>
        <w:tc>
          <w:tcPr>
            <w:tcW w:w="540" w:type="dxa"/>
            <w:vAlign w:val="bottom"/>
            <w:vMerge w:val="restart"/>
          </w:tcPr>
          <w:p>
            <w:pPr>
              <w:spacing w:after="0"/>
              <w:rPr>
                <w:sz w:val="3"/>
                <w:szCs w:val="3"/>
                <w:color w:val="auto"/>
              </w:rPr>
            </w:pPr>
          </w:p>
        </w:tc>
        <w:tc>
          <w:tcPr>
            <w:tcW w:w="140" w:type="dxa"/>
            <w:vAlign w:val="bottom"/>
            <w:gridSpan w:val="2"/>
            <w:vMerge w:val="restart"/>
          </w:tcPr>
          <w:p>
            <w:pPr>
              <w:jc w:val="center"/>
              <w:spacing w:after="0"/>
              <w:rPr>
                <w:sz w:val="20"/>
                <w:szCs w:val="20"/>
                <w:color w:val="auto"/>
              </w:rPr>
            </w:pPr>
            <w:r>
              <w:rPr>
                <w:rFonts w:ascii="Arial" w:cs="Arial" w:eastAsia="Arial" w:hAnsi="Arial"/>
                <w:sz w:val="17"/>
                <w:szCs w:val="17"/>
                <w:color w:val="1C2790"/>
                <w:w w:val="73"/>
              </w:rPr>
              <w:t>48</w:t>
            </w: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480" w:type="dxa"/>
            <w:vAlign w:val="bottom"/>
            <w:tcBorders>
              <w:bottom w:val="single" w:sz="8" w:color="1C2790"/>
            </w:tcBorders>
            <w:gridSpan w:val="24"/>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tcBorders>
              <w:bottom w:val="single" w:sz="8" w:color="1C2790"/>
            </w:tcBorders>
            <w:gridSpan w:val="2"/>
            <w:vMerge w:val="continue"/>
          </w:tcPr>
          <w:p>
            <w:pPr>
              <w:spacing w:after="0"/>
              <w:rPr>
                <w:sz w:val="17"/>
                <w:szCs w:val="17"/>
                <w:color w:val="auto"/>
              </w:rPr>
            </w:pPr>
          </w:p>
        </w:tc>
        <w:tc>
          <w:tcPr>
            <w:tcW w:w="500" w:type="dxa"/>
            <w:vAlign w:val="bottom"/>
            <w:tcBorders>
              <w:right w:val="single" w:sz="8" w:color="D2EEF5"/>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Borders>
              <w:bottom w:val="single" w:sz="8" w:color="1C2790"/>
            </w:tcBorders>
            <w:gridSpan w:val="9"/>
          </w:tcPr>
          <w:p>
            <w:pPr>
              <w:spacing w:after="0" w:line="215" w:lineRule="exact"/>
              <w:rPr>
                <w:sz w:val="20"/>
                <w:szCs w:val="20"/>
                <w:color w:val="auto"/>
              </w:rPr>
            </w:pPr>
            <w:r>
              <w:rPr>
                <w:rFonts w:ascii="Arial" w:cs="Arial" w:eastAsia="Arial" w:hAnsi="Arial"/>
                <w:sz w:val="20"/>
                <w:szCs w:val="20"/>
                <w:color w:val="1C2790"/>
                <w:w w:val="89"/>
              </w:rPr>
              <w:t>Equity Securities</w:t>
            </w:r>
          </w:p>
        </w:tc>
        <w:tc>
          <w:tcPr>
            <w:tcW w:w="5800" w:type="dxa"/>
            <w:vAlign w:val="bottom"/>
            <w:gridSpan w:val="15"/>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Borders>
              <w:right w:val="single" w:sz="8" w:color="D2EEF5"/>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6.</w:t>
            </w:r>
          </w:p>
        </w:tc>
        <w:tc>
          <w:tcPr>
            <w:tcW w:w="800" w:type="dxa"/>
            <w:vAlign w:val="bottom"/>
            <w:tcBorders>
              <w:bottom w:val="single" w:sz="8" w:color="1C2790"/>
            </w:tcBorders>
            <w:gridSpan w:val="3"/>
          </w:tcPr>
          <w:p>
            <w:pPr>
              <w:spacing w:after="0" w:line="204" w:lineRule="exact"/>
              <w:rPr>
                <w:sz w:val="20"/>
                <w:szCs w:val="20"/>
                <w:color w:val="auto"/>
              </w:rPr>
            </w:pPr>
            <w:r>
              <w:rPr>
                <w:rFonts w:ascii="Arial" w:cs="Arial" w:eastAsia="Arial" w:hAnsi="Arial"/>
                <w:sz w:val="20"/>
                <w:szCs w:val="20"/>
                <w:color w:val="1C2790"/>
                <w:w w:val="88"/>
              </w:rPr>
              <w:t>Reserved</w:t>
            </w:r>
          </w:p>
        </w:tc>
        <w:tc>
          <w:tcPr>
            <w:tcW w:w="6720" w:type="dxa"/>
            <w:vAlign w:val="bottom"/>
            <w:gridSpan w:val="2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1C2790"/>
            </w:tcBorders>
            <w:gridSpan w:val="2"/>
          </w:tcPr>
          <w:p>
            <w:pPr>
              <w:jc w:val="center"/>
              <w:spacing w:after="0"/>
              <w:rPr>
                <w:sz w:val="20"/>
                <w:szCs w:val="20"/>
                <w:color w:val="auto"/>
              </w:rPr>
            </w:pPr>
            <w:r>
              <w:rPr>
                <w:rFonts w:ascii="Arial" w:cs="Arial" w:eastAsia="Arial" w:hAnsi="Arial"/>
                <w:sz w:val="17"/>
                <w:szCs w:val="17"/>
                <w:color w:val="1C2790"/>
                <w:w w:val="73"/>
              </w:rPr>
              <w:t>49</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7.</w:t>
            </w:r>
          </w:p>
        </w:tc>
        <w:tc>
          <w:tcPr>
            <w:tcW w:w="7520" w:type="dxa"/>
            <w:vAlign w:val="bottom"/>
            <w:gridSpan w:val="25"/>
            <w:vMerge w:val="restart"/>
          </w:tcPr>
          <w:p>
            <w:pPr>
              <w:spacing w:after="0"/>
              <w:rPr>
                <w:sz w:val="20"/>
                <w:szCs w:val="20"/>
                <w:color w:val="auto"/>
              </w:rPr>
            </w:pPr>
            <w:r>
              <w:rPr>
                <w:rFonts w:ascii="Arial" w:cs="Arial" w:eastAsia="Arial" w:hAnsi="Arial"/>
                <w:sz w:val="20"/>
                <w:szCs w:val="20"/>
                <w:color w:val="1C2790"/>
                <w:w w:val="95"/>
              </w:rPr>
              <w:t>Management’s Discussion and Analysis of Financial Condition and Results of Operations</w:t>
            </w:r>
          </w:p>
        </w:tc>
        <w:tc>
          <w:tcPr>
            <w:tcW w:w="680" w:type="dxa"/>
            <w:vAlign w:val="bottom"/>
            <w:gridSpan w:val="3"/>
            <w:vMerge w:val="restart"/>
          </w:tcPr>
          <w:p>
            <w:pPr>
              <w:jc w:val="center"/>
              <w:ind w:left="382"/>
              <w:spacing w:after="0"/>
              <w:rPr>
                <w:sz w:val="20"/>
                <w:szCs w:val="20"/>
                <w:color w:val="auto"/>
              </w:rPr>
            </w:pPr>
            <w:r>
              <w:rPr>
                <w:rFonts w:ascii="Arial" w:cs="Arial" w:eastAsia="Arial" w:hAnsi="Arial"/>
                <w:sz w:val="20"/>
                <w:szCs w:val="20"/>
                <w:color w:val="1C2790"/>
                <w:w w:val="89"/>
              </w:rPr>
              <w:t>49</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8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7520" w:type="dxa"/>
            <w:vAlign w:val="bottom"/>
            <w:gridSpan w:val="25"/>
            <w:vMerge w:val="continue"/>
          </w:tcPr>
          <w:p>
            <w:pPr>
              <w:spacing w:after="0"/>
              <w:rPr>
                <w:sz w:val="22"/>
                <w:szCs w:val="22"/>
                <w:color w:val="auto"/>
              </w:rPr>
            </w:pPr>
          </w:p>
        </w:tc>
        <w:tc>
          <w:tcPr>
            <w:tcW w:w="680" w:type="dxa"/>
            <w:vAlign w:val="bottom"/>
            <w:gridSpan w:val="3"/>
            <w:vMerge w:val="continue"/>
          </w:tcPr>
          <w:p>
            <w:pPr>
              <w:spacing w:after="0"/>
              <w:rPr>
                <w:sz w:val="22"/>
                <w:szCs w:val="22"/>
                <w:color w:val="auto"/>
              </w:rPr>
            </w:pPr>
          </w:p>
        </w:tc>
        <w:tc>
          <w:tcPr>
            <w:tcW w:w="500" w:type="dxa"/>
            <w:vAlign w:val="bottom"/>
            <w:tcBorders>
              <w:right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7A.</w:t>
            </w:r>
          </w:p>
        </w:tc>
        <w:tc>
          <w:tcPr>
            <w:tcW w:w="7040" w:type="dxa"/>
            <w:vAlign w:val="bottom"/>
            <w:tcBorders>
              <w:top w:val="single" w:sz="8" w:color="1C2790"/>
            </w:tcBorders>
            <w:gridSpan w:val="21"/>
          </w:tcPr>
          <w:p>
            <w:pPr>
              <w:spacing w:after="0" w:line="204" w:lineRule="exact"/>
              <w:rPr>
                <w:sz w:val="20"/>
                <w:szCs w:val="20"/>
                <w:color w:val="auto"/>
              </w:rPr>
            </w:pPr>
            <w:r>
              <w:rPr>
                <w:rFonts w:ascii="Arial" w:cs="Arial" w:eastAsia="Arial" w:hAnsi="Arial"/>
                <w:sz w:val="20"/>
                <w:szCs w:val="20"/>
                <w:color w:val="1C2790"/>
              </w:rPr>
              <w:t>Quantitative and Qualitative Disclosures About Market Risk</w:t>
            </w:r>
          </w:p>
        </w:tc>
        <w:tc>
          <w:tcPr>
            <w:tcW w:w="4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1C2790"/>
            </w:tcBorders>
            <w:gridSpan w:val="2"/>
          </w:tcPr>
          <w:p>
            <w:pPr>
              <w:jc w:val="center"/>
              <w:spacing w:after="0"/>
              <w:rPr>
                <w:sz w:val="20"/>
                <w:szCs w:val="20"/>
                <w:color w:val="auto"/>
              </w:rPr>
            </w:pPr>
            <w:r>
              <w:rPr>
                <w:rFonts w:ascii="Arial" w:cs="Arial" w:eastAsia="Arial" w:hAnsi="Arial"/>
                <w:sz w:val="17"/>
                <w:szCs w:val="17"/>
                <w:color w:val="1C2790"/>
                <w:w w:val="73"/>
              </w:rPr>
              <w:t>66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8.</w:t>
            </w:r>
          </w:p>
        </w:tc>
        <w:tc>
          <w:tcPr>
            <w:tcW w:w="4740" w:type="dxa"/>
            <w:vAlign w:val="bottom"/>
            <w:tcBorders>
              <w:top w:val="single" w:sz="8" w:color="1C2790"/>
            </w:tcBorders>
            <w:gridSpan w:val="18"/>
            <w:vMerge w:val="restart"/>
          </w:tcPr>
          <w:p>
            <w:pPr>
              <w:spacing w:after="0"/>
              <w:rPr>
                <w:sz w:val="20"/>
                <w:szCs w:val="20"/>
                <w:color w:val="auto"/>
              </w:rPr>
            </w:pPr>
            <w:r>
              <w:rPr>
                <w:rFonts w:ascii="Arial" w:cs="Arial" w:eastAsia="Arial" w:hAnsi="Arial"/>
                <w:sz w:val="20"/>
                <w:szCs w:val="20"/>
                <w:color w:val="1C2790"/>
              </w:rPr>
              <w:t>Financial Statements and Supplementary Data</w:t>
            </w:r>
          </w:p>
        </w:tc>
        <w:tc>
          <w:tcPr>
            <w:tcW w:w="2780" w:type="dxa"/>
            <w:vAlign w:val="bottom"/>
            <w:gridSpan w:val="7"/>
            <w:vMerge w:val="restart"/>
          </w:tcPr>
          <w:p>
            <w:pPr>
              <w:spacing w:after="0"/>
              <w:rPr>
                <w:sz w:val="4"/>
                <w:szCs w:val="4"/>
                <w:color w:val="auto"/>
              </w:rPr>
            </w:pPr>
          </w:p>
        </w:tc>
        <w:tc>
          <w:tcPr>
            <w:tcW w:w="540" w:type="dxa"/>
            <w:vAlign w:val="bottom"/>
            <w:vMerge w:val="restart"/>
          </w:tcPr>
          <w:p>
            <w:pPr>
              <w:spacing w:after="0"/>
              <w:rPr>
                <w:sz w:val="4"/>
                <w:szCs w:val="4"/>
                <w:color w:val="auto"/>
              </w:rPr>
            </w:pPr>
          </w:p>
        </w:tc>
        <w:tc>
          <w:tcPr>
            <w:tcW w:w="140" w:type="dxa"/>
            <w:vAlign w:val="bottom"/>
            <w:tcBorders>
              <w:top w:val="single" w:sz="8" w:color="1C2790"/>
            </w:tcBorders>
            <w:gridSpan w:val="2"/>
            <w:vMerge w:val="restart"/>
          </w:tcPr>
          <w:p>
            <w:pPr>
              <w:jc w:val="center"/>
              <w:spacing w:after="0"/>
              <w:rPr>
                <w:sz w:val="20"/>
                <w:szCs w:val="20"/>
                <w:color w:val="auto"/>
              </w:rPr>
            </w:pPr>
            <w:r>
              <w:rPr>
                <w:rFonts w:ascii="Arial" w:cs="Arial" w:eastAsia="Arial" w:hAnsi="Arial"/>
                <w:sz w:val="17"/>
                <w:szCs w:val="17"/>
                <w:color w:val="1C2790"/>
                <w:w w:val="73"/>
              </w:rPr>
              <w:t>69</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4740" w:type="dxa"/>
            <w:vAlign w:val="bottom"/>
            <w:gridSpan w:val="18"/>
            <w:vMerge w:val="continue"/>
          </w:tcPr>
          <w:p>
            <w:pPr>
              <w:spacing w:after="0"/>
              <w:rPr>
                <w:sz w:val="17"/>
                <w:szCs w:val="17"/>
                <w:color w:val="auto"/>
              </w:rPr>
            </w:pPr>
          </w:p>
        </w:tc>
        <w:tc>
          <w:tcPr>
            <w:tcW w:w="2780" w:type="dxa"/>
            <w:vAlign w:val="bottom"/>
            <w:gridSpan w:val="7"/>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500" w:type="dxa"/>
            <w:vAlign w:val="bottom"/>
            <w:tcBorders>
              <w:right w:val="single" w:sz="8" w:color="D2EEF5"/>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right w:val="single" w:sz="8" w:color="1C2790"/>
            </w:tcBorders>
            <w:gridSpan w:val="3"/>
            <w:shd w:val="clear" w:color="auto" w:fill="1C2790"/>
          </w:tcPr>
          <w:p>
            <w:pPr>
              <w:spacing w:after="0"/>
              <w:rPr>
                <w:sz w:val="6"/>
                <w:szCs w:val="6"/>
                <w:color w:val="auto"/>
              </w:rPr>
            </w:pPr>
          </w:p>
        </w:tc>
        <w:tc>
          <w:tcPr>
            <w:tcW w:w="160" w:type="dxa"/>
            <w:vAlign w:val="bottom"/>
            <w:tcBorders>
              <w:left w:val="single" w:sz="8" w:color="1C2790"/>
            </w:tcBorders>
            <w:shd w:val="clear" w:color="auto" w:fill="1C2790"/>
          </w:tcPr>
          <w:p>
            <w:pPr>
              <w:spacing w:after="0"/>
              <w:rPr>
                <w:sz w:val="6"/>
                <w:szCs w:val="6"/>
                <w:color w:val="auto"/>
              </w:rPr>
            </w:pPr>
          </w:p>
        </w:tc>
        <w:tc>
          <w:tcPr>
            <w:tcW w:w="480" w:type="dxa"/>
            <w:vAlign w:val="bottom"/>
            <w:gridSpan w:val="3"/>
            <w:shd w:val="clear" w:color="auto" w:fill="1C2790"/>
          </w:tcPr>
          <w:p>
            <w:pPr>
              <w:spacing w:after="0"/>
              <w:rPr>
                <w:sz w:val="6"/>
                <w:szCs w:val="6"/>
                <w:color w:val="auto"/>
              </w:rPr>
            </w:pPr>
          </w:p>
        </w:tc>
        <w:tc>
          <w:tcPr>
            <w:tcW w:w="260" w:type="dxa"/>
            <w:vAlign w:val="bottom"/>
            <w:gridSpan w:val="2"/>
            <w:shd w:val="clear" w:color="auto" w:fill="1C2790"/>
          </w:tcPr>
          <w:p>
            <w:pPr>
              <w:spacing w:after="0"/>
              <w:rPr>
                <w:sz w:val="6"/>
                <w:szCs w:val="6"/>
                <w:color w:val="auto"/>
              </w:rPr>
            </w:pPr>
          </w:p>
        </w:tc>
        <w:tc>
          <w:tcPr>
            <w:tcW w:w="240" w:type="dxa"/>
            <w:vAlign w:val="bottom"/>
            <w:gridSpan w:val="2"/>
            <w:shd w:val="clear" w:color="auto" w:fill="1C2790"/>
          </w:tcPr>
          <w:p>
            <w:pPr>
              <w:spacing w:after="0"/>
              <w:rPr>
                <w:sz w:val="6"/>
                <w:szCs w:val="6"/>
                <w:color w:val="auto"/>
              </w:rPr>
            </w:pPr>
          </w:p>
        </w:tc>
        <w:tc>
          <w:tcPr>
            <w:tcW w:w="40" w:type="dxa"/>
            <w:vAlign w:val="bottom"/>
            <w:shd w:val="clear" w:color="auto" w:fill="1C2790"/>
          </w:tcPr>
          <w:p>
            <w:pPr>
              <w:spacing w:after="0"/>
              <w:rPr>
                <w:sz w:val="6"/>
                <w:szCs w:val="6"/>
                <w:color w:val="auto"/>
              </w:rPr>
            </w:pPr>
          </w:p>
        </w:tc>
        <w:tc>
          <w:tcPr>
            <w:tcW w:w="1140" w:type="dxa"/>
            <w:vAlign w:val="bottom"/>
            <w:gridSpan w:val="2"/>
            <w:shd w:val="clear" w:color="auto" w:fill="1C2790"/>
          </w:tcPr>
          <w:p>
            <w:pPr>
              <w:spacing w:after="0"/>
              <w:rPr>
                <w:sz w:val="6"/>
                <w:szCs w:val="6"/>
                <w:color w:val="auto"/>
              </w:rPr>
            </w:pPr>
          </w:p>
        </w:tc>
        <w:tc>
          <w:tcPr>
            <w:tcW w:w="320" w:type="dxa"/>
            <w:vAlign w:val="bottom"/>
            <w:shd w:val="clear" w:color="auto" w:fill="1C2790"/>
          </w:tcPr>
          <w:p>
            <w:pPr>
              <w:spacing w:after="0"/>
              <w:rPr>
                <w:sz w:val="6"/>
                <w:szCs w:val="6"/>
                <w:color w:val="auto"/>
              </w:rPr>
            </w:pPr>
          </w:p>
        </w:tc>
        <w:tc>
          <w:tcPr>
            <w:tcW w:w="180" w:type="dxa"/>
            <w:vAlign w:val="bottom"/>
            <w:shd w:val="clear" w:color="auto" w:fill="1C2790"/>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gridSpan w:val="2"/>
          </w:tcPr>
          <w:p>
            <w:pPr>
              <w:spacing w:after="0"/>
              <w:rPr>
                <w:sz w:val="6"/>
                <w:szCs w:val="6"/>
                <w:color w:val="auto"/>
              </w:rPr>
            </w:pPr>
          </w:p>
        </w:tc>
        <w:tc>
          <w:tcPr>
            <w:tcW w:w="540" w:type="dxa"/>
            <w:vAlign w:val="bottom"/>
            <w:tcBorders>
              <w:right w:val="single" w:sz="8" w:color="1C2790"/>
            </w:tcBorders>
          </w:tcPr>
          <w:p>
            <w:pPr>
              <w:spacing w:after="0"/>
              <w:rPr>
                <w:sz w:val="6"/>
                <w:szCs w:val="6"/>
                <w:color w:val="auto"/>
              </w:rPr>
            </w:pPr>
          </w:p>
        </w:tc>
        <w:tc>
          <w:tcPr>
            <w:tcW w:w="140" w:type="dxa"/>
            <w:vAlign w:val="bottom"/>
            <w:gridSpan w:val="2"/>
            <w:shd w:val="clear" w:color="auto" w:fill="1C2790"/>
          </w:tcPr>
          <w:p>
            <w:pPr>
              <w:spacing w:after="0"/>
              <w:rPr>
                <w:sz w:val="6"/>
                <w:szCs w:val="6"/>
                <w:color w:val="auto"/>
              </w:rPr>
            </w:pPr>
          </w:p>
        </w:tc>
        <w:tc>
          <w:tcPr>
            <w:tcW w:w="500" w:type="dxa"/>
            <w:vAlign w:val="bottom"/>
            <w:tcBorders>
              <w:right w:val="single" w:sz="8" w:color="D2EEF5"/>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9.</w:t>
            </w:r>
          </w:p>
        </w:tc>
        <w:tc>
          <w:tcPr>
            <w:tcW w:w="7060" w:type="dxa"/>
            <w:vAlign w:val="bottom"/>
            <w:gridSpan w:val="22"/>
          </w:tcPr>
          <w:p>
            <w:pPr>
              <w:spacing w:after="0" w:line="204" w:lineRule="exact"/>
              <w:rPr>
                <w:sz w:val="20"/>
                <w:szCs w:val="20"/>
                <w:color w:val="auto"/>
              </w:rPr>
            </w:pPr>
            <w:r>
              <w:rPr>
                <w:rFonts w:ascii="Arial" w:cs="Arial" w:eastAsia="Arial" w:hAnsi="Arial"/>
                <w:sz w:val="20"/>
                <w:szCs w:val="20"/>
                <w:color w:val="1C2790"/>
                <w:w w:val="88"/>
              </w:rPr>
              <w:t>Changes in and Disagreements with Accountants on Accounting and Financial Disclosure</w:t>
            </w:r>
          </w:p>
        </w:tc>
        <w:tc>
          <w:tcPr>
            <w:tcW w:w="460" w:type="dxa"/>
            <w:vAlign w:val="bottom"/>
            <w:gridSpan w:val="3"/>
          </w:tcPr>
          <w:p>
            <w:pPr>
              <w:spacing w:after="0"/>
              <w:rPr>
                <w:sz w:val="17"/>
                <w:szCs w:val="17"/>
                <w:color w:val="auto"/>
              </w:rPr>
            </w:pPr>
          </w:p>
        </w:tc>
        <w:tc>
          <w:tcPr>
            <w:tcW w:w="680" w:type="dxa"/>
            <w:vAlign w:val="bottom"/>
            <w:gridSpan w:val="3"/>
          </w:tcPr>
          <w:p>
            <w:pPr>
              <w:jc w:val="center"/>
              <w:ind w:left="302"/>
              <w:spacing w:after="0" w:line="204" w:lineRule="exact"/>
              <w:rPr>
                <w:sz w:val="20"/>
                <w:szCs w:val="20"/>
                <w:color w:val="auto"/>
              </w:rPr>
            </w:pPr>
            <w:r>
              <w:rPr>
                <w:rFonts w:ascii="Arial" w:cs="Arial" w:eastAsia="Arial" w:hAnsi="Arial"/>
                <w:sz w:val="20"/>
                <w:szCs w:val="20"/>
                <w:color w:val="1C2790"/>
                <w:w w:val="83"/>
              </w:rPr>
              <w:t>116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right w:val="single" w:sz="8" w:color="1C2790"/>
            </w:tcBorders>
            <w:gridSpan w:val="3"/>
            <w:shd w:val="clear" w:color="auto" w:fill="1C2790"/>
          </w:tcPr>
          <w:p>
            <w:pPr>
              <w:spacing w:after="0" w:line="20" w:lineRule="exact"/>
              <w:rPr>
                <w:sz w:val="1"/>
                <w:szCs w:val="1"/>
                <w:color w:val="auto"/>
              </w:rPr>
            </w:pPr>
          </w:p>
        </w:tc>
        <w:tc>
          <w:tcPr>
            <w:tcW w:w="160" w:type="dxa"/>
            <w:vAlign w:val="bottom"/>
            <w:tcBorders>
              <w:left w:val="single" w:sz="8" w:color="1C2790"/>
            </w:tcBorders>
            <w:shd w:val="clear" w:color="auto" w:fill="1C2790"/>
          </w:tcPr>
          <w:p>
            <w:pPr>
              <w:spacing w:after="0" w:line="20" w:lineRule="exact"/>
              <w:rPr>
                <w:sz w:val="1"/>
                <w:szCs w:val="1"/>
                <w:color w:val="auto"/>
              </w:rPr>
            </w:pPr>
          </w:p>
        </w:tc>
        <w:tc>
          <w:tcPr>
            <w:tcW w:w="480" w:type="dxa"/>
            <w:vAlign w:val="bottom"/>
            <w:gridSpan w:val="3"/>
            <w:shd w:val="clear" w:color="auto" w:fill="1C2790"/>
          </w:tcPr>
          <w:p>
            <w:pPr>
              <w:spacing w:after="0" w:line="20" w:lineRule="exact"/>
              <w:rPr>
                <w:sz w:val="1"/>
                <w:szCs w:val="1"/>
                <w:color w:val="auto"/>
              </w:rPr>
            </w:pPr>
          </w:p>
        </w:tc>
        <w:tc>
          <w:tcPr>
            <w:tcW w:w="260" w:type="dxa"/>
            <w:vAlign w:val="bottom"/>
            <w:gridSpan w:val="2"/>
            <w:shd w:val="clear" w:color="auto" w:fill="1C2790"/>
          </w:tcPr>
          <w:p>
            <w:pPr>
              <w:spacing w:after="0" w:line="20" w:lineRule="exact"/>
              <w:rPr>
                <w:sz w:val="1"/>
                <w:szCs w:val="1"/>
                <w:color w:val="auto"/>
              </w:rPr>
            </w:pPr>
          </w:p>
        </w:tc>
        <w:tc>
          <w:tcPr>
            <w:tcW w:w="240" w:type="dxa"/>
            <w:vAlign w:val="bottom"/>
            <w:gridSpan w:val="2"/>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c>
          <w:tcPr>
            <w:tcW w:w="1140" w:type="dxa"/>
            <w:vAlign w:val="bottom"/>
            <w:gridSpan w:val="2"/>
            <w:shd w:val="clear" w:color="auto" w:fill="1C2790"/>
          </w:tcPr>
          <w:p>
            <w:pPr>
              <w:spacing w:after="0" w:line="20" w:lineRule="exact"/>
              <w:rPr>
                <w:sz w:val="1"/>
                <w:szCs w:val="1"/>
                <w:color w:val="auto"/>
              </w:rPr>
            </w:pPr>
          </w:p>
        </w:tc>
        <w:tc>
          <w:tcPr>
            <w:tcW w:w="320" w:type="dxa"/>
            <w:vAlign w:val="bottom"/>
            <w:shd w:val="clear" w:color="auto" w:fill="1C2790"/>
          </w:tcPr>
          <w:p>
            <w:pPr>
              <w:spacing w:after="0" w:line="20" w:lineRule="exact"/>
              <w:rPr>
                <w:sz w:val="1"/>
                <w:szCs w:val="1"/>
                <w:color w:val="auto"/>
              </w:rPr>
            </w:pPr>
          </w:p>
        </w:tc>
        <w:tc>
          <w:tcPr>
            <w:tcW w:w="1020" w:type="dxa"/>
            <w:vAlign w:val="bottom"/>
            <w:gridSpan w:val="2"/>
            <w:shd w:val="clear" w:color="auto" w:fill="1C2790"/>
          </w:tcPr>
          <w:p>
            <w:pPr>
              <w:spacing w:after="0" w:line="20" w:lineRule="exact"/>
              <w:rPr>
                <w:sz w:val="1"/>
                <w:szCs w:val="1"/>
                <w:color w:val="auto"/>
              </w:rPr>
            </w:pPr>
          </w:p>
        </w:tc>
        <w:tc>
          <w:tcPr>
            <w:tcW w:w="880" w:type="dxa"/>
            <w:vAlign w:val="bottom"/>
            <w:gridSpan w:val="2"/>
            <w:shd w:val="clear" w:color="auto" w:fill="1C2790"/>
          </w:tcPr>
          <w:p>
            <w:pPr>
              <w:spacing w:after="0" w:line="20" w:lineRule="exact"/>
              <w:rPr>
                <w:sz w:val="1"/>
                <w:szCs w:val="1"/>
                <w:color w:val="auto"/>
              </w:rPr>
            </w:pPr>
          </w:p>
        </w:tc>
        <w:tc>
          <w:tcPr>
            <w:tcW w:w="600" w:type="dxa"/>
            <w:vAlign w:val="bottom"/>
            <w:shd w:val="clear" w:color="auto" w:fill="1C2790"/>
          </w:tcPr>
          <w:p>
            <w:pPr>
              <w:spacing w:after="0" w:line="20" w:lineRule="exact"/>
              <w:rPr>
                <w:sz w:val="1"/>
                <w:szCs w:val="1"/>
                <w:color w:val="auto"/>
              </w:rPr>
            </w:pPr>
          </w:p>
        </w:tc>
        <w:tc>
          <w:tcPr>
            <w:tcW w:w="1120" w:type="dxa"/>
            <w:vAlign w:val="bottom"/>
            <w:gridSpan w:val="2"/>
            <w:shd w:val="clear" w:color="auto" w:fill="1C279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Borders>
              <w:right w:val="single" w:sz="8" w:color="1C2790"/>
            </w:tcBorders>
          </w:tcPr>
          <w:p>
            <w:pPr>
              <w:spacing w:after="0" w:line="20" w:lineRule="exact"/>
              <w:rPr>
                <w:sz w:val="1"/>
                <w:szCs w:val="1"/>
                <w:color w:val="auto"/>
              </w:rPr>
            </w:pPr>
          </w:p>
        </w:tc>
        <w:tc>
          <w:tcPr>
            <w:tcW w:w="140" w:type="dxa"/>
            <w:vAlign w:val="bottom"/>
            <w:gridSpan w:val="2"/>
            <w:shd w:val="clear" w:color="auto" w:fill="1C2790"/>
          </w:tcPr>
          <w:p>
            <w:pPr>
              <w:spacing w:after="0" w:line="20" w:lineRule="exact"/>
              <w:rPr>
                <w:sz w:val="1"/>
                <w:szCs w:val="1"/>
                <w:color w:val="auto"/>
              </w:rPr>
            </w:pPr>
          </w:p>
        </w:tc>
        <w:tc>
          <w:tcPr>
            <w:tcW w:w="500" w:type="dxa"/>
            <w:vAlign w:val="bottom"/>
            <w:tcBorders>
              <w:left w:val="single" w:sz="8" w:color="1C27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9A.</w:t>
            </w:r>
          </w:p>
        </w:tc>
        <w:tc>
          <w:tcPr>
            <w:tcW w:w="1940" w:type="dxa"/>
            <w:vAlign w:val="bottom"/>
            <w:gridSpan w:val="11"/>
            <w:vMerge w:val="restart"/>
          </w:tcPr>
          <w:p>
            <w:pPr>
              <w:spacing w:after="0"/>
              <w:rPr>
                <w:sz w:val="20"/>
                <w:szCs w:val="20"/>
                <w:color w:val="auto"/>
              </w:rPr>
            </w:pPr>
            <w:r>
              <w:rPr>
                <w:rFonts w:ascii="Arial" w:cs="Arial" w:eastAsia="Arial" w:hAnsi="Arial"/>
                <w:sz w:val="20"/>
                <w:szCs w:val="20"/>
                <w:color w:val="1C2790"/>
                <w:w w:val="86"/>
              </w:rPr>
              <w:t>Controls and Procedures</w:t>
            </w:r>
          </w:p>
        </w:tc>
        <w:tc>
          <w:tcPr>
            <w:tcW w:w="5120" w:type="dxa"/>
            <w:vAlign w:val="bottom"/>
            <w:gridSpan w:val="11"/>
            <w:vMerge w:val="restart"/>
          </w:tcPr>
          <w:p>
            <w:pPr>
              <w:spacing w:after="0"/>
              <w:rPr>
                <w:sz w:val="4"/>
                <w:szCs w:val="4"/>
                <w:color w:val="auto"/>
              </w:rPr>
            </w:pPr>
          </w:p>
        </w:tc>
        <w:tc>
          <w:tcPr>
            <w:tcW w:w="460" w:type="dxa"/>
            <w:vAlign w:val="bottom"/>
            <w:gridSpan w:val="3"/>
            <w:vMerge w:val="restart"/>
          </w:tcPr>
          <w:p>
            <w:pPr>
              <w:spacing w:after="0"/>
              <w:rPr>
                <w:sz w:val="4"/>
                <w:szCs w:val="4"/>
                <w:color w:val="auto"/>
              </w:rPr>
            </w:pPr>
          </w:p>
        </w:tc>
        <w:tc>
          <w:tcPr>
            <w:tcW w:w="680" w:type="dxa"/>
            <w:vAlign w:val="bottom"/>
            <w:gridSpan w:val="3"/>
            <w:vMerge w:val="restart"/>
          </w:tcPr>
          <w:p>
            <w:pPr>
              <w:jc w:val="center"/>
              <w:ind w:left="302"/>
              <w:spacing w:after="0"/>
              <w:rPr>
                <w:sz w:val="20"/>
                <w:szCs w:val="20"/>
                <w:color w:val="auto"/>
              </w:rPr>
            </w:pPr>
            <w:r>
              <w:rPr>
                <w:rFonts w:ascii="Arial" w:cs="Arial" w:eastAsia="Arial" w:hAnsi="Arial"/>
                <w:sz w:val="20"/>
                <w:szCs w:val="20"/>
                <w:color w:val="1C2790"/>
                <w:w w:val="83"/>
              </w:rPr>
              <w:t>116</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940" w:type="dxa"/>
            <w:vAlign w:val="bottom"/>
            <w:gridSpan w:val="11"/>
            <w:vMerge w:val="continue"/>
          </w:tcPr>
          <w:p>
            <w:pPr>
              <w:spacing w:after="0"/>
              <w:rPr>
                <w:sz w:val="17"/>
                <w:szCs w:val="17"/>
                <w:color w:val="auto"/>
              </w:rPr>
            </w:pPr>
          </w:p>
        </w:tc>
        <w:tc>
          <w:tcPr>
            <w:tcW w:w="5120" w:type="dxa"/>
            <w:vAlign w:val="bottom"/>
            <w:gridSpan w:val="11"/>
            <w:vMerge w:val="continue"/>
          </w:tcPr>
          <w:p>
            <w:pPr>
              <w:spacing w:after="0"/>
              <w:rPr>
                <w:sz w:val="17"/>
                <w:szCs w:val="17"/>
                <w:color w:val="auto"/>
              </w:rPr>
            </w:pPr>
          </w:p>
        </w:tc>
        <w:tc>
          <w:tcPr>
            <w:tcW w:w="460" w:type="dxa"/>
            <w:vAlign w:val="bottom"/>
            <w:gridSpan w:val="3"/>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500" w:type="dxa"/>
            <w:vAlign w:val="bottom"/>
            <w:tcBorders>
              <w:right w:val="single" w:sz="8" w:color="D2EEF5"/>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right w:val="single" w:sz="8" w:color="1C2790"/>
            </w:tcBorders>
            <w:gridSpan w:val="3"/>
            <w:shd w:val="clear" w:color="auto" w:fill="1C2790"/>
          </w:tcPr>
          <w:p>
            <w:pPr>
              <w:spacing w:after="0"/>
              <w:rPr>
                <w:sz w:val="6"/>
                <w:szCs w:val="6"/>
                <w:color w:val="auto"/>
              </w:rPr>
            </w:pPr>
          </w:p>
        </w:tc>
        <w:tc>
          <w:tcPr>
            <w:tcW w:w="160" w:type="dxa"/>
            <w:vAlign w:val="bottom"/>
            <w:tcBorders>
              <w:left w:val="single" w:sz="8" w:color="1C2790"/>
            </w:tcBorders>
            <w:shd w:val="clear" w:color="auto" w:fill="1C2790"/>
          </w:tcPr>
          <w:p>
            <w:pPr>
              <w:spacing w:after="0"/>
              <w:rPr>
                <w:sz w:val="6"/>
                <w:szCs w:val="6"/>
                <w:color w:val="auto"/>
              </w:rPr>
            </w:pPr>
          </w:p>
        </w:tc>
        <w:tc>
          <w:tcPr>
            <w:tcW w:w="480" w:type="dxa"/>
            <w:vAlign w:val="bottom"/>
            <w:gridSpan w:val="3"/>
            <w:shd w:val="clear" w:color="auto" w:fill="1C2790"/>
          </w:tcPr>
          <w:p>
            <w:pPr>
              <w:spacing w:after="0"/>
              <w:rPr>
                <w:sz w:val="6"/>
                <w:szCs w:val="6"/>
                <w:color w:val="auto"/>
              </w:rPr>
            </w:pPr>
          </w:p>
        </w:tc>
        <w:tc>
          <w:tcPr>
            <w:tcW w:w="260" w:type="dxa"/>
            <w:vAlign w:val="bottom"/>
            <w:gridSpan w:val="2"/>
            <w:shd w:val="clear" w:color="auto" w:fill="1C2790"/>
          </w:tcPr>
          <w:p>
            <w:pPr>
              <w:spacing w:after="0"/>
              <w:rPr>
                <w:sz w:val="6"/>
                <w:szCs w:val="6"/>
                <w:color w:val="auto"/>
              </w:rPr>
            </w:pPr>
          </w:p>
        </w:tc>
        <w:tc>
          <w:tcPr>
            <w:tcW w:w="240" w:type="dxa"/>
            <w:vAlign w:val="bottom"/>
            <w:gridSpan w:val="2"/>
            <w:shd w:val="clear" w:color="auto" w:fill="1C2790"/>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c>
          <w:tcPr>
            <w:tcW w:w="88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400" w:type="dxa"/>
            <w:vAlign w:val="bottom"/>
            <w:gridSpan w:val="3"/>
          </w:tcPr>
          <w:p>
            <w:pPr>
              <w:spacing w:after="0"/>
              <w:rPr>
                <w:sz w:val="6"/>
                <w:szCs w:val="6"/>
                <w:color w:val="auto"/>
              </w:rPr>
            </w:pPr>
          </w:p>
        </w:tc>
        <w:tc>
          <w:tcPr>
            <w:tcW w:w="180" w:type="dxa"/>
            <w:vAlign w:val="bottom"/>
            <w:gridSpan w:val="2"/>
          </w:tcPr>
          <w:p>
            <w:pPr>
              <w:spacing w:after="0"/>
              <w:rPr>
                <w:sz w:val="6"/>
                <w:szCs w:val="6"/>
                <w:color w:val="auto"/>
              </w:rPr>
            </w:pPr>
          </w:p>
        </w:tc>
        <w:tc>
          <w:tcPr>
            <w:tcW w:w="540" w:type="dxa"/>
            <w:vAlign w:val="bottom"/>
            <w:tcBorders>
              <w:right w:val="single" w:sz="8" w:color="1C2790"/>
            </w:tcBorders>
          </w:tcPr>
          <w:p>
            <w:pPr>
              <w:spacing w:after="0"/>
              <w:rPr>
                <w:sz w:val="6"/>
                <w:szCs w:val="6"/>
                <w:color w:val="auto"/>
              </w:rPr>
            </w:pPr>
          </w:p>
        </w:tc>
        <w:tc>
          <w:tcPr>
            <w:tcW w:w="140" w:type="dxa"/>
            <w:vAlign w:val="bottom"/>
            <w:gridSpan w:val="2"/>
            <w:shd w:val="clear" w:color="auto" w:fill="1C2790"/>
          </w:tcPr>
          <w:p>
            <w:pPr>
              <w:spacing w:after="0"/>
              <w:rPr>
                <w:sz w:val="6"/>
                <w:szCs w:val="6"/>
                <w:color w:val="auto"/>
              </w:rPr>
            </w:pPr>
          </w:p>
        </w:tc>
        <w:tc>
          <w:tcPr>
            <w:tcW w:w="500" w:type="dxa"/>
            <w:vAlign w:val="bottom"/>
            <w:tcBorders>
              <w:left w:val="single" w:sz="8" w:color="1C2790"/>
              <w:right w:val="single" w:sz="8" w:color="D2EEF5"/>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9B.</w:t>
            </w:r>
          </w:p>
        </w:tc>
        <w:tc>
          <w:tcPr>
            <w:tcW w:w="1440" w:type="dxa"/>
            <w:vAlign w:val="bottom"/>
            <w:gridSpan w:val="7"/>
          </w:tcPr>
          <w:p>
            <w:pPr>
              <w:spacing w:after="0" w:line="204" w:lineRule="exact"/>
              <w:rPr>
                <w:sz w:val="20"/>
                <w:szCs w:val="20"/>
                <w:color w:val="auto"/>
              </w:rPr>
            </w:pPr>
            <w:r>
              <w:rPr>
                <w:rFonts w:ascii="Arial" w:cs="Arial" w:eastAsia="Arial" w:hAnsi="Arial"/>
                <w:sz w:val="20"/>
                <w:szCs w:val="20"/>
                <w:color w:val="1C2790"/>
                <w:w w:val="91"/>
              </w:rPr>
              <w:t>Other Information</w:t>
            </w:r>
          </w:p>
        </w:tc>
        <w:tc>
          <w:tcPr>
            <w:tcW w:w="500" w:type="dxa"/>
            <w:vAlign w:val="bottom"/>
            <w:gridSpan w:val="4"/>
          </w:tcPr>
          <w:p>
            <w:pPr>
              <w:spacing w:after="0"/>
              <w:rPr>
                <w:sz w:val="17"/>
                <w:szCs w:val="17"/>
                <w:color w:val="auto"/>
              </w:rPr>
            </w:pPr>
          </w:p>
        </w:tc>
        <w:tc>
          <w:tcPr>
            <w:tcW w:w="5580" w:type="dxa"/>
            <w:vAlign w:val="bottom"/>
            <w:gridSpan w:val="14"/>
          </w:tcPr>
          <w:p>
            <w:pPr>
              <w:spacing w:after="0"/>
              <w:rPr>
                <w:sz w:val="17"/>
                <w:szCs w:val="17"/>
                <w:color w:val="auto"/>
              </w:rPr>
            </w:pPr>
          </w:p>
        </w:tc>
        <w:tc>
          <w:tcPr>
            <w:tcW w:w="680" w:type="dxa"/>
            <w:vAlign w:val="bottom"/>
            <w:gridSpan w:val="3"/>
          </w:tcPr>
          <w:p>
            <w:pPr>
              <w:jc w:val="center"/>
              <w:ind w:left="302"/>
              <w:spacing w:after="0" w:line="204" w:lineRule="exact"/>
              <w:rPr>
                <w:sz w:val="20"/>
                <w:szCs w:val="20"/>
                <w:color w:val="auto"/>
              </w:rPr>
            </w:pPr>
            <w:r>
              <w:rPr>
                <w:rFonts w:ascii="Arial" w:cs="Arial" w:eastAsia="Arial" w:hAnsi="Arial"/>
                <w:sz w:val="20"/>
                <w:szCs w:val="20"/>
                <w:color w:val="1C2790"/>
                <w:w w:val="83"/>
              </w:rPr>
              <w:t>118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right w:val="single" w:sz="8" w:color="1C2790"/>
            </w:tcBorders>
            <w:gridSpan w:val="3"/>
            <w:shd w:val="clear" w:color="auto" w:fill="1C2790"/>
          </w:tcPr>
          <w:p>
            <w:pPr>
              <w:spacing w:after="0" w:line="20" w:lineRule="exact"/>
              <w:rPr>
                <w:sz w:val="1"/>
                <w:szCs w:val="1"/>
                <w:color w:val="auto"/>
              </w:rPr>
            </w:pPr>
          </w:p>
        </w:tc>
        <w:tc>
          <w:tcPr>
            <w:tcW w:w="160" w:type="dxa"/>
            <w:vAlign w:val="bottom"/>
            <w:tcBorders>
              <w:left w:val="single" w:sz="8" w:color="1C2790"/>
            </w:tcBorders>
            <w:shd w:val="clear" w:color="auto" w:fill="1C2790"/>
          </w:tcPr>
          <w:p>
            <w:pPr>
              <w:spacing w:after="0" w:line="20" w:lineRule="exact"/>
              <w:rPr>
                <w:sz w:val="1"/>
                <w:szCs w:val="1"/>
                <w:color w:val="auto"/>
              </w:rPr>
            </w:pPr>
          </w:p>
        </w:tc>
        <w:tc>
          <w:tcPr>
            <w:tcW w:w="480" w:type="dxa"/>
            <w:vAlign w:val="bottom"/>
            <w:gridSpan w:val="3"/>
            <w:shd w:val="clear" w:color="auto" w:fill="1C279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Borders>
              <w:right w:val="single" w:sz="8" w:color="1C2790"/>
            </w:tcBorders>
          </w:tcPr>
          <w:p>
            <w:pPr>
              <w:spacing w:after="0" w:line="20" w:lineRule="exact"/>
              <w:rPr>
                <w:sz w:val="1"/>
                <w:szCs w:val="1"/>
                <w:color w:val="auto"/>
              </w:rPr>
            </w:pPr>
          </w:p>
        </w:tc>
        <w:tc>
          <w:tcPr>
            <w:tcW w:w="140" w:type="dxa"/>
            <w:vAlign w:val="bottom"/>
            <w:gridSpan w:val="2"/>
            <w:shd w:val="clear" w:color="auto" w:fill="1C2790"/>
          </w:tcPr>
          <w:p>
            <w:pPr>
              <w:spacing w:after="0" w:line="20" w:lineRule="exact"/>
              <w:rPr>
                <w:sz w:val="1"/>
                <w:szCs w:val="1"/>
                <w:color w:val="auto"/>
              </w:rPr>
            </w:pPr>
          </w:p>
        </w:tc>
        <w:tc>
          <w:tcPr>
            <w:tcW w:w="500" w:type="dxa"/>
            <w:vAlign w:val="bottom"/>
            <w:tcBorders>
              <w:left w:val="single" w:sz="8" w:color="1C27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9C.</w:t>
            </w:r>
          </w:p>
        </w:tc>
        <w:tc>
          <w:tcPr>
            <w:tcW w:w="7520" w:type="dxa"/>
            <w:vAlign w:val="bottom"/>
            <w:gridSpan w:val="25"/>
            <w:vMerge w:val="restart"/>
          </w:tcPr>
          <w:p>
            <w:pPr>
              <w:spacing w:after="0"/>
              <w:rPr>
                <w:sz w:val="20"/>
                <w:szCs w:val="20"/>
                <w:color w:val="auto"/>
              </w:rPr>
            </w:pPr>
            <w:r>
              <w:rPr>
                <w:rFonts w:ascii="Arial" w:cs="Arial" w:eastAsia="Arial" w:hAnsi="Arial"/>
                <w:sz w:val="20"/>
                <w:szCs w:val="20"/>
                <w:color w:val="1C2790"/>
              </w:rPr>
              <w:t>Disclosure Regarding Foreign Jurisdictions that Prevent Inspections</w:t>
            </w:r>
          </w:p>
        </w:tc>
        <w:tc>
          <w:tcPr>
            <w:tcW w:w="680" w:type="dxa"/>
            <w:vAlign w:val="bottom"/>
            <w:gridSpan w:val="3"/>
            <w:vMerge w:val="restart"/>
          </w:tcPr>
          <w:p>
            <w:pPr>
              <w:jc w:val="center"/>
              <w:ind w:left="302"/>
              <w:spacing w:after="0"/>
              <w:rPr>
                <w:sz w:val="20"/>
                <w:szCs w:val="20"/>
                <w:color w:val="auto"/>
              </w:rPr>
            </w:pPr>
            <w:r>
              <w:rPr>
                <w:rFonts w:ascii="Arial" w:cs="Arial" w:eastAsia="Arial" w:hAnsi="Arial"/>
                <w:sz w:val="20"/>
                <w:szCs w:val="20"/>
                <w:color w:val="1C2790"/>
                <w:w w:val="83"/>
              </w:rPr>
              <w:t>118</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840" w:type="dxa"/>
            <w:vAlign w:val="bottom"/>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7520" w:type="dxa"/>
            <w:vAlign w:val="bottom"/>
            <w:gridSpan w:val="25"/>
            <w:vMerge w:val="continue"/>
          </w:tcPr>
          <w:p>
            <w:pPr>
              <w:spacing w:after="0"/>
              <w:rPr>
                <w:sz w:val="22"/>
                <w:szCs w:val="22"/>
                <w:color w:val="auto"/>
              </w:rPr>
            </w:pPr>
          </w:p>
        </w:tc>
        <w:tc>
          <w:tcPr>
            <w:tcW w:w="680" w:type="dxa"/>
            <w:vAlign w:val="bottom"/>
            <w:gridSpan w:val="3"/>
            <w:vMerge w:val="continue"/>
          </w:tcPr>
          <w:p>
            <w:pPr>
              <w:spacing w:after="0"/>
              <w:rPr>
                <w:sz w:val="22"/>
                <w:szCs w:val="22"/>
                <w:color w:val="auto"/>
              </w:rPr>
            </w:pPr>
          </w:p>
        </w:tc>
        <w:tc>
          <w:tcPr>
            <w:tcW w:w="500" w:type="dxa"/>
            <w:vAlign w:val="bottom"/>
            <w:tcBorders>
              <w:right w:val="single" w:sz="8" w:color="D2EEF5"/>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PART III</w:t>
            </w:r>
          </w:p>
        </w:tc>
        <w:tc>
          <w:tcPr>
            <w:tcW w:w="480" w:type="dxa"/>
            <w:vAlign w:val="bottom"/>
          </w:tcPr>
          <w:p>
            <w:pPr>
              <w:spacing w:after="0"/>
              <w:rPr>
                <w:sz w:val="24"/>
                <w:szCs w:val="24"/>
                <w:color w:val="auto"/>
              </w:rPr>
            </w:pPr>
          </w:p>
        </w:tc>
        <w:tc>
          <w:tcPr>
            <w:tcW w:w="360" w:type="dxa"/>
            <w:vAlign w:val="bottom"/>
            <w:tcBorders>
              <w:top w:val="single" w:sz="8" w:color="1C2790"/>
            </w:tcBorders>
          </w:tcPr>
          <w:p>
            <w:pPr>
              <w:spacing w:after="0"/>
              <w:rPr>
                <w:sz w:val="24"/>
                <w:szCs w:val="24"/>
                <w:color w:val="auto"/>
              </w:rPr>
            </w:pPr>
          </w:p>
        </w:tc>
        <w:tc>
          <w:tcPr>
            <w:tcW w:w="34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16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100" w:type="dxa"/>
            <w:vAlign w:val="bottom"/>
            <w:tcBorders>
              <w:top w:val="single" w:sz="8" w:color="1C2790"/>
            </w:tcBorders>
          </w:tcPr>
          <w:p>
            <w:pPr>
              <w:spacing w:after="0"/>
              <w:rPr>
                <w:sz w:val="24"/>
                <w:szCs w:val="24"/>
                <w:color w:val="auto"/>
              </w:rPr>
            </w:pPr>
          </w:p>
        </w:tc>
        <w:tc>
          <w:tcPr>
            <w:tcW w:w="340" w:type="dxa"/>
            <w:vAlign w:val="bottom"/>
            <w:tcBorders>
              <w:top w:val="single" w:sz="8" w:color="1C2790"/>
            </w:tcBorders>
          </w:tcPr>
          <w:p>
            <w:pPr>
              <w:spacing w:after="0"/>
              <w:rPr>
                <w:sz w:val="24"/>
                <w:szCs w:val="24"/>
                <w:color w:val="auto"/>
              </w:rPr>
            </w:pPr>
          </w:p>
        </w:tc>
        <w:tc>
          <w:tcPr>
            <w:tcW w:w="20" w:type="dxa"/>
            <w:vAlign w:val="bottom"/>
            <w:tcBorders>
              <w:top w:val="single" w:sz="8" w:color="1C2790"/>
            </w:tcBorders>
          </w:tcPr>
          <w:p>
            <w:pPr>
              <w:spacing w:after="0"/>
              <w:rPr>
                <w:sz w:val="24"/>
                <w:szCs w:val="24"/>
                <w:color w:val="auto"/>
              </w:rPr>
            </w:pPr>
          </w:p>
        </w:tc>
        <w:tc>
          <w:tcPr>
            <w:tcW w:w="240" w:type="dxa"/>
            <w:vAlign w:val="bottom"/>
            <w:tcBorders>
              <w:top w:val="single" w:sz="8" w:color="1C2790"/>
            </w:tcBorders>
          </w:tcPr>
          <w:p>
            <w:pPr>
              <w:spacing w:after="0"/>
              <w:rPr>
                <w:sz w:val="24"/>
                <w:szCs w:val="24"/>
                <w:color w:val="auto"/>
              </w:rPr>
            </w:pPr>
          </w:p>
        </w:tc>
        <w:tc>
          <w:tcPr>
            <w:tcW w:w="20" w:type="dxa"/>
            <w:vAlign w:val="bottom"/>
            <w:tcBorders>
              <w:top w:val="single" w:sz="8" w:color="1C2790"/>
            </w:tcBorders>
          </w:tcPr>
          <w:p>
            <w:pPr>
              <w:spacing w:after="0"/>
              <w:rPr>
                <w:sz w:val="24"/>
                <w:szCs w:val="24"/>
                <w:color w:val="auto"/>
              </w:rPr>
            </w:pPr>
          </w:p>
        </w:tc>
        <w:tc>
          <w:tcPr>
            <w:tcW w:w="220" w:type="dxa"/>
            <w:vAlign w:val="bottom"/>
            <w:tcBorders>
              <w:top w:val="single" w:sz="8" w:color="1C2790"/>
            </w:tcBorders>
          </w:tcPr>
          <w:p>
            <w:pPr>
              <w:spacing w:after="0"/>
              <w:rPr>
                <w:sz w:val="24"/>
                <w:szCs w:val="24"/>
                <w:color w:val="auto"/>
              </w:rPr>
            </w:pPr>
          </w:p>
        </w:tc>
        <w:tc>
          <w:tcPr>
            <w:tcW w:w="40" w:type="dxa"/>
            <w:vAlign w:val="bottom"/>
            <w:tcBorders>
              <w:top w:val="single" w:sz="8" w:color="1C2790"/>
            </w:tcBorders>
          </w:tcPr>
          <w:p>
            <w:pPr>
              <w:spacing w:after="0"/>
              <w:rPr>
                <w:sz w:val="24"/>
                <w:szCs w:val="24"/>
                <w:color w:val="auto"/>
              </w:rPr>
            </w:pPr>
          </w:p>
        </w:tc>
        <w:tc>
          <w:tcPr>
            <w:tcW w:w="260" w:type="dxa"/>
            <w:vAlign w:val="bottom"/>
            <w:tcBorders>
              <w:top w:val="single" w:sz="8" w:color="1C2790"/>
            </w:tcBorders>
          </w:tcPr>
          <w:p>
            <w:pPr>
              <w:spacing w:after="0"/>
              <w:rPr>
                <w:sz w:val="24"/>
                <w:szCs w:val="24"/>
                <w:color w:val="auto"/>
              </w:rPr>
            </w:pPr>
          </w:p>
        </w:tc>
        <w:tc>
          <w:tcPr>
            <w:tcW w:w="880" w:type="dxa"/>
            <w:vAlign w:val="bottom"/>
            <w:tcBorders>
              <w:top w:val="single" w:sz="8" w:color="1C2790"/>
            </w:tcBorders>
          </w:tcPr>
          <w:p>
            <w:pPr>
              <w:spacing w:after="0"/>
              <w:rPr>
                <w:sz w:val="24"/>
                <w:szCs w:val="24"/>
                <w:color w:val="auto"/>
              </w:rPr>
            </w:pPr>
          </w:p>
        </w:tc>
        <w:tc>
          <w:tcPr>
            <w:tcW w:w="320" w:type="dxa"/>
            <w:vAlign w:val="bottom"/>
            <w:tcBorders>
              <w:top w:val="single" w:sz="8" w:color="1C2790"/>
            </w:tcBorders>
          </w:tcPr>
          <w:p>
            <w:pPr>
              <w:spacing w:after="0"/>
              <w:rPr>
                <w:sz w:val="24"/>
                <w:szCs w:val="24"/>
                <w:color w:val="auto"/>
              </w:rPr>
            </w:pPr>
          </w:p>
        </w:tc>
        <w:tc>
          <w:tcPr>
            <w:tcW w:w="180" w:type="dxa"/>
            <w:vAlign w:val="bottom"/>
            <w:tcBorders>
              <w:top w:val="single" w:sz="8" w:color="1C2790"/>
            </w:tcBorders>
          </w:tcPr>
          <w:p>
            <w:pPr>
              <w:spacing w:after="0"/>
              <w:rPr>
                <w:sz w:val="24"/>
                <w:szCs w:val="24"/>
                <w:color w:val="auto"/>
              </w:rPr>
            </w:pPr>
          </w:p>
        </w:tc>
        <w:tc>
          <w:tcPr>
            <w:tcW w:w="840" w:type="dxa"/>
            <w:vAlign w:val="bottom"/>
            <w:tcBorders>
              <w:top w:val="single" w:sz="8" w:color="1C2790"/>
            </w:tcBorders>
          </w:tcPr>
          <w:p>
            <w:pPr>
              <w:spacing w:after="0"/>
              <w:rPr>
                <w:sz w:val="24"/>
                <w:szCs w:val="24"/>
                <w:color w:val="auto"/>
              </w:rPr>
            </w:pPr>
          </w:p>
        </w:tc>
        <w:tc>
          <w:tcPr>
            <w:tcW w:w="280" w:type="dxa"/>
            <w:vAlign w:val="bottom"/>
            <w:tcBorders>
              <w:top w:val="single" w:sz="8" w:color="1C2790"/>
            </w:tcBorders>
          </w:tcPr>
          <w:p>
            <w:pPr>
              <w:spacing w:after="0"/>
              <w:rPr>
                <w:sz w:val="24"/>
                <w:szCs w:val="24"/>
                <w:color w:val="auto"/>
              </w:rPr>
            </w:pPr>
          </w:p>
        </w:tc>
        <w:tc>
          <w:tcPr>
            <w:tcW w:w="600" w:type="dxa"/>
            <w:vAlign w:val="bottom"/>
            <w:tcBorders>
              <w:top w:val="single" w:sz="8" w:color="1C2790"/>
            </w:tcBorders>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1C2790"/>
            </w:tcBorders>
          </w:tcPr>
          <w:p>
            <w:pPr>
              <w:spacing w:after="0"/>
              <w:rPr>
                <w:sz w:val="24"/>
                <w:szCs w:val="24"/>
                <w:color w:val="auto"/>
              </w:rPr>
            </w:pPr>
          </w:p>
        </w:tc>
        <w:tc>
          <w:tcPr>
            <w:tcW w:w="60" w:type="dxa"/>
            <w:vAlign w:val="bottom"/>
            <w:tcBorders>
              <w:top w:val="single" w:sz="8" w:color="1C2790"/>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right w:val="single" w:sz="8" w:color="D2EEF5"/>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10.</w:t>
            </w:r>
          </w:p>
        </w:tc>
        <w:tc>
          <w:tcPr>
            <w:tcW w:w="7520" w:type="dxa"/>
            <w:vAlign w:val="bottom"/>
            <w:gridSpan w:val="25"/>
          </w:tcPr>
          <w:p>
            <w:pPr>
              <w:spacing w:after="0" w:line="204" w:lineRule="exact"/>
              <w:rPr>
                <w:sz w:val="20"/>
                <w:szCs w:val="20"/>
                <w:color w:val="auto"/>
              </w:rPr>
            </w:pPr>
            <w:r>
              <w:rPr>
                <w:rFonts w:ascii="Arial" w:cs="Arial" w:eastAsia="Arial" w:hAnsi="Arial"/>
                <w:sz w:val="20"/>
                <w:szCs w:val="20"/>
                <w:color w:val="1C2790"/>
              </w:rPr>
              <w:t>Directors, Executive Officers and Corporate Governance</w:t>
            </w:r>
          </w:p>
        </w:tc>
        <w:tc>
          <w:tcPr>
            <w:tcW w:w="680" w:type="dxa"/>
            <w:vAlign w:val="bottom"/>
            <w:gridSpan w:val="3"/>
          </w:tcPr>
          <w:p>
            <w:pPr>
              <w:jc w:val="center"/>
              <w:ind w:left="302"/>
              <w:spacing w:after="0" w:line="204" w:lineRule="exact"/>
              <w:rPr>
                <w:sz w:val="20"/>
                <w:szCs w:val="20"/>
                <w:color w:val="auto"/>
              </w:rPr>
            </w:pPr>
            <w:r>
              <w:rPr>
                <w:rFonts w:ascii="Arial" w:cs="Arial" w:eastAsia="Arial" w:hAnsi="Arial"/>
                <w:sz w:val="20"/>
                <w:szCs w:val="20"/>
                <w:color w:val="1C2790"/>
                <w:w w:val="83"/>
              </w:rPr>
              <w:t>119</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right w:val="single" w:sz="8" w:color="1C2790"/>
            </w:tcBorders>
            <w:gridSpan w:val="3"/>
            <w:shd w:val="clear" w:color="auto" w:fill="1C2790"/>
          </w:tcPr>
          <w:p>
            <w:pPr>
              <w:spacing w:after="0" w:line="20" w:lineRule="exact"/>
              <w:rPr>
                <w:sz w:val="1"/>
                <w:szCs w:val="1"/>
                <w:color w:val="auto"/>
              </w:rPr>
            </w:pPr>
          </w:p>
        </w:tc>
        <w:tc>
          <w:tcPr>
            <w:tcW w:w="160" w:type="dxa"/>
            <w:vAlign w:val="bottom"/>
            <w:tcBorders>
              <w:left w:val="single" w:sz="8" w:color="1C2790"/>
            </w:tcBorders>
            <w:shd w:val="clear" w:color="auto" w:fill="1C2790"/>
          </w:tcPr>
          <w:p>
            <w:pPr>
              <w:spacing w:after="0" w:line="20" w:lineRule="exact"/>
              <w:rPr>
                <w:sz w:val="1"/>
                <w:szCs w:val="1"/>
                <w:color w:val="auto"/>
              </w:rPr>
            </w:pPr>
          </w:p>
        </w:tc>
        <w:tc>
          <w:tcPr>
            <w:tcW w:w="740" w:type="dxa"/>
            <w:vAlign w:val="bottom"/>
            <w:gridSpan w:val="5"/>
            <w:shd w:val="clear" w:color="auto" w:fill="1C2790"/>
          </w:tcPr>
          <w:p>
            <w:pPr>
              <w:spacing w:after="0" w:line="20" w:lineRule="exact"/>
              <w:rPr>
                <w:sz w:val="1"/>
                <w:szCs w:val="1"/>
                <w:color w:val="auto"/>
              </w:rPr>
            </w:pPr>
          </w:p>
        </w:tc>
        <w:tc>
          <w:tcPr>
            <w:tcW w:w="280" w:type="dxa"/>
            <w:vAlign w:val="bottom"/>
            <w:gridSpan w:val="3"/>
            <w:shd w:val="clear" w:color="auto" w:fill="1C2790"/>
          </w:tcPr>
          <w:p>
            <w:pPr>
              <w:spacing w:after="0" w:line="20" w:lineRule="exact"/>
              <w:rPr>
                <w:sz w:val="1"/>
                <w:szCs w:val="1"/>
                <w:color w:val="auto"/>
              </w:rPr>
            </w:pPr>
          </w:p>
        </w:tc>
        <w:tc>
          <w:tcPr>
            <w:tcW w:w="1140" w:type="dxa"/>
            <w:vAlign w:val="bottom"/>
            <w:gridSpan w:val="2"/>
            <w:shd w:val="clear" w:color="auto" w:fill="1C2790"/>
          </w:tcPr>
          <w:p>
            <w:pPr>
              <w:spacing w:after="0" w:line="20" w:lineRule="exact"/>
              <w:rPr>
                <w:sz w:val="1"/>
                <w:szCs w:val="1"/>
                <w:color w:val="auto"/>
              </w:rPr>
            </w:pPr>
          </w:p>
        </w:tc>
        <w:tc>
          <w:tcPr>
            <w:tcW w:w="320" w:type="dxa"/>
            <w:vAlign w:val="bottom"/>
            <w:shd w:val="clear" w:color="auto" w:fill="1C2790"/>
          </w:tcPr>
          <w:p>
            <w:pPr>
              <w:spacing w:after="0" w:line="20" w:lineRule="exact"/>
              <w:rPr>
                <w:sz w:val="1"/>
                <w:szCs w:val="1"/>
                <w:color w:val="auto"/>
              </w:rPr>
            </w:pPr>
          </w:p>
        </w:tc>
        <w:tc>
          <w:tcPr>
            <w:tcW w:w="1020" w:type="dxa"/>
            <w:vAlign w:val="bottom"/>
            <w:gridSpan w:val="2"/>
            <w:shd w:val="clear" w:color="auto" w:fill="1C2790"/>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Borders>
              <w:right w:val="single" w:sz="8" w:color="1C2790"/>
            </w:tcBorders>
          </w:tcPr>
          <w:p>
            <w:pPr>
              <w:spacing w:after="0" w:line="20" w:lineRule="exact"/>
              <w:rPr>
                <w:sz w:val="1"/>
                <w:szCs w:val="1"/>
                <w:color w:val="auto"/>
              </w:rPr>
            </w:pPr>
          </w:p>
        </w:tc>
        <w:tc>
          <w:tcPr>
            <w:tcW w:w="140" w:type="dxa"/>
            <w:vAlign w:val="bottom"/>
            <w:gridSpan w:val="2"/>
            <w:shd w:val="clear" w:color="auto" w:fill="1C2790"/>
          </w:tcPr>
          <w:p>
            <w:pPr>
              <w:spacing w:after="0" w:line="20" w:lineRule="exact"/>
              <w:rPr>
                <w:sz w:val="1"/>
                <w:szCs w:val="1"/>
                <w:color w:val="auto"/>
              </w:rPr>
            </w:pPr>
          </w:p>
        </w:tc>
        <w:tc>
          <w:tcPr>
            <w:tcW w:w="500" w:type="dxa"/>
            <w:vAlign w:val="bottom"/>
            <w:tcBorders>
              <w:left w:val="single" w:sz="8" w:color="1C27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11.</w:t>
            </w:r>
          </w:p>
        </w:tc>
        <w:tc>
          <w:tcPr>
            <w:tcW w:w="1980" w:type="dxa"/>
            <w:vAlign w:val="bottom"/>
            <w:gridSpan w:val="12"/>
            <w:vMerge w:val="restart"/>
          </w:tcPr>
          <w:p>
            <w:pPr>
              <w:spacing w:after="0"/>
              <w:rPr>
                <w:sz w:val="20"/>
                <w:szCs w:val="20"/>
                <w:color w:val="auto"/>
              </w:rPr>
            </w:pPr>
            <w:r>
              <w:rPr>
                <w:rFonts w:ascii="Arial" w:cs="Arial" w:eastAsia="Arial" w:hAnsi="Arial"/>
                <w:sz w:val="20"/>
                <w:szCs w:val="20"/>
                <w:color w:val="1C2790"/>
                <w:w w:val="88"/>
              </w:rPr>
              <w:t>Executive Compensation</w:t>
            </w:r>
          </w:p>
        </w:tc>
        <w:tc>
          <w:tcPr>
            <w:tcW w:w="2480" w:type="dxa"/>
            <w:vAlign w:val="bottom"/>
            <w:gridSpan w:val="5"/>
            <w:vMerge w:val="restart"/>
          </w:tcPr>
          <w:p>
            <w:pPr>
              <w:spacing w:after="0"/>
              <w:rPr>
                <w:sz w:val="4"/>
                <w:szCs w:val="4"/>
                <w:color w:val="auto"/>
              </w:rPr>
            </w:pPr>
          </w:p>
        </w:tc>
        <w:tc>
          <w:tcPr>
            <w:tcW w:w="3060" w:type="dxa"/>
            <w:vAlign w:val="bottom"/>
            <w:gridSpan w:val="8"/>
            <w:vMerge w:val="restart"/>
          </w:tcPr>
          <w:p>
            <w:pPr>
              <w:spacing w:after="0"/>
              <w:rPr>
                <w:sz w:val="4"/>
                <w:szCs w:val="4"/>
                <w:color w:val="auto"/>
              </w:rPr>
            </w:pPr>
          </w:p>
        </w:tc>
        <w:tc>
          <w:tcPr>
            <w:tcW w:w="680" w:type="dxa"/>
            <w:vAlign w:val="bottom"/>
            <w:gridSpan w:val="3"/>
            <w:vMerge w:val="restart"/>
          </w:tcPr>
          <w:p>
            <w:pPr>
              <w:jc w:val="center"/>
              <w:ind w:left="302"/>
              <w:spacing w:after="0"/>
              <w:rPr>
                <w:sz w:val="20"/>
                <w:szCs w:val="20"/>
                <w:color w:val="auto"/>
              </w:rPr>
            </w:pPr>
            <w:r>
              <w:rPr>
                <w:rFonts w:ascii="Arial" w:cs="Arial" w:eastAsia="Arial" w:hAnsi="Arial"/>
                <w:sz w:val="20"/>
                <w:szCs w:val="20"/>
                <w:color w:val="1C2790"/>
                <w:w w:val="83"/>
              </w:rPr>
              <w:t>120</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980" w:type="dxa"/>
            <w:vAlign w:val="bottom"/>
            <w:gridSpan w:val="12"/>
            <w:vMerge w:val="continue"/>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3060" w:type="dxa"/>
            <w:vAlign w:val="bottom"/>
            <w:gridSpan w:val="8"/>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500" w:type="dxa"/>
            <w:vAlign w:val="bottom"/>
            <w:tcBorders>
              <w:right w:val="single" w:sz="8" w:color="D2EEF5"/>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right w:val="single" w:sz="8" w:color="1C2790"/>
            </w:tcBorders>
            <w:gridSpan w:val="3"/>
            <w:shd w:val="clear" w:color="auto" w:fill="1C2790"/>
          </w:tcPr>
          <w:p>
            <w:pPr>
              <w:spacing w:after="0"/>
              <w:rPr>
                <w:sz w:val="6"/>
                <w:szCs w:val="6"/>
                <w:color w:val="auto"/>
              </w:rPr>
            </w:pPr>
          </w:p>
        </w:tc>
        <w:tc>
          <w:tcPr>
            <w:tcW w:w="160" w:type="dxa"/>
            <w:vAlign w:val="bottom"/>
            <w:tcBorders>
              <w:left w:val="single" w:sz="8" w:color="1C2790"/>
            </w:tcBorders>
            <w:shd w:val="clear" w:color="auto" w:fill="1C2790"/>
          </w:tcPr>
          <w:p>
            <w:pPr>
              <w:spacing w:after="0"/>
              <w:rPr>
                <w:sz w:val="6"/>
                <w:szCs w:val="6"/>
                <w:color w:val="auto"/>
              </w:rPr>
            </w:pPr>
          </w:p>
        </w:tc>
        <w:tc>
          <w:tcPr>
            <w:tcW w:w="740" w:type="dxa"/>
            <w:vAlign w:val="bottom"/>
            <w:gridSpan w:val="5"/>
            <w:shd w:val="clear" w:color="auto" w:fill="1C2790"/>
          </w:tcPr>
          <w:p>
            <w:pPr>
              <w:spacing w:after="0"/>
              <w:rPr>
                <w:sz w:val="6"/>
                <w:szCs w:val="6"/>
                <w:color w:val="auto"/>
              </w:rPr>
            </w:pPr>
          </w:p>
        </w:tc>
        <w:tc>
          <w:tcPr>
            <w:tcW w:w="280" w:type="dxa"/>
            <w:vAlign w:val="bottom"/>
            <w:gridSpan w:val="3"/>
            <w:shd w:val="clear" w:color="auto" w:fill="1C2790"/>
          </w:tcPr>
          <w:p>
            <w:pPr>
              <w:spacing w:after="0"/>
              <w:rPr>
                <w:sz w:val="6"/>
                <w:szCs w:val="6"/>
                <w:color w:val="auto"/>
              </w:rPr>
            </w:pPr>
          </w:p>
        </w:tc>
        <w:tc>
          <w:tcPr>
            <w:tcW w:w="1140" w:type="dxa"/>
            <w:vAlign w:val="bottom"/>
            <w:gridSpan w:val="2"/>
          </w:tcPr>
          <w:p>
            <w:pPr>
              <w:spacing w:after="0"/>
              <w:rPr>
                <w:sz w:val="6"/>
                <w:szCs w:val="6"/>
                <w:color w:val="auto"/>
              </w:rPr>
            </w:pPr>
          </w:p>
        </w:tc>
        <w:tc>
          <w:tcPr>
            <w:tcW w:w="320" w:type="dxa"/>
            <w:vAlign w:val="bottom"/>
          </w:tcPr>
          <w:p>
            <w:pPr>
              <w:spacing w:after="0"/>
              <w:rPr>
                <w:sz w:val="6"/>
                <w:szCs w:val="6"/>
                <w:color w:val="auto"/>
              </w:rPr>
            </w:pPr>
          </w:p>
        </w:tc>
        <w:tc>
          <w:tcPr>
            <w:tcW w:w="2500" w:type="dxa"/>
            <w:vAlign w:val="bottom"/>
            <w:gridSpan w:val="5"/>
          </w:tcPr>
          <w:p>
            <w:pPr>
              <w:spacing w:after="0"/>
              <w:rPr>
                <w:sz w:val="6"/>
                <w:szCs w:val="6"/>
                <w:color w:val="auto"/>
              </w:rPr>
            </w:pPr>
          </w:p>
        </w:tc>
        <w:tc>
          <w:tcPr>
            <w:tcW w:w="1400" w:type="dxa"/>
            <w:vAlign w:val="bottom"/>
            <w:gridSpan w:val="3"/>
          </w:tcPr>
          <w:p>
            <w:pPr>
              <w:spacing w:after="0"/>
              <w:rPr>
                <w:sz w:val="6"/>
                <w:szCs w:val="6"/>
                <w:color w:val="auto"/>
              </w:rPr>
            </w:pPr>
          </w:p>
        </w:tc>
        <w:tc>
          <w:tcPr>
            <w:tcW w:w="180" w:type="dxa"/>
            <w:vAlign w:val="bottom"/>
            <w:gridSpan w:val="2"/>
          </w:tcPr>
          <w:p>
            <w:pPr>
              <w:spacing w:after="0"/>
              <w:rPr>
                <w:sz w:val="6"/>
                <w:szCs w:val="6"/>
                <w:color w:val="auto"/>
              </w:rPr>
            </w:pPr>
          </w:p>
        </w:tc>
        <w:tc>
          <w:tcPr>
            <w:tcW w:w="540" w:type="dxa"/>
            <w:vAlign w:val="bottom"/>
            <w:tcBorders>
              <w:right w:val="single" w:sz="8" w:color="1C2790"/>
            </w:tcBorders>
          </w:tcPr>
          <w:p>
            <w:pPr>
              <w:spacing w:after="0"/>
              <w:rPr>
                <w:sz w:val="6"/>
                <w:szCs w:val="6"/>
                <w:color w:val="auto"/>
              </w:rPr>
            </w:pPr>
          </w:p>
        </w:tc>
        <w:tc>
          <w:tcPr>
            <w:tcW w:w="140" w:type="dxa"/>
            <w:vAlign w:val="bottom"/>
            <w:gridSpan w:val="2"/>
            <w:shd w:val="clear" w:color="auto" w:fill="1C2790"/>
          </w:tcPr>
          <w:p>
            <w:pPr>
              <w:spacing w:after="0"/>
              <w:rPr>
                <w:sz w:val="6"/>
                <w:szCs w:val="6"/>
                <w:color w:val="auto"/>
              </w:rPr>
            </w:pPr>
          </w:p>
        </w:tc>
        <w:tc>
          <w:tcPr>
            <w:tcW w:w="500" w:type="dxa"/>
            <w:vAlign w:val="bottom"/>
            <w:tcBorders>
              <w:left w:val="single" w:sz="8" w:color="1C2790"/>
              <w:right w:val="single" w:sz="8" w:color="D2EEF5"/>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12.</w:t>
            </w:r>
          </w:p>
        </w:tc>
        <w:tc>
          <w:tcPr>
            <w:tcW w:w="7340" w:type="dxa"/>
            <w:vAlign w:val="bottom"/>
            <w:gridSpan w:val="23"/>
          </w:tcPr>
          <w:p>
            <w:pPr>
              <w:spacing w:after="0" w:line="204" w:lineRule="exact"/>
              <w:rPr>
                <w:sz w:val="20"/>
                <w:szCs w:val="20"/>
                <w:color w:val="auto"/>
              </w:rPr>
            </w:pPr>
            <w:r>
              <w:rPr>
                <w:rFonts w:ascii="Arial" w:cs="Arial" w:eastAsia="Arial" w:hAnsi="Arial"/>
                <w:sz w:val="20"/>
                <w:szCs w:val="20"/>
                <w:color w:val="1C2790"/>
                <w:w w:val="89"/>
              </w:rPr>
              <w:t>Security Ownership of Certain Beneficial Owners and Management and Related Stockholder</w:t>
            </w:r>
          </w:p>
        </w:tc>
        <w:tc>
          <w:tcPr>
            <w:tcW w:w="180" w:type="dxa"/>
            <w:vAlign w:val="bottom"/>
            <w:gridSpan w:val="2"/>
          </w:tcPr>
          <w:p>
            <w:pPr>
              <w:spacing w:after="0"/>
              <w:rPr>
                <w:sz w:val="17"/>
                <w:szCs w:val="17"/>
                <w:color w:val="auto"/>
              </w:rPr>
            </w:pPr>
          </w:p>
        </w:tc>
        <w:tc>
          <w:tcPr>
            <w:tcW w:w="680" w:type="dxa"/>
            <w:vAlign w:val="bottom"/>
            <w:gridSpan w:val="3"/>
          </w:tcPr>
          <w:p>
            <w:pPr>
              <w:jc w:val="center"/>
              <w:ind w:left="302"/>
              <w:spacing w:after="0" w:line="204" w:lineRule="exact"/>
              <w:rPr>
                <w:sz w:val="20"/>
                <w:szCs w:val="20"/>
                <w:color w:val="auto"/>
              </w:rPr>
            </w:pPr>
            <w:r>
              <w:rPr>
                <w:rFonts w:ascii="Arial" w:cs="Arial" w:eastAsia="Arial" w:hAnsi="Arial"/>
                <w:sz w:val="20"/>
                <w:szCs w:val="20"/>
                <w:color w:val="1C2790"/>
                <w:w w:val="83"/>
              </w:rPr>
              <w:t>120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Borders>
              <w:top w:val="single" w:sz="8" w:color="1C2790"/>
            </w:tcBorders>
          </w:tcPr>
          <w:p>
            <w:pPr>
              <w:spacing w:after="0"/>
              <w:rPr>
                <w:sz w:val="18"/>
                <w:szCs w:val="18"/>
                <w:color w:val="auto"/>
              </w:rPr>
            </w:pPr>
          </w:p>
        </w:tc>
        <w:tc>
          <w:tcPr>
            <w:tcW w:w="600" w:type="dxa"/>
            <w:vAlign w:val="bottom"/>
            <w:tcBorders>
              <w:top w:val="single" w:sz="8" w:color="1C2790"/>
              <w:bottom w:val="single" w:sz="8" w:color="1C2790"/>
            </w:tcBorders>
            <w:gridSpan w:val="3"/>
          </w:tcPr>
          <w:p>
            <w:pPr>
              <w:spacing w:after="0" w:line="215" w:lineRule="exact"/>
              <w:rPr>
                <w:sz w:val="20"/>
                <w:szCs w:val="20"/>
                <w:color w:val="auto"/>
              </w:rPr>
            </w:pPr>
            <w:r>
              <w:rPr>
                <w:rFonts w:ascii="Arial" w:cs="Arial" w:eastAsia="Arial" w:hAnsi="Arial"/>
                <w:sz w:val="20"/>
                <w:szCs w:val="20"/>
                <w:color w:val="1C2790"/>
                <w:w w:val="86"/>
              </w:rPr>
              <w:t>Matters</w:t>
            </w:r>
          </w:p>
        </w:tc>
        <w:tc>
          <w:tcPr>
            <w:tcW w:w="6380" w:type="dxa"/>
            <w:vAlign w:val="bottom"/>
            <w:tcBorders>
              <w:top w:val="single" w:sz="8" w:color="1C2790"/>
            </w:tcBorders>
            <w:gridSpan w:val="19"/>
          </w:tcPr>
          <w:p>
            <w:pPr>
              <w:spacing w:after="0"/>
              <w:rPr>
                <w:sz w:val="18"/>
                <w:szCs w:val="18"/>
                <w:color w:val="auto"/>
              </w:rPr>
            </w:pPr>
          </w:p>
        </w:tc>
        <w:tc>
          <w:tcPr>
            <w:tcW w:w="1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1C2790"/>
            </w:tcBorders>
          </w:tcPr>
          <w:p>
            <w:pPr>
              <w:spacing w:after="0"/>
              <w:rPr>
                <w:sz w:val="18"/>
                <w:szCs w:val="18"/>
                <w:color w:val="auto"/>
              </w:rPr>
            </w:pPr>
          </w:p>
        </w:tc>
        <w:tc>
          <w:tcPr>
            <w:tcW w:w="60" w:type="dxa"/>
            <w:vAlign w:val="bottom"/>
            <w:tcBorders>
              <w:top w:val="single" w:sz="8" w:color="1C2790"/>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13.</w:t>
            </w:r>
          </w:p>
        </w:tc>
        <w:tc>
          <w:tcPr>
            <w:tcW w:w="7520" w:type="dxa"/>
            <w:vAlign w:val="bottom"/>
            <w:gridSpan w:val="25"/>
            <w:vMerge w:val="restart"/>
          </w:tcPr>
          <w:p>
            <w:pPr>
              <w:spacing w:after="0"/>
              <w:rPr>
                <w:sz w:val="20"/>
                <w:szCs w:val="20"/>
                <w:color w:val="auto"/>
              </w:rPr>
            </w:pPr>
            <w:r>
              <w:rPr>
                <w:rFonts w:ascii="Arial" w:cs="Arial" w:eastAsia="Arial" w:hAnsi="Arial"/>
                <w:sz w:val="20"/>
                <w:szCs w:val="20"/>
                <w:color w:val="1C2790"/>
              </w:rPr>
              <w:t>Certain Relationships and Related Transactions, and Director Independence</w:t>
            </w:r>
          </w:p>
        </w:tc>
        <w:tc>
          <w:tcPr>
            <w:tcW w:w="680" w:type="dxa"/>
            <w:vAlign w:val="bottom"/>
            <w:gridSpan w:val="3"/>
            <w:vMerge w:val="restart"/>
          </w:tcPr>
          <w:p>
            <w:pPr>
              <w:jc w:val="center"/>
              <w:ind w:left="302"/>
              <w:spacing w:after="0"/>
              <w:rPr>
                <w:sz w:val="20"/>
                <w:szCs w:val="20"/>
                <w:color w:val="auto"/>
              </w:rPr>
            </w:pPr>
            <w:r>
              <w:rPr>
                <w:rFonts w:ascii="Arial" w:cs="Arial" w:eastAsia="Arial" w:hAnsi="Arial"/>
                <w:sz w:val="20"/>
                <w:szCs w:val="20"/>
                <w:color w:val="1C2790"/>
                <w:w w:val="83"/>
              </w:rPr>
              <w:t>120</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520" w:type="dxa"/>
            <w:vAlign w:val="bottom"/>
            <w:gridSpan w:val="25"/>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500" w:type="dxa"/>
            <w:vAlign w:val="bottom"/>
            <w:tcBorders>
              <w:right w:val="single" w:sz="8" w:color="D2EEF5"/>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right w:val="single" w:sz="8" w:color="1C2790"/>
            </w:tcBorders>
            <w:gridSpan w:val="3"/>
            <w:shd w:val="clear" w:color="auto" w:fill="1C2790"/>
          </w:tcPr>
          <w:p>
            <w:pPr>
              <w:spacing w:after="0"/>
              <w:rPr>
                <w:sz w:val="6"/>
                <w:szCs w:val="6"/>
                <w:color w:val="auto"/>
              </w:rPr>
            </w:pPr>
          </w:p>
        </w:tc>
        <w:tc>
          <w:tcPr>
            <w:tcW w:w="900" w:type="dxa"/>
            <w:vAlign w:val="bottom"/>
            <w:tcBorders>
              <w:left w:val="single" w:sz="8" w:color="1C2790"/>
            </w:tcBorders>
            <w:gridSpan w:val="6"/>
            <w:shd w:val="clear" w:color="auto" w:fill="1C2790"/>
          </w:tcPr>
          <w:p>
            <w:pPr>
              <w:spacing w:after="0"/>
              <w:rPr>
                <w:sz w:val="6"/>
                <w:szCs w:val="6"/>
                <w:color w:val="auto"/>
              </w:rPr>
            </w:pPr>
          </w:p>
        </w:tc>
        <w:tc>
          <w:tcPr>
            <w:tcW w:w="1420" w:type="dxa"/>
            <w:vAlign w:val="bottom"/>
            <w:gridSpan w:val="5"/>
            <w:shd w:val="clear" w:color="auto" w:fill="1C2790"/>
          </w:tcPr>
          <w:p>
            <w:pPr>
              <w:spacing w:after="0"/>
              <w:rPr>
                <w:sz w:val="6"/>
                <w:szCs w:val="6"/>
                <w:color w:val="auto"/>
              </w:rPr>
            </w:pPr>
          </w:p>
        </w:tc>
        <w:tc>
          <w:tcPr>
            <w:tcW w:w="320" w:type="dxa"/>
            <w:vAlign w:val="bottom"/>
            <w:shd w:val="clear" w:color="auto" w:fill="1C2790"/>
          </w:tcPr>
          <w:p>
            <w:pPr>
              <w:spacing w:after="0"/>
              <w:rPr>
                <w:sz w:val="6"/>
                <w:szCs w:val="6"/>
                <w:color w:val="auto"/>
              </w:rPr>
            </w:pPr>
          </w:p>
        </w:tc>
        <w:tc>
          <w:tcPr>
            <w:tcW w:w="2500" w:type="dxa"/>
            <w:vAlign w:val="bottom"/>
            <w:gridSpan w:val="5"/>
            <w:shd w:val="clear" w:color="auto" w:fill="1C2790"/>
          </w:tcPr>
          <w:p>
            <w:pPr>
              <w:spacing w:after="0"/>
              <w:rPr>
                <w:sz w:val="6"/>
                <w:szCs w:val="6"/>
                <w:color w:val="auto"/>
              </w:rPr>
            </w:pPr>
          </w:p>
        </w:tc>
        <w:tc>
          <w:tcPr>
            <w:tcW w:w="1580" w:type="dxa"/>
            <w:vAlign w:val="bottom"/>
            <w:gridSpan w:val="5"/>
          </w:tcPr>
          <w:p>
            <w:pPr>
              <w:spacing w:after="0"/>
              <w:rPr>
                <w:sz w:val="6"/>
                <w:szCs w:val="6"/>
                <w:color w:val="auto"/>
              </w:rPr>
            </w:pPr>
          </w:p>
        </w:tc>
        <w:tc>
          <w:tcPr>
            <w:tcW w:w="540" w:type="dxa"/>
            <w:vAlign w:val="bottom"/>
            <w:tcBorders>
              <w:right w:val="single" w:sz="8" w:color="1C2790"/>
            </w:tcBorders>
          </w:tcPr>
          <w:p>
            <w:pPr>
              <w:spacing w:after="0"/>
              <w:rPr>
                <w:sz w:val="6"/>
                <w:szCs w:val="6"/>
                <w:color w:val="auto"/>
              </w:rPr>
            </w:pPr>
          </w:p>
        </w:tc>
        <w:tc>
          <w:tcPr>
            <w:tcW w:w="140" w:type="dxa"/>
            <w:vAlign w:val="bottom"/>
            <w:gridSpan w:val="2"/>
            <w:shd w:val="clear" w:color="auto" w:fill="1C2790"/>
          </w:tcPr>
          <w:p>
            <w:pPr>
              <w:spacing w:after="0"/>
              <w:rPr>
                <w:sz w:val="6"/>
                <w:szCs w:val="6"/>
                <w:color w:val="auto"/>
              </w:rPr>
            </w:pPr>
          </w:p>
        </w:tc>
        <w:tc>
          <w:tcPr>
            <w:tcW w:w="500" w:type="dxa"/>
            <w:vAlign w:val="bottom"/>
            <w:tcBorders>
              <w:left w:val="single" w:sz="8" w:color="1C2790"/>
              <w:right w:val="single" w:sz="8" w:color="D2EEF5"/>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14.</w:t>
            </w:r>
          </w:p>
        </w:tc>
        <w:tc>
          <w:tcPr>
            <w:tcW w:w="5940" w:type="dxa"/>
            <w:vAlign w:val="bottom"/>
            <w:gridSpan w:val="20"/>
          </w:tcPr>
          <w:p>
            <w:pPr>
              <w:spacing w:after="0" w:line="204" w:lineRule="exact"/>
              <w:rPr>
                <w:sz w:val="20"/>
                <w:szCs w:val="20"/>
                <w:color w:val="auto"/>
              </w:rPr>
            </w:pPr>
            <w:r>
              <w:rPr>
                <w:rFonts w:ascii="Arial" w:cs="Arial" w:eastAsia="Arial" w:hAnsi="Arial"/>
                <w:sz w:val="20"/>
                <w:szCs w:val="20"/>
                <w:color w:val="1C2790"/>
              </w:rPr>
              <w:t>Principal Accountant Fees and Services</w:t>
            </w:r>
          </w:p>
        </w:tc>
        <w:tc>
          <w:tcPr>
            <w:tcW w:w="1580" w:type="dxa"/>
            <w:vAlign w:val="bottom"/>
            <w:gridSpan w:val="5"/>
          </w:tcPr>
          <w:p>
            <w:pPr>
              <w:spacing w:after="0"/>
              <w:rPr>
                <w:sz w:val="17"/>
                <w:szCs w:val="17"/>
                <w:color w:val="auto"/>
              </w:rPr>
            </w:pPr>
          </w:p>
        </w:tc>
        <w:tc>
          <w:tcPr>
            <w:tcW w:w="680" w:type="dxa"/>
            <w:vAlign w:val="bottom"/>
            <w:gridSpan w:val="3"/>
          </w:tcPr>
          <w:p>
            <w:pPr>
              <w:jc w:val="center"/>
              <w:ind w:left="302"/>
              <w:spacing w:after="0" w:line="204" w:lineRule="exact"/>
              <w:rPr>
                <w:sz w:val="20"/>
                <w:szCs w:val="20"/>
                <w:color w:val="auto"/>
              </w:rPr>
            </w:pPr>
            <w:r>
              <w:rPr>
                <w:rFonts w:ascii="Arial" w:cs="Arial" w:eastAsia="Arial" w:hAnsi="Arial"/>
                <w:sz w:val="20"/>
                <w:szCs w:val="20"/>
                <w:color w:val="1C2790"/>
                <w:w w:val="83"/>
              </w:rPr>
              <w:t>120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84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98"/>
              </w:rPr>
              <w:t>PART IV</w:t>
            </w:r>
          </w:p>
        </w:tc>
        <w:tc>
          <w:tcPr>
            <w:tcW w:w="480" w:type="dxa"/>
            <w:vAlign w:val="bottom"/>
          </w:tcPr>
          <w:p>
            <w:pPr>
              <w:spacing w:after="0"/>
              <w:rPr>
                <w:sz w:val="4"/>
                <w:szCs w:val="4"/>
                <w:color w:val="auto"/>
              </w:rPr>
            </w:pPr>
          </w:p>
        </w:tc>
        <w:tc>
          <w:tcPr>
            <w:tcW w:w="36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16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100" w:type="dxa"/>
            <w:vAlign w:val="bottom"/>
            <w:tcBorders>
              <w:top w:val="single" w:sz="8" w:color="1C2790"/>
            </w:tcBorders>
          </w:tcPr>
          <w:p>
            <w:pPr>
              <w:spacing w:after="0"/>
              <w:rPr>
                <w:sz w:val="4"/>
                <w:szCs w:val="4"/>
                <w:color w:val="auto"/>
              </w:rPr>
            </w:pPr>
          </w:p>
        </w:tc>
        <w:tc>
          <w:tcPr>
            <w:tcW w:w="3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40" w:type="dxa"/>
            <w:vAlign w:val="bottom"/>
            <w:tcBorders>
              <w:top w:val="single" w:sz="8" w:color="1C2790"/>
            </w:tcBorders>
          </w:tcPr>
          <w:p>
            <w:pPr>
              <w:spacing w:after="0"/>
              <w:rPr>
                <w:sz w:val="4"/>
                <w:szCs w:val="4"/>
                <w:color w:val="auto"/>
              </w:rPr>
            </w:pPr>
          </w:p>
        </w:tc>
        <w:tc>
          <w:tcPr>
            <w:tcW w:w="20" w:type="dxa"/>
            <w:vAlign w:val="bottom"/>
            <w:tcBorders>
              <w:top w:val="single" w:sz="8" w:color="1C2790"/>
            </w:tcBorders>
          </w:tcPr>
          <w:p>
            <w:pPr>
              <w:spacing w:after="0"/>
              <w:rPr>
                <w:sz w:val="4"/>
                <w:szCs w:val="4"/>
                <w:color w:val="auto"/>
              </w:rPr>
            </w:pPr>
          </w:p>
        </w:tc>
        <w:tc>
          <w:tcPr>
            <w:tcW w:w="220" w:type="dxa"/>
            <w:vAlign w:val="bottom"/>
            <w:tcBorders>
              <w:top w:val="single" w:sz="8" w:color="1C2790"/>
            </w:tcBorders>
          </w:tcPr>
          <w:p>
            <w:pPr>
              <w:spacing w:after="0"/>
              <w:rPr>
                <w:sz w:val="4"/>
                <w:szCs w:val="4"/>
                <w:color w:val="auto"/>
              </w:rPr>
            </w:pPr>
          </w:p>
        </w:tc>
        <w:tc>
          <w:tcPr>
            <w:tcW w:w="40" w:type="dxa"/>
            <w:vAlign w:val="bottom"/>
            <w:tcBorders>
              <w:top w:val="single" w:sz="8" w:color="1C2790"/>
            </w:tcBorders>
          </w:tcPr>
          <w:p>
            <w:pPr>
              <w:spacing w:after="0"/>
              <w:rPr>
                <w:sz w:val="4"/>
                <w:szCs w:val="4"/>
                <w:color w:val="auto"/>
              </w:rPr>
            </w:pPr>
          </w:p>
        </w:tc>
        <w:tc>
          <w:tcPr>
            <w:tcW w:w="260" w:type="dxa"/>
            <w:vAlign w:val="bottom"/>
            <w:tcBorders>
              <w:top w:val="single" w:sz="8" w:color="1C2790"/>
            </w:tcBorders>
          </w:tcPr>
          <w:p>
            <w:pPr>
              <w:spacing w:after="0"/>
              <w:rPr>
                <w:sz w:val="4"/>
                <w:szCs w:val="4"/>
                <w:color w:val="auto"/>
              </w:rPr>
            </w:pPr>
          </w:p>
        </w:tc>
        <w:tc>
          <w:tcPr>
            <w:tcW w:w="880" w:type="dxa"/>
            <w:vAlign w:val="bottom"/>
            <w:tcBorders>
              <w:top w:val="single" w:sz="8" w:color="1C2790"/>
            </w:tcBorders>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top w:val="single" w:sz="8" w:color="1C2790"/>
            </w:tcBorders>
          </w:tcPr>
          <w:p>
            <w:pPr>
              <w:spacing w:after="0"/>
              <w:rPr>
                <w:sz w:val="4"/>
                <w:szCs w:val="4"/>
                <w:color w:val="auto"/>
              </w:rPr>
            </w:pPr>
          </w:p>
        </w:tc>
        <w:tc>
          <w:tcPr>
            <w:tcW w:w="60" w:type="dxa"/>
            <w:vAlign w:val="bottom"/>
            <w:tcBorders>
              <w:top w:val="single" w:sz="8" w:color="1C2790"/>
            </w:tcBorders>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8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right w:val="single" w:sz="8" w:color="D2EEF5"/>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4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Item</w:t>
            </w:r>
          </w:p>
        </w:tc>
        <w:tc>
          <w:tcPr>
            <w:tcW w:w="480" w:type="dxa"/>
            <w:vAlign w:val="bottom"/>
            <w:vMerge w:val="restart"/>
          </w:tcPr>
          <w:p>
            <w:pPr>
              <w:ind w:left="20"/>
              <w:spacing w:after="0"/>
              <w:rPr>
                <w:sz w:val="20"/>
                <w:szCs w:val="20"/>
                <w:color w:val="auto"/>
              </w:rPr>
            </w:pPr>
            <w:r>
              <w:rPr>
                <w:rFonts w:ascii="Arial" w:cs="Arial" w:eastAsia="Arial" w:hAnsi="Arial"/>
                <w:sz w:val="20"/>
                <w:szCs w:val="20"/>
                <w:color w:val="auto"/>
              </w:rPr>
              <w:t>15.</w:t>
            </w:r>
          </w:p>
        </w:tc>
        <w:tc>
          <w:tcPr>
            <w:tcW w:w="7520" w:type="dxa"/>
            <w:vAlign w:val="bottom"/>
            <w:gridSpan w:val="25"/>
            <w:vMerge w:val="restart"/>
          </w:tcPr>
          <w:p>
            <w:pPr>
              <w:spacing w:after="0"/>
              <w:rPr>
                <w:sz w:val="20"/>
                <w:szCs w:val="20"/>
                <w:color w:val="auto"/>
              </w:rPr>
            </w:pPr>
            <w:r>
              <w:rPr>
                <w:rFonts w:ascii="Arial" w:cs="Arial" w:eastAsia="Arial" w:hAnsi="Arial"/>
                <w:sz w:val="20"/>
                <w:szCs w:val="20"/>
                <w:color w:val="1C2790"/>
              </w:rPr>
              <w:t>Exhibits and Financial Statement Schedules</w:t>
            </w:r>
          </w:p>
        </w:tc>
        <w:tc>
          <w:tcPr>
            <w:tcW w:w="680" w:type="dxa"/>
            <w:vAlign w:val="bottom"/>
            <w:gridSpan w:val="3"/>
            <w:vMerge w:val="restart"/>
          </w:tcPr>
          <w:p>
            <w:pPr>
              <w:jc w:val="center"/>
              <w:ind w:left="302"/>
              <w:spacing w:after="0"/>
              <w:rPr>
                <w:sz w:val="20"/>
                <w:szCs w:val="20"/>
                <w:color w:val="auto"/>
              </w:rPr>
            </w:pPr>
            <w:r>
              <w:rPr>
                <w:rFonts w:ascii="Arial" w:cs="Arial" w:eastAsia="Arial" w:hAnsi="Arial"/>
                <w:sz w:val="20"/>
                <w:szCs w:val="20"/>
                <w:color w:val="1C2790"/>
                <w:w w:val="83"/>
              </w:rPr>
              <w:t>121</w:t>
            </w: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520" w:type="dxa"/>
            <w:vAlign w:val="bottom"/>
            <w:gridSpan w:val="25"/>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500" w:type="dxa"/>
            <w:vAlign w:val="bottom"/>
            <w:tcBorders>
              <w:right w:val="single" w:sz="8" w:color="D2EEF5"/>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right w:val="single" w:sz="8" w:color="1C2790"/>
            </w:tcBorders>
            <w:gridSpan w:val="3"/>
            <w:shd w:val="clear" w:color="auto" w:fill="1C2790"/>
          </w:tcPr>
          <w:p>
            <w:pPr>
              <w:spacing w:after="0"/>
              <w:rPr>
                <w:sz w:val="6"/>
                <w:szCs w:val="6"/>
                <w:color w:val="auto"/>
              </w:rPr>
            </w:pPr>
          </w:p>
        </w:tc>
        <w:tc>
          <w:tcPr>
            <w:tcW w:w="900" w:type="dxa"/>
            <w:vAlign w:val="bottom"/>
            <w:tcBorders>
              <w:left w:val="single" w:sz="8" w:color="1C2790"/>
            </w:tcBorders>
            <w:gridSpan w:val="6"/>
            <w:shd w:val="clear" w:color="auto" w:fill="1C2790"/>
          </w:tcPr>
          <w:p>
            <w:pPr>
              <w:spacing w:after="0"/>
              <w:rPr>
                <w:sz w:val="6"/>
                <w:szCs w:val="6"/>
                <w:color w:val="auto"/>
              </w:rPr>
            </w:pPr>
          </w:p>
        </w:tc>
        <w:tc>
          <w:tcPr>
            <w:tcW w:w="1740" w:type="dxa"/>
            <w:vAlign w:val="bottom"/>
            <w:gridSpan w:val="6"/>
            <w:shd w:val="clear" w:color="auto" w:fill="1C2790"/>
          </w:tcPr>
          <w:p>
            <w:pPr>
              <w:spacing w:after="0"/>
              <w:rPr>
                <w:sz w:val="6"/>
                <w:szCs w:val="6"/>
                <w:color w:val="auto"/>
              </w:rPr>
            </w:pPr>
          </w:p>
        </w:tc>
        <w:tc>
          <w:tcPr>
            <w:tcW w:w="4080" w:type="dxa"/>
            <w:vAlign w:val="bottom"/>
            <w:gridSpan w:val="10"/>
          </w:tcPr>
          <w:p>
            <w:pPr>
              <w:spacing w:after="0"/>
              <w:rPr>
                <w:sz w:val="6"/>
                <w:szCs w:val="6"/>
                <w:color w:val="auto"/>
              </w:rPr>
            </w:pPr>
          </w:p>
        </w:tc>
        <w:tc>
          <w:tcPr>
            <w:tcW w:w="540" w:type="dxa"/>
            <w:vAlign w:val="bottom"/>
            <w:tcBorders>
              <w:right w:val="single" w:sz="8" w:color="1C2790"/>
            </w:tcBorders>
          </w:tcPr>
          <w:p>
            <w:pPr>
              <w:spacing w:after="0"/>
              <w:rPr>
                <w:sz w:val="6"/>
                <w:szCs w:val="6"/>
                <w:color w:val="auto"/>
              </w:rPr>
            </w:pPr>
          </w:p>
        </w:tc>
        <w:tc>
          <w:tcPr>
            <w:tcW w:w="140" w:type="dxa"/>
            <w:vAlign w:val="bottom"/>
            <w:gridSpan w:val="2"/>
            <w:shd w:val="clear" w:color="auto" w:fill="1C2790"/>
          </w:tcPr>
          <w:p>
            <w:pPr>
              <w:spacing w:after="0"/>
              <w:rPr>
                <w:sz w:val="6"/>
                <w:szCs w:val="6"/>
                <w:color w:val="auto"/>
              </w:rPr>
            </w:pPr>
          </w:p>
        </w:tc>
        <w:tc>
          <w:tcPr>
            <w:tcW w:w="500" w:type="dxa"/>
            <w:vAlign w:val="bottom"/>
            <w:tcBorders>
              <w:left w:val="single" w:sz="8" w:color="1C2790"/>
              <w:right w:val="single" w:sz="8" w:color="D2EEF5"/>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40" w:type="dxa"/>
            <w:vAlign w:val="bottom"/>
          </w:tcPr>
          <w:p>
            <w:pPr>
              <w:jc w:val="right"/>
              <w:spacing w:after="0" w:line="204" w:lineRule="exact"/>
              <w:rPr>
                <w:sz w:val="20"/>
                <w:szCs w:val="20"/>
                <w:color w:val="auto"/>
              </w:rPr>
            </w:pPr>
            <w:r>
              <w:rPr>
                <w:rFonts w:ascii="Arial" w:cs="Arial" w:eastAsia="Arial" w:hAnsi="Arial"/>
                <w:sz w:val="20"/>
                <w:szCs w:val="20"/>
                <w:color w:val="auto"/>
              </w:rPr>
              <w:t>Item</w:t>
            </w:r>
          </w:p>
        </w:tc>
        <w:tc>
          <w:tcPr>
            <w:tcW w:w="480" w:type="dxa"/>
            <w:vAlign w:val="bottom"/>
          </w:tcPr>
          <w:p>
            <w:pPr>
              <w:ind w:left="20"/>
              <w:spacing w:after="0" w:line="204" w:lineRule="exact"/>
              <w:rPr>
                <w:sz w:val="20"/>
                <w:szCs w:val="20"/>
                <w:color w:val="auto"/>
              </w:rPr>
            </w:pPr>
            <w:r>
              <w:rPr>
                <w:rFonts w:ascii="Arial" w:cs="Arial" w:eastAsia="Arial" w:hAnsi="Arial"/>
                <w:sz w:val="20"/>
                <w:szCs w:val="20"/>
                <w:color w:val="auto"/>
              </w:rPr>
              <w:t>16.</w:t>
            </w:r>
          </w:p>
        </w:tc>
        <w:tc>
          <w:tcPr>
            <w:tcW w:w="1700" w:type="dxa"/>
            <w:vAlign w:val="bottom"/>
            <w:gridSpan w:val="9"/>
          </w:tcPr>
          <w:p>
            <w:pPr>
              <w:spacing w:after="0" w:line="204" w:lineRule="exact"/>
              <w:rPr>
                <w:sz w:val="20"/>
                <w:szCs w:val="20"/>
                <w:color w:val="auto"/>
              </w:rPr>
            </w:pPr>
            <w:r>
              <w:rPr>
                <w:rFonts w:ascii="Arial" w:cs="Arial" w:eastAsia="Arial" w:hAnsi="Arial"/>
                <w:sz w:val="20"/>
                <w:szCs w:val="20"/>
                <w:color w:val="1C2790"/>
                <w:w w:val="90"/>
              </w:rPr>
              <w:t>Form 10-K Summary</w:t>
            </w:r>
          </w:p>
        </w:tc>
        <w:tc>
          <w:tcPr>
            <w:tcW w:w="1740" w:type="dxa"/>
            <w:vAlign w:val="bottom"/>
            <w:gridSpan w:val="6"/>
          </w:tcPr>
          <w:p>
            <w:pPr>
              <w:spacing w:after="0"/>
              <w:rPr>
                <w:sz w:val="17"/>
                <w:szCs w:val="17"/>
                <w:color w:val="auto"/>
              </w:rPr>
            </w:pPr>
          </w:p>
        </w:tc>
        <w:tc>
          <w:tcPr>
            <w:tcW w:w="4080" w:type="dxa"/>
            <w:vAlign w:val="bottom"/>
            <w:gridSpan w:val="10"/>
          </w:tcPr>
          <w:p>
            <w:pPr>
              <w:spacing w:after="0"/>
              <w:rPr>
                <w:sz w:val="17"/>
                <w:szCs w:val="17"/>
                <w:color w:val="auto"/>
              </w:rPr>
            </w:pPr>
          </w:p>
        </w:tc>
        <w:tc>
          <w:tcPr>
            <w:tcW w:w="680" w:type="dxa"/>
            <w:vAlign w:val="bottom"/>
            <w:gridSpan w:val="3"/>
          </w:tcPr>
          <w:p>
            <w:pPr>
              <w:jc w:val="center"/>
              <w:ind w:left="302"/>
              <w:spacing w:after="0" w:line="204" w:lineRule="exact"/>
              <w:rPr>
                <w:sz w:val="20"/>
                <w:szCs w:val="20"/>
                <w:color w:val="auto"/>
              </w:rPr>
            </w:pPr>
            <w:r>
              <w:rPr>
                <w:rFonts w:ascii="Arial" w:cs="Arial" w:eastAsia="Arial" w:hAnsi="Arial"/>
                <w:sz w:val="20"/>
                <w:szCs w:val="20"/>
                <w:color w:val="1C2790"/>
                <w:w w:val="83"/>
              </w:rPr>
              <w:t>127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right w:val="single" w:sz="8" w:color="1C2790"/>
            </w:tcBorders>
            <w:gridSpan w:val="3"/>
            <w:shd w:val="clear" w:color="auto" w:fill="1C2790"/>
          </w:tcPr>
          <w:p>
            <w:pPr>
              <w:spacing w:after="0" w:line="20" w:lineRule="exact"/>
              <w:rPr>
                <w:sz w:val="1"/>
                <w:szCs w:val="1"/>
                <w:color w:val="auto"/>
              </w:rPr>
            </w:pPr>
          </w:p>
        </w:tc>
        <w:tc>
          <w:tcPr>
            <w:tcW w:w="900" w:type="dxa"/>
            <w:vAlign w:val="bottom"/>
            <w:tcBorders>
              <w:left w:val="single" w:sz="8" w:color="1C2790"/>
            </w:tcBorders>
            <w:gridSpan w:val="6"/>
            <w:shd w:val="clear" w:color="auto" w:fill="1C2790"/>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540" w:type="dxa"/>
            <w:vAlign w:val="bottom"/>
            <w:tcBorders>
              <w:right w:val="single" w:sz="8" w:color="1C2790"/>
            </w:tcBorders>
          </w:tcPr>
          <w:p>
            <w:pPr>
              <w:spacing w:after="0" w:line="20" w:lineRule="exact"/>
              <w:rPr>
                <w:sz w:val="1"/>
                <w:szCs w:val="1"/>
                <w:color w:val="auto"/>
              </w:rPr>
            </w:pPr>
          </w:p>
        </w:tc>
        <w:tc>
          <w:tcPr>
            <w:tcW w:w="140" w:type="dxa"/>
            <w:vAlign w:val="bottom"/>
            <w:gridSpan w:val="2"/>
            <w:shd w:val="clear" w:color="auto" w:fill="1C2790"/>
          </w:tcPr>
          <w:p>
            <w:pPr>
              <w:spacing w:after="0" w:line="20" w:lineRule="exact"/>
              <w:rPr>
                <w:sz w:val="1"/>
                <w:szCs w:val="1"/>
                <w:color w:val="auto"/>
              </w:rPr>
            </w:pPr>
          </w:p>
        </w:tc>
        <w:tc>
          <w:tcPr>
            <w:tcW w:w="500" w:type="dxa"/>
            <w:vAlign w:val="bottom"/>
            <w:tcBorders>
              <w:left w:val="single" w:sz="8" w:color="1C27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3"/>
            <w:vMerge w:val="restart"/>
          </w:tcPr>
          <w:p>
            <w:pPr>
              <w:spacing w:after="0"/>
              <w:rPr>
                <w:sz w:val="20"/>
                <w:szCs w:val="20"/>
                <w:color w:val="auto"/>
              </w:rPr>
            </w:pPr>
            <w:r>
              <w:rPr>
                <w:rFonts w:ascii="Arial" w:cs="Arial" w:eastAsia="Arial" w:hAnsi="Arial"/>
                <w:sz w:val="20"/>
                <w:szCs w:val="20"/>
                <w:color w:val="1C2790"/>
                <w:w w:val="79"/>
              </w:rPr>
              <w:t>Signatures</w:t>
            </w:r>
          </w:p>
        </w:tc>
        <w:tc>
          <w:tcPr>
            <w:tcW w:w="900" w:type="dxa"/>
            <w:vAlign w:val="bottom"/>
            <w:gridSpan w:val="6"/>
            <w:vMerge w:val="restart"/>
          </w:tcPr>
          <w:p>
            <w:pPr>
              <w:spacing w:after="0"/>
              <w:rPr>
                <w:sz w:val="4"/>
                <w:szCs w:val="4"/>
                <w:color w:val="auto"/>
              </w:rPr>
            </w:pPr>
          </w:p>
        </w:tc>
        <w:tc>
          <w:tcPr>
            <w:tcW w:w="5820" w:type="dxa"/>
            <w:vAlign w:val="bottom"/>
            <w:gridSpan w:val="16"/>
            <w:vMerge w:val="restart"/>
          </w:tcPr>
          <w:p>
            <w:pPr>
              <w:spacing w:after="0"/>
              <w:rPr>
                <w:sz w:val="4"/>
                <w:szCs w:val="4"/>
                <w:color w:val="auto"/>
              </w:rPr>
            </w:pPr>
          </w:p>
        </w:tc>
        <w:tc>
          <w:tcPr>
            <w:tcW w:w="680" w:type="dxa"/>
            <w:vAlign w:val="bottom"/>
            <w:gridSpan w:val="3"/>
            <w:vMerge w:val="restart"/>
          </w:tcPr>
          <w:p>
            <w:pPr>
              <w:jc w:val="center"/>
              <w:ind w:left="302"/>
              <w:spacing w:after="0"/>
              <w:rPr>
                <w:sz w:val="20"/>
                <w:szCs w:val="20"/>
                <w:color w:val="auto"/>
              </w:rPr>
            </w:pPr>
            <w:r>
              <w:rPr>
                <w:rFonts w:ascii="Arial" w:cs="Arial" w:eastAsia="Arial" w:hAnsi="Arial"/>
                <w:sz w:val="20"/>
                <w:szCs w:val="20"/>
                <w:color w:val="1C2790"/>
                <w:w w:val="83"/>
              </w:rPr>
              <w:t>128</w:t>
            </w: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gridSpan w:val="3"/>
            <w:vMerge w:val="continue"/>
          </w:tcPr>
          <w:p>
            <w:pPr>
              <w:spacing w:after="0"/>
              <w:rPr>
                <w:sz w:val="24"/>
                <w:szCs w:val="24"/>
                <w:color w:val="auto"/>
              </w:rPr>
            </w:pPr>
          </w:p>
        </w:tc>
        <w:tc>
          <w:tcPr>
            <w:tcW w:w="900" w:type="dxa"/>
            <w:vAlign w:val="bottom"/>
            <w:gridSpan w:val="6"/>
            <w:vMerge w:val="continue"/>
          </w:tcPr>
          <w:p>
            <w:pPr>
              <w:spacing w:after="0"/>
              <w:rPr>
                <w:sz w:val="24"/>
                <w:szCs w:val="24"/>
                <w:color w:val="auto"/>
              </w:rPr>
            </w:pPr>
          </w:p>
        </w:tc>
        <w:tc>
          <w:tcPr>
            <w:tcW w:w="5820" w:type="dxa"/>
            <w:vAlign w:val="bottom"/>
            <w:gridSpan w:val="16"/>
            <w:vMerge w:val="continue"/>
          </w:tcPr>
          <w:p>
            <w:pPr>
              <w:spacing w:after="0"/>
              <w:rPr>
                <w:sz w:val="24"/>
                <w:szCs w:val="24"/>
                <w:color w:val="auto"/>
              </w:rPr>
            </w:pPr>
          </w:p>
        </w:tc>
        <w:tc>
          <w:tcPr>
            <w:tcW w:w="680" w:type="dxa"/>
            <w:vAlign w:val="bottom"/>
            <w:gridSpan w:val="3"/>
            <w:vMerge w:val="continue"/>
          </w:tcPr>
          <w:p>
            <w:pPr>
              <w:spacing w:after="0"/>
              <w:rPr>
                <w:sz w:val="24"/>
                <w:szCs w:val="24"/>
                <w:color w:val="auto"/>
              </w:rPr>
            </w:pPr>
          </w:p>
        </w:tc>
        <w:tc>
          <w:tcPr>
            <w:tcW w:w="500" w:type="dxa"/>
            <w:vAlign w:val="bottom"/>
            <w:tcBorders>
              <w:right w:val="single" w:sz="8" w:color="D2EEF5"/>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900" w:type="dxa"/>
            <w:vAlign w:val="bottom"/>
            <w:gridSpan w:val="6"/>
            <w:vMerge w:val="continue"/>
          </w:tcPr>
          <w:p>
            <w:pPr>
              <w:spacing w:after="0"/>
              <w:rPr>
                <w:sz w:val="17"/>
                <w:szCs w:val="17"/>
                <w:color w:val="auto"/>
              </w:rPr>
            </w:pPr>
          </w:p>
        </w:tc>
        <w:tc>
          <w:tcPr>
            <w:tcW w:w="5820" w:type="dxa"/>
            <w:vAlign w:val="bottom"/>
            <w:gridSpan w:val="16"/>
            <w:vMerge w:val="continue"/>
          </w:tcPr>
          <w:p>
            <w:pPr>
              <w:spacing w:after="0"/>
              <w:rPr>
                <w:sz w:val="17"/>
                <w:szCs w:val="17"/>
                <w:color w:val="auto"/>
              </w:rPr>
            </w:pPr>
          </w:p>
        </w:tc>
        <w:tc>
          <w:tcPr>
            <w:tcW w:w="680" w:type="dxa"/>
            <w:vAlign w:val="bottom"/>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1C2790"/>
          </w:tcPr>
          <w:p>
            <w:pPr>
              <w:spacing w:after="0" w:line="20" w:lineRule="exact"/>
              <w:rPr>
                <w:sz w:val="1"/>
                <w:szCs w:val="1"/>
                <w:color w:val="auto"/>
              </w:rPr>
            </w:pPr>
          </w:p>
        </w:tc>
        <w:tc>
          <w:tcPr>
            <w:tcW w:w="340" w:type="dxa"/>
            <w:vAlign w:val="bottom"/>
            <w:shd w:val="clear" w:color="auto" w:fill="1C2790"/>
          </w:tcPr>
          <w:p>
            <w:pPr>
              <w:spacing w:after="0" w:line="20" w:lineRule="exact"/>
              <w:rPr>
                <w:sz w:val="1"/>
                <w:szCs w:val="1"/>
                <w:color w:val="auto"/>
              </w:rPr>
            </w:pPr>
          </w:p>
        </w:tc>
        <w:tc>
          <w:tcPr>
            <w:tcW w:w="100" w:type="dxa"/>
            <w:vAlign w:val="bottom"/>
            <w:tcBorders>
              <w:right w:val="single" w:sz="8" w:color="1C2790"/>
            </w:tcBorders>
            <w:shd w:val="clear" w:color="auto" w:fill="1C2790"/>
          </w:tcPr>
          <w:p>
            <w:pPr>
              <w:spacing w:after="0" w:line="20" w:lineRule="exact"/>
              <w:rPr>
                <w:sz w:val="1"/>
                <w:szCs w:val="1"/>
                <w:color w:val="auto"/>
              </w:rPr>
            </w:pPr>
          </w:p>
        </w:tc>
        <w:tc>
          <w:tcPr>
            <w:tcW w:w="160" w:type="dxa"/>
            <w:vAlign w:val="bottom"/>
            <w:tcBorders>
              <w:left w:val="single" w:sz="8" w:color="1C279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1C2790"/>
            </w:tcBorders>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60" w:type="dxa"/>
            <w:vAlign w:val="bottom"/>
            <w:shd w:val="clear" w:color="auto" w:fill="1C2790"/>
          </w:tcPr>
          <w:p>
            <w:pPr>
              <w:spacing w:after="0" w:line="20" w:lineRule="exact"/>
              <w:rPr>
                <w:sz w:val="1"/>
                <w:szCs w:val="1"/>
                <w:color w:val="auto"/>
              </w:rPr>
            </w:pPr>
          </w:p>
        </w:tc>
        <w:tc>
          <w:tcPr>
            <w:tcW w:w="500" w:type="dxa"/>
            <w:vAlign w:val="bottom"/>
            <w:tcBorders>
              <w:left w:val="single" w:sz="8" w:color="1C279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-5944235</wp:posOffset>
            </wp:positionV>
            <wp:extent cx="6410325" cy="5999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410325" cy="5999480"/>
                    </a:xfrm>
                    <a:prstGeom prst="rect">
                      <a:avLst/>
                    </a:prstGeom>
                    <a:noFill/>
                  </pic:spPr>
                </pic:pic>
              </a:graphicData>
            </a:graphic>
          </wp:anchor>
        </w:drawing>
      </w:r>
    </w:p>
    <w:p>
      <w:pPr>
        <w:sectPr>
          <w:pgSz w:w="11880" w:h="15480" w:orient="portrait"/>
          <w:cols w:equalWidth="0" w:num="1">
            <w:col w:w="10020"/>
          </w:cols>
          <w:pgMar w:left="960" w:top="527" w:right="900"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This Annual Report on Form 10-K includes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82" w:lineRule="exact"/>
        <w:rPr>
          <w:sz w:val="20"/>
          <w:szCs w:val="20"/>
          <w:color w:val="auto"/>
        </w:rPr>
      </w:pPr>
    </w:p>
    <w:p>
      <w:pPr>
        <w:ind w:left="1060" w:right="100" w:hanging="362"/>
        <w:spacing w:after="0" w:line="296"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disruption in the availability or supply of, or increases in the price of, ethylene oxide (“EO”), Cobalt-60 (“Co-60”) or our other direct materials, services and supplies, including as a result of geopolitical instability and/ or sanctions against Russia by the United States, Canada, United Kingdom and/or the European Union;</w:t>
      </w:r>
    </w:p>
    <w:p>
      <w:pPr>
        <w:spacing w:after="0" w:line="1" w:lineRule="exact"/>
        <w:rPr>
          <w:rFonts w:ascii="Arial" w:cs="Arial" w:eastAsia="Arial" w:hAnsi="Arial"/>
          <w:sz w:val="17"/>
          <w:szCs w:val="17"/>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fluctuations in foreign currency exchange rates;</w:t>
      </w:r>
    </w:p>
    <w:p>
      <w:pPr>
        <w:spacing w:after="0" w:line="5"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evolving changes in environmental, health and safety regulations;</w:t>
      </w:r>
    </w:p>
    <w:p>
      <w:pPr>
        <w:spacing w:after="0" w:line="5" w:lineRule="exact"/>
        <w:rPr>
          <w:rFonts w:ascii="Arial" w:cs="Arial" w:eastAsia="Arial" w:hAnsi="Arial"/>
          <w:sz w:val="20"/>
          <w:szCs w:val="20"/>
          <w:color w:val="auto"/>
        </w:rPr>
      </w:pPr>
    </w:p>
    <w:p>
      <w:pPr>
        <w:ind w:left="1060" w:right="54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health and safety risks associated with the use, storage, transportation and disposal of potentially hazardous materials such as EO and Co-60;</w:t>
      </w:r>
    </w:p>
    <w:p>
      <w:pPr>
        <w:jc w:val="both"/>
        <w:ind w:left="1060" w:right="60" w:hanging="362"/>
        <w:spacing w:after="0" w:line="258" w:lineRule="auto"/>
        <w:tabs>
          <w:tab w:leader="none" w:pos="10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impact and outcome of current and future legal proceedings and liability claims, including litigation related to the use, emissions and releases of EO from our facilities in California, Georgia, Illinois and New Mexico and the possibility that other claims will be made in the future relating to these or other facilities;</w:t>
      </w:r>
    </w:p>
    <w:p>
      <w:pPr>
        <w:ind w:left="1060" w:right="8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allegations of our failure to properly perform services and potential product liability claims, recalls, penalties and reputational harm;</w:t>
      </w:r>
    </w:p>
    <w:p>
      <w:pPr>
        <w:ind w:left="1060" w:right="4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compliance with the extensive regulatory requirements to which we are subject, the related costs, and any failures to receive or maintain, or delays in receiving, required clearances or approvals;</w:t>
      </w: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adverse changes in industry trends;</w:t>
      </w:r>
    </w:p>
    <w:p>
      <w:pPr>
        <w:spacing w:after="0" w:line="5"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competition we face;</w:t>
      </w:r>
    </w:p>
    <w:p>
      <w:pPr>
        <w:spacing w:after="0" w:line="5" w:lineRule="exact"/>
        <w:rPr>
          <w:rFonts w:ascii="Arial" w:cs="Arial" w:eastAsia="Arial" w:hAnsi="Arial"/>
          <w:sz w:val="20"/>
          <w:szCs w:val="20"/>
          <w:color w:val="auto"/>
        </w:rPr>
      </w:pPr>
    </w:p>
    <w:p>
      <w:pPr>
        <w:ind w:left="1060" w:right="38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market conditions and changes, including inflationary trends, that impact our long-term supply contracts with variable price clauses and increase our cost of revenues;</w:t>
      </w:r>
    </w:p>
    <w:p>
      <w:pPr>
        <w:ind w:left="1060" w:hanging="36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business continuity hazards, including supply chain disruptions and other risks associated with our operations;</w:t>
      </w:r>
    </w:p>
    <w:p>
      <w:pPr>
        <w:spacing w:after="0" w:line="39" w:lineRule="exact"/>
        <w:rPr>
          <w:rFonts w:ascii="Arial" w:cs="Arial" w:eastAsia="Arial" w:hAnsi="Arial"/>
          <w:sz w:val="17"/>
          <w:szCs w:val="17"/>
          <w:color w:val="auto"/>
        </w:rPr>
      </w:pPr>
    </w:p>
    <w:p>
      <w:pPr>
        <w:ind w:left="1060" w:right="28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risks of doing business internationally, including global and regional economic and political instability and compliance with various applicable laws and potentially inconsistent laws and regulations in multiple jurisdictions;</w:t>
      </w:r>
    </w:p>
    <w:p>
      <w:pPr>
        <w:spacing w:after="0" w:line="1" w:lineRule="exact"/>
        <w:rPr>
          <w:rFonts w:ascii="Arial" w:cs="Arial" w:eastAsia="Arial" w:hAnsi="Arial"/>
          <w:sz w:val="20"/>
          <w:szCs w:val="20"/>
          <w:color w:val="auto"/>
        </w:rPr>
      </w:pPr>
    </w:p>
    <w:p>
      <w:pPr>
        <w:ind w:left="1060" w:right="6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increase capacity at existing facilities, build new facilities in a timely and cost-effective manner and renew leases for our leased facilities;</w:t>
      </w: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attract and retain qualified employees;</w:t>
      </w:r>
    </w:p>
    <w:p>
      <w:pPr>
        <w:spacing w:after="0" w:line="5"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severe health events or environmental events;</w:t>
      </w:r>
    </w:p>
    <w:p>
      <w:pPr>
        <w:spacing w:after="0" w:line="5" w:lineRule="exact"/>
        <w:rPr>
          <w:rFonts w:ascii="Arial" w:cs="Arial" w:eastAsia="Arial" w:hAnsi="Arial"/>
          <w:sz w:val="20"/>
          <w:szCs w:val="20"/>
          <w:color w:val="auto"/>
        </w:rPr>
      </w:pPr>
    </w:p>
    <w:p>
      <w:pPr>
        <w:ind w:left="1060" w:hanging="362"/>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cybersecurity incidents, unauthorized data disclosures, and our dependence on information technology systems;</w:t>
      </w:r>
    </w:p>
    <w:p>
      <w:pPr>
        <w:spacing w:after="0" w:line="39" w:lineRule="exact"/>
        <w:rPr>
          <w:rFonts w:ascii="Arial" w:cs="Arial" w:eastAsia="Arial" w:hAnsi="Arial"/>
          <w:sz w:val="17"/>
          <w:szCs w:val="17"/>
          <w:color w:val="auto"/>
        </w:rPr>
      </w:pPr>
    </w:p>
    <w:p>
      <w:pPr>
        <w:ind w:left="106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 inability to pursue strategic transactions, find suitable acquisition targets, or integrate strategic acquisitions into our business successfully;</w:t>
      </w: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maintain effective internal control over financial reporting;</w:t>
      </w:r>
    </w:p>
    <w:p>
      <w:pPr>
        <w:spacing w:after="0" w:line="5" w:lineRule="exact"/>
        <w:rPr>
          <w:rFonts w:ascii="Arial" w:cs="Arial" w:eastAsia="Arial" w:hAnsi="Arial"/>
          <w:sz w:val="20"/>
          <w:szCs w:val="20"/>
          <w:color w:val="auto"/>
        </w:rPr>
      </w:pPr>
    </w:p>
    <w:p>
      <w:pPr>
        <w:jc w:val="both"/>
        <w:ind w:left="1060" w:right="40" w:hanging="362"/>
        <w:spacing w:after="0" w:line="28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1" w:lineRule="exact"/>
        <w:rPr>
          <w:rFonts w:ascii="Arial" w:cs="Arial" w:eastAsia="Arial" w:hAnsi="Arial"/>
          <w:sz w:val="17"/>
          <w:szCs w:val="17"/>
          <w:color w:val="auto"/>
        </w:rPr>
      </w:pPr>
    </w:p>
    <w:p>
      <w:pPr>
        <w:ind w:left="1060" w:right="6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comply with rapidly evolving data privacy and security laws and regulations in various jurisdictions and any ineffective compliance efforts with such laws and regulations;</w:t>
      </w: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generate profitability in future periods;</w:t>
      </w:r>
    </w:p>
    <w:p>
      <w:pPr>
        <w:spacing w:after="0" w:line="5" w:lineRule="exact"/>
        <w:rPr>
          <w:rFonts w:ascii="Arial" w:cs="Arial" w:eastAsia="Arial" w:hAnsi="Arial"/>
          <w:sz w:val="20"/>
          <w:szCs w:val="20"/>
          <w:color w:val="auto"/>
        </w:rPr>
      </w:pPr>
    </w:p>
    <w:p>
      <w:pPr>
        <w:ind w:left="1060" w:right="200" w:hanging="362"/>
        <w:spacing w:after="0" w:line="245" w:lineRule="auto"/>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impairment charges on our goodwill and other intangible assets with indefinite lives, as well as other long-lived assets and intangible assets with definite lives;</w:t>
      </w:r>
    </w:p>
    <w:p>
      <w:pPr>
        <w:ind w:left="1060" w:hanging="362"/>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effects of unionization efforts and labor regulations in countries in which we operate;</w:t>
      </w:r>
    </w:p>
    <w:p>
      <w:pPr>
        <w:spacing w:after="0" w:line="5" w:lineRule="exact"/>
        <w:rPr>
          <w:rFonts w:ascii="Arial" w:cs="Arial" w:eastAsia="Arial" w:hAnsi="Arial"/>
          <w:sz w:val="20"/>
          <w:szCs w:val="20"/>
          <w:color w:val="auto"/>
        </w:rPr>
      </w:pPr>
    </w:p>
    <w:p>
      <w:pPr>
        <w:ind w:left="1060" w:right="460" w:hanging="362"/>
        <w:spacing w:after="0" w:line="28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changes to our tax positions in U.S. or non-U.S. jurisdictions or the interpretation and application of recent U.S. tax legislation or other changes in U.S. or non-U.S. taxation of our operations; and</w:t>
      </w:r>
    </w:p>
    <w:p>
      <w:pPr>
        <w:spacing w:after="0" w:line="1" w:lineRule="exact"/>
        <w:rPr>
          <w:rFonts w:ascii="Arial" w:cs="Arial" w:eastAsia="Arial" w:hAnsi="Arial"/>
          <w:sz w:val="17"/>
          <w:szCs w:val="17"/>
          <w:color w:val="auto"/>
        </w:rPr>
      </w:pPr>
    </w:p>
    <w:p>
      <w:pPr>
        <w:ind w:left="1060" w:hanging="362"/>
        <w:spacing w:after="0" w:line="305"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 or prevent us from meeting our obligations under our existing and future agreements governing our indebtedness.</w:t>
      </w:r>
    </w:p>
    <w:p>
      <w:pPr>
        <w:sectPr>
          <w:pgSz w:w="11880" w:h="15480" w:orient="portrait"/>
          <w:cols w:equalWidth="0" w:num="1">
            <w:col w:w="10000"/>
          </w:cols>
          <w:pgMar w:left="920" w:top="527" w:right="960" w:bottom="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00"/>
          </w:cols>
          <w:pgMar w:left="920" w:top="527" w:right="960" w:bottom="21" w:gutter="0" w:footer="0" w:header="0"/>
          <w:type w:val="continuous"/>
        </w:sectPr>
      </w:pPr>
    </w:p>
    <w:bookmarkStart w:id="12" w:name="page13"/>
    <w:bookmarkEnd w:id="12"/>
    <w:p>
      <w:pPr>
        <w:spacing w:after="0" w:line="251" w:lineRule="auto"/>
        <w:rPr>
          <w:sz w:val="20"/>
          <w:szCs w:val="20"/>
          <w:color w:val="auto"/>
        </w:rPr>
      </w:pPr>
      <w:r>
        <w:rPr>
          <w:rFonts w:ascii="Arial" w:cs="Arial" w:eastAsia="Arial" w:hAnsi="Arial"/>
          <w:sz w:val="20"/>
          <w:szCs w:val="20"/>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209"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color w:val="auto"/>
        </w:rPr>
        <w:t xml:space="preserve">You should carefully consider the above factors, as well as the factors discussed elsewhere in this Annual Report on Form 10-K, including under Part I, Item 1A, </w:t>
      </w:r>
      <w:r>
        <w:rPr>
          <w:rFonts w:ascii="Arial" w:cs="Arial" w:eastAsia="Arial" w:hAnsi="Arial"/>
          <w:sz w:val="23"/>
          <w:szCs w:val="23"/>
          <w:color w:val="auto"/>
        </w:rPr>
        <w:t>“</w:t>
      </w:r>
      <w:r>
        <w:rPr>
          <w:rFonts w:ascii="Arial" w:cs="Arial" w:eastAsia="Arial" w:hAnsi="Arial"/>
          <w:sz w:val="20"/>
          <w:szCs w:val="20"/>
          <w:color w:val="auto"/>
        </w:rPr>
        <w:t>Risk Factors</w:t>
      </w:r>
      <w:r>
        <w:rPr>
          <w:rFonts w:ascii="Arial" w:cs="Arial" w:eastAsia="Arial" w:hAnsi="Arial"/>
          <w:sz w:val="23"/>
          <w:szCs w:val="23"/>
          <w:color w:val="auto"/>
        </w:rPr>
        <w:t>”</w:t>
      </w:r>
      <w:r>
        <w:rPr>
          <w:rFonts w:ascii="Arial" w:cs="Arial" w:eastAsia="Arial" w:hAnsi="Arial"/>
          <w:sz w:val="20"/>
          <w:szCs w:val="20"/>
          <w:color w:val="auto"/>
        </w:rPr>
        <w:t xml:space="preserve"> and elsewhere in this Annual Report on Form 10-K.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208"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Annual Report on Form 10-K refer to Sotera Health Company, a Delaware corporation, and, where appropriate, its subsidiaries on a consolidated basis.</w:t>
      </w:r>
    </w:p>
    <w:p>
      <w:pPr>
        <w:sectPr>
          <w:pgSz w:w="11880" w:h="15480" w:orient="portrait"/>
          <w:cols w:equalWidth="0" w:num="1">
            <w:col w:w="10020"/>
          </w:cols>
          <w:pgMar w:left="920" w:top="534" w:right="940" w:bottom="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20"/>
          </w:cols>
          <w:pgMar w:left="920" w:top="534" w:right="940" w:bottom="21"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Information</w:t>
      </w:r>
    </w:p>
    <w:p>
      <w:pPr>
        <w:spacing w:after="0" w:line="248"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23"/>
          <w:szCs w:val="23"/>
          <w:color w:val="auto"/>
          <w:vertAlign w:val="superscript"/>
        </w:rPr>
        <w:t>®</w:t>
      </w:r>
      <w:r>
        <w:rPr>
          <w:rFonts w:ascii="Arial" w:cs="Arial" w:eastAsia="Arial" w:hAnsi="Arial"/>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196"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We are a trusted partner to approximately 5,000 customers in over 50 countries. We strive to give our customers confidence that their products meet regulatory, safety and effectiveness requirements. With our industry-recognized scientific and technological expertise, we help promote the safety of millions of patients and healthcare practitioners around the world. Across our 62 facilities worldwide, we have over 3,000 employees who are dedicated to safety and quality.</w:t>
      </w:r>
    </w:p>
    <w:p>
      <w:pPr>
        <w:spacing w:after="0" w:line="160"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Sotera Health Company was incorporated in Delaware in November 2017 as the parent company for Sterigenics, Nordion and Nelson Labs. We completed our initial public offering and listed our shares of common stock on the Nasdaq Global Select Market (“Nasdaq”) in November 2020 under the ticker symbol “SHC.”</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Sterilization Services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Our sterilization services business is comprised of Sterigenics and Nordion.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w:t>
      </w:r>
    </w:p>
    <w:p>
      <w:pPr>
        <w:spacing w:after="0" w:line="248" w:lineRule="exact"/>
        <w:rPr>
          <w:sz w:val="20"/>
          <w:szCs w:val="20"/>
          <w:color w:val="auto"/>
        </w:rPr>
      </w:pPr>
    </w:p>
    <w:p>
      <w:pPr>
        <w:ind w:right="340"/>
        <w:spacing w:after="0" w:line="254" w:lineRule="auto"/>
        <w:rPr>
          <w:sz w:val="20"/>
          <w:szCs w:val="20"/>
          <w:color w:val="auto"/>
        </w:rPr>
      </w:pPr>
      <w:r>
        <w:rPr>
          <w:rFonts w:ascii="Arial" w:cs="Arial" w:eastAsia="Arial" w:hAnsi="Arial"/>
          <w:sz w:val="20"/>
          <w:szCs w:val="20"/>
          <w:color w:val="auto"/>
        </w:rPr>
        <w:t>We are a leading global provider of outsourced terminal sterilization and irradiation services and have provided sterilization services for over 90 years. We offer a globally integrated platform for our customers in the medical device, pharmaceutical, food safety, and advanced applications markets, with facilities strategically located to be convenient to our customers’ manufacturing sites and distribution hubs or routes.</w:t>
      </w:r>
    </w:p>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color w:val="auto"/>
        </w:rPr>
        <w:t>Terminal sterilization is the process of sterilizing a product in its final packaging; it is an essential, and often government-mandated, last step in the manufacturing process of healthcare products before they are shipped to end-users. The products that we sterilize include procedure kits and trays, implants, syringes, catheters, wound care products, medical protective barriers, including personal protective equipment (“PPE”), laboratory products and pharmaceuticals.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Sterilization Services</w:t>
      </w:r>
    </w:p>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and we continue to explore new alternative modalities and technologies. Our primary terminal sterilization technologies include:</w:t>
      </w:r>
    </w:p>
    <w:p>
      <w:pPr>
        <w:sectPr>
          <w:pgSz w:w="11880" w:h="15480" w:orient="portrait"/>
          <w:cols w:equalWidth="0" w:num="1">
            <w:col w:w="10040"/>
          </w:cols>
          <w:pgMar w:left="920" w:top="527" w:right="920" w:bottom="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527" w:right="920" w:bottom="21"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370840</wp:posOffset>
            </wp:positionV>
            <wp:extent cx="6330315" cy="3795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330315" cy="379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We provide gamma irradiation services at 23 of our facilities, EO processing services at 17 of our facilities and electron beam (“E-beam”) irradiation services at eight of our facilities.</w:t>
      </w:r>
    </w:p>
    <w:p>
      <w:pPr>
        <w:spacing w:after="0" w:line="186"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We also invest in alternative modalities to serve our customers. X-ray irradiation is a process in which products such as medical devices and lab ware are exposed to machine-generated radiation in the form of X-rays for the purpose of sterilization and decontamination. X-rays are similar in performance to gamma rays and are useful for processing certain materials by virtue of the high penetration capabilities of X-ray. We utilize X-ray irradiation at one of our sterilization facilities for bio-hazard reduction for the United States Postal Service (“USPS”). We are also investing in NO2-based sterilization and other technologies, which have been effective in sterilizing of prefilled syringes, drug-device combination products and custom implants.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Sterilization Applications</w:t>
      </w:r>
    </w:p>
    <w:p>
      <w:pPr>
        <w:spacing w:after="0" w:line="242"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165" w:lineRule="exact"/>
        <w:rPr>
          <w:sz w:val="20"/>
          <w:szCs w:val="20"/>
          <w:color w:val="auto"/>
        </w:rPr>
      </w:pPr>
    </w:p>
    <w:p>
      <w:pPr>
        <w:ind w:left="700" w:right="40" w:hanging="355"/>
        <w:spacing w:after="0" w:line="300" w:lineRule="auto"/>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Medical device sterilization</w:t>
      </w:r>
      <w:r>
        <w:rPr>
          <w:rFonts w:ascii="Arial" w:cs="Arial" w:eastAsia="Arial" w:hAnsi="Arial"/>
          <w:sz w:val="17"/>
          <w:szCs w:val="17"/>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therefore inhabited by potentially harmful microbes. Products must therefore be treated before shipment, either in-house by the manufacturer or by an outsourced sterilization provider such as Sterigenics.</w:t>
      </w:r>
    </w:p>
    <w:p>
      <w:pPr>
        <w:spacing w:after="0" w:line="53" w:lineRule="exact"/>
        <w:rPr>
          <w:rFonts w:ascii="Arial" w:cs="Arial" w:eastAsia="Arial" w:hAnsi="Arial"/>
          <w:sz w:val="17"/>
          <w:szCs w:val="17"/>
          <w:color w:val="auto"/>
        </w:rPr>
      </w:pPr>
    </w:p>
    <w:p>
      <w:pPr>
        <w:ind w:left="700" w:right="240"/>
        <w:spacing w:after="0" w:line="266" w:lineRule="auto"/>
        <w:rPr>
          <w:rFonts w:ascii="Arial" w:cs="Arial" w:eastAsia="Arial" w:hAnsi="Arial"/>
          <w:sz w:val="17"/>
          <w:szCs w:val="17"/>
          <w:color w:val="auto"/>
        </w:rPr>
      </w:pPr>
      <w:r>
        <w:rPr>
          <w:rFonts w:ascii="Arial" w:cs="Arial" w:eastAsia="Arial" w:hAnsi="Arial"/>
          <w:sz w:val="19"/>
          <w:szCs w:val="19"/>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ectPr>
          <w:pgSz w:w="11880" w:h="15480" w:orient="portrait"/>
          <w:cols w:equalWidth="0" w:num="1">
            <w:col w:w="10020"/>
          </w:cols>
          <w:pgMar w:left="920" w:top="1440" w:right="940" w:bottom="21"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20"/>
          </w:cols>
          <w:pgMar w:left="920" w:top="1440" w:right="940" w:bottom="21" w:gutter="0" w:footer="0" w:header="0"/>
          <w:type w:val="continuous"/>
        </w:sectPr>
      </w:pPr>
    </w:p>
    <w:bookmarkStart w:id="15" w:name="page16"/>
    <w:bookmarkEnd w:id="15"/>
    <w:p>
      <w:pPr>
        <w:ind w:left="700" w:right="40" w:hanging="355"/>
        <w:spacing w:after="0" w:line="254"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Pharmaceuticals</w:t>
      </w:r>
      <w:r>
        <w:rPr>
          <w:rFonts w:ascii="Arial" w:cs="Arial" w:eastAsia="Arial" w:hAnsi="Arial"/>
          <w:sz w:val="20"/>
          <w:szCs w:val="20"/>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84" w:lineRule="exact"/>
        <w:rPr>
          <w:rFonts w:ascii="Arial" w:cs="Arial" w:eastAsia="Arial" w:hAnsi="Arial"/>
          <w:sz w:val="20"/>
          <w:szCs w:val="20"/>
          <w:color w:val="auto"/>
        </w:rPr>
      </w:pPr>
    </w:p>
    <w:p>
      <w:pPr>
        <w:ind w:left="700" w:right="60"/>
        <w:spacing w:after="0" w:line="300" w:lineRule="auto"/>
        <w:rPr>
          <w:rFonts w:ascii="Arial" w:cs="Arial" w:eastAsia="Arial" w:hAnsi="Arial"/>
          <w:sz w:val="20"/>
          <w:szCs w:val="20"/>
          <w:color w:val="auto"/>
        </w:rPr>
      </w:pPr>
      <w:r>
        <w:rPr>
          <w:rFonts w:ascii="Arial" w:cs="Arial" w:eastAsia="Arial" w:hAnsi="Arial"/>
          <w:sz w:val="17"/>
          <w:szCs w:val="17"/>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across the Company to help our customers throughout key stages in the lifecycle of these complex products.</w:t>
      </w:r>
    </w:p>
    <w:p>
      <w:pPr>
        <w:spacing w:after="0" w:line="53" w:lineRule="exact"/>
        <w:rPr>
          <w:rFonts w:ascii="Arial" w:cs="Arial" w:eastAsia="Arial" w:hAnsi="Arial"/>
          <w:sz w:val="20"/>
          <w:szCs w:val="20"/>
          <w:color w:val="auto"/>
        </w:rPr>
      </w:pPr>
    </w:p>
    <w:p>
      <w:pPr>
        <w:ind w:left="700" w:hanging="355"/>
        <w:spacing w:after="0" w:line="296"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Food and agricultural products</w:t>
      </w:r>
      <w:r>
        <w:rPr>
          <w:rFonts w:ascii="Arial" w:cs="Arial" w:eastAsia="Arial" w:hAnsi="Arial"/>
          <w:sz w:val="17"/>
          <w:szCs w:val="17"/>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safety concerns of customers and consumers or to extend shelf life. We currently irradiate a variety of food and food packaging products, ranging from orange juice to steaks, to guard against harmful bacteria, such as listeria, salmonella, E. coli and other pathogens. Microbial reduction and irradiation offer producers and processors a method to safeguard against bacteria from the time of the packaging of their products to the time they reach consumers. We also provide microbial remediation services that stop the progression of damage to products and help make the products safe for distribution.</w:t>
      </w:r>
    </w:p>
    <w:p>
      <w:pPr>
        <w:spacing w:after="0" w:line="117" w:lineRule="exact"/>
        <w:rPr>
          <w:rFonts w:ascii="Arial" w:cs="Arial" w:eastAsia="Arial" w:hAnsi="Arial"/>
          <w:sz w:val="17"/>
          <w:szCs w:val="17"/>
          <w:color w:val="auto"/>
        </w:rPr>
      </w:pPr>
    </w:p>
    <w:p>
      <w:pPr>
        <w:ind w:left="700" w:hanging="355"/>
        <w:spacing w:after="0" w:line="297" w:lineRule="auto"/>
        <w:tabs>
          <w:tab w:leader="none" w:pos="7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Commercial, advanced and specialty applications</w:t>
      </w:r>
      <w:r>
        <w:rPr>
          <w:rFonts w:ascii="Arial" w:cs="Arial" w:eastAsia="Arial" w:hAnsi="Arial"/>
          <w:sz w:val="17"/>
          <w:szCs w:val="17"/>
          <w:color w:val="auto"/>
        </w:rPr>
        <w:t>. We provide a wide range of advanced applications services for industrial materials to customers that use ionizing radiation to modify materials or products. The advanced applications sterilization industry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Customers</w:t>
      </w: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2024, Sterigenics served more than 2,000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color w:val="auto"/>
        </w:rPr>
        <w:t>Although sterilization services are an essential element in our customers’ manufacturing processes, they generally represent a small fraction of the total end-product cost of medical devices. We believe this means that our customers choose our services based on quality, consistency of service and location rather than solely on the cost. These deep, tenured customer relationships are supported by multi-year contracts with cost pass-through provisions, which have resulted in recurring revenue streams.</w:t>
      </w:r>
    </w:p>
    <w:p>
      <w:pPr>
        <w:spacing w:after="0" w:line="160"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For many products, our customers are required to include the specific chamber or chambers at which the product was validated to validate a product’s listing in the Food and Drug Administration (“FDA”) (or foreign equivalent) product registration and are typically required to re-register if they switch facilities, which makes switching locations for a particular product a difficult and expensive process for our customers. This dynamic contributes to low customer turnover and long-term relationships.</w:t>
      </w:r>
    </w:p>
    <w:p>
      <w:pPr>
        <w:spacing w:after="0" w:line="160"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In addition, Sterigenics has achieved high historical customer retention and renewal rates—Sterigenics has 100% renewal rates of its top ten customers for more than five consecutive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 More than 90% of Sterigenics’ revenues for the year ended December 31, 2024 were from customers under multi-year contracts.</w:t>
      </w:r>
    </w:p>
    <w:p>
      <w:pPr>
        <w:sectPr>
          <w:pgSz w:w="11880" w:h="15480" w:orient="portrait"/>
          <w:cols w:equalWidth="0" w:num="1">
            <w:col w:w="10040"/>
          </w:cols>
          <w:pgMar w:left="920" w:top="534" w:right="920" w:bottom="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534" w:right="920" w:bottom="21"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t>Sterigenics Competition</w:t>
      </w:r>
    </w:p>
    <w:p>
      <w:pPr>
        <w:spacing w:after="0" w:line="242"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We compete globally with Applied Sterilization Technologies, a segment of STERIS plc, as well as other smaller or regional outsourced sterilization companies. In addition, some manufacturers have invested or are investing in in-house sterilization capabilities. We also face competition from other technologies. Our services generally compete on the basis of the quality of technology and services offered, level of expertise in each of the major sterilization methods, level of expertise in the applicable regulatory requirements, proximity to customers and the cost of services.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Suppliers</w:t>
      </w:r>
    </w:p>
    <w:p>
      <w:pPr>
        <w:spacing w:after="0" w:line="242"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Sterigenics primarily purchases its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the need to make the necessary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 Facilities</w:t>
      </w:r>
    </w:p>
    <w:p>
      <w:pPr>
        <w:spacing w:after="0" w:line="242"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With 48 facilities in 13 countries, our global network of sterilization facilities represents a significant competitive advantage. We serve many of our sterilization customers at more than one facility, with approximately 80% of Sterigenics’ net revenues attributable to customers using more than one of our facilities and more than 50% of Sterigenics’ net revenues attributable to customers using five or more of our facilities in 2024. Extensive capital, technical expertise and regulatory knowledge are required to build and maintain our facilities. We estimate that building a new facility may cost over $50 million and the cost may vary depending on sterilization modality, in addition to requiring extensive and complex licensing approval and regulatory compliance processes. We estimate that the cost to replicate the facilities in our network alone could exceed $2.0 billion, in addition to investments required to meet associated technical and regulatory requirements.</w:t>
      </w:r>
    </w:p>
    <w:p>
      <w:pPr>
        <w:spacing w:after="0" w:line="169"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color w:val="auto"/>
        </w:rPr>
        <w:t>By leveraging a global operating system, we drive operational excellence across our network of facilities to achieve high levels of safety, quality, operating efficiency and customer satisfaction to provide a uniform customer experience. Most of our facilities are either International Organization for Standardization (“ISO”) 13485 certified, ISO 9001 certified, or both, as well as licensed and registered in all necessary jurisdictions to comply with government required regulations.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Nordion is the leading global provider of Co-60 used in the sterilization and irradiation processes for the medical device, pharmaceutical, food safety, and high-performance materials industries, as well as in the treatment of cancer. Co-60 is a radioactive isotope that emits gamma radiation that sterilizes items by killing contaminating micro-organisms. In addition, Nordion is a leading global provider of gamma irradiation systems, which are the units that house the Co-60 sources within a gamma sterilization facility. We estimate that gamma sterilization, which is a critical component of the global infection control supply chain, accounts for approximately 30% of single-use medical device sterilization worldwide. Nordion’s customers include outsourced contract sterilizers, including Sterigenics, medical device manufacturers that sterilize their products in-house and other specialized medical device manufacturers. Approximately 90% of Nordion’s revenues for the year ended December 31, 2024 were from customers under multi-year contracts.</w:t>
      </w:r>
    </w:p>
    <w:p>
      <w:pPr>
        <w:spacing w:after="0" w:line="19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w:t>
      </w:r>
    </w:p>
    <w:p>
      <w:pPr>
        <w:sectPr>
          <w:pgSz w:w="11880" w:h="15480" w:orient="portrait"/>
          <w:cols w:equalWidth="0" w:num="1">
            <w:col w:w="10040"/>
          </w:cols>
          <w:pgMar w:left="920" w:top="533" w:right="920" w:bottom="21"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533" w:right="920" w:bottom="21" w:gutter="0" w:footer="0" w:header="0"/>
          <w:type w:val="continuous"/>
        </w:sectPr>
      </w:pPr>
    </w:p>
    <w:bookmarkStart w:id="17" w:name="page18"/>
    <w:bookmarkEnd w:id="17"/>
    <w:p>
      <w:pPr>
        <w:ind w:right="300"/>
        <w:spacing w:after="0" w:line="271" w:lineRule="auto"/>
        <w:rPr>
          <w:sz w:val="20"/>
          <w:szCs w:val="20"/>
          <w:color w:val="auto"/>
        </w:rPr>
      </w:pPr>
      <w:r>
        <w:rPr>
          <w:rFonts w:ascii="Arial" w:cs="Arial" w:eastAsia="Arial" w:hAnsi="Arial"/>
          <w:sz w:val="20"/>
          <w:szCs w:val="20"/>
          <w:color w:val="auto"/>
        </w:rPr>
        <w:t>possible on the global scale at which it is used today. We are integral to our customers’ operations due to highly coordinated and complex installation processes.</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Nordion has a long history in gamma technologies. Nordion designs, installs and maintains gamma irradiation systems.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Gamma Knife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other similar applications. Today, Co-60 is a critical part of treatment for brain and other cancers because it is noninvasive, reliable, effective and safe to use.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Co-60 Production Process</w:t>
      </w:r>
    </w:p>
    <w:p>
      <w:pPr>
        <w:spacing w:after="0" w:line="242" w:lineRule="exact"/>
        <w:rPr>
          <w:sz w:val="20"/>
          <w:szCs w:val="20"/>
          <w:color w:val="auto"/>
        </w:rPr>
      </w:pPr>
    </w:p>
    <w:p>
      <w:pPr>
        <w:jc w:val="both"/>
        <w:ind w:right="140"/>
        <w:spacing w:after="0" w:line="258" w:lineRule="auto"/>
        <w:rPr>
          <w:sz w:val="20"/>
          <w:szCs w:val="20"/>
          <w:color w:val="auto"/>
        </w:rPr>
      </w:pPr>
      <w:r>
        <w:rPr>
          <w:rFonts w:ascii="Arial" w:cs="Arial" w:eastAsia="Arial" w:hAnsi="Arial"/>
          <w:sz w:val="20"/>
          <w:szCs w:val="20"/>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99" w:lineRule="exact"/>
        <w:rPr>
          <w:sz w:val="20"/>
          <w:szCs w:val="20"/>
          <w:color w:val="auto"/>
        </w:rPr>
      </w:pPr>
    </w:p>
    <w:p>
      <w:pPr>
        <w:jc w:val="both"/>
        <w:ind w:right="140"/>
        <w:spacing w:after="0" w:line="296" w:lineRule="auto"/>
        <w:rPr>
          <w:sz w:val="20"/>
          <w:szCs w:val="20"/>
          <w:color w:val="auto"/>
        </w:rPr>
      </w:pPr>
      <w:r>
        <w:rPr>
          <w:rFonts w:ascii="Arial" w:cs="Arial" w:eastAsia="Arial" w:hAnsi="Arial"/>
          <w:sz w:val="17"/>
          <w:szCs w:val="17"/>
          <w:color w:val="auto"/>
        </w:rPr>
        <w:t>The Co-60 production process requires high purity Co-59. Co-59 is produced globally, primarily as a byproduct of nickel and copper mining, and used in a variety of industrial applications. The Co-59 used for sterilization accounts for a small portion of overall Co-59 demand. Co-59 is compressed into “targets,” which are pellets and slugs suitable to be activated into Co-60.</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 xml:space="preserve">These targets are then encapsulated and delivered to be installed in nuclear reactors. Depending on the type of reactor and the location of the Co-59 in the reactor, the conversion process can take between 18 months to five years. Once the conversion to Co-60 is complete, the targets are extracted from the nuclear reactor while the reactor is shut down and shipped to Nordion to be processed into Co-60 sources to be sold to customers. See Item 1A, </w:t>
      </w:r>
      <w:r>
        <w:rPr>
          <w:rFonts w:ascii="Arial" w:cs="Arial" w:eastAsia="Arial" w:hAnsi="Arial"/>
          <w:sz w:val="22"/>
          <w:szCs w:val="22"/>
          <w:color w:val="auto"/>
        </w:rPr>
        <w:t>“</w:t>
      </w:r>
      <w:r>
        <w:rPr>
          <w:rFonts w:ascii="Arial" w:cs="Arial" w:eastAsia="Arial" w:hAnsi="Arial"/>
          <w:sz w:val="19"/>
          <w:szCs w:val="19"/>
          <w:color w:val="auto"/>
        </w:rPr>
        <w:t>Risk Factors</w:t>
      </w:r>
      <w:r>
        <w:rPr>
          <w:rFonts w:ascii="Arial" w:cs="Arial" w:eastAsia="Arial" w:hAnsi="Arial"/>
          <w:sz w:val="22"/>
          <w:szCs w:val="22"/>
          <w:color w:val="auto"/>
        </w:rPr>
        <w:t>”</w:t>
      </w:r>
      <w:r>
        <w:rPr>
          <w:rFonts w:ascii="Arial" w:cs="Arial" w:eastAsia="Arial" w:hAnsi="Arial"/>
          <w:sz w:val="19"/>
          <w:szCs w:val="19"/>
          <w:color w:val="auto"/>
        </w:rPr>
        <w:t>—Risks Related to the Company—Safety risks associated with the use, storage and disposal of potentially hazardous materials, such as EO and Co-60, may result in accidents or liabilities that materially affect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Products</w:t>
      </w:r>
    </w:p>
    <w:p>
      <w:pPr>
        <w:spacing w:after="0" w:line="242"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Co-60 is sold to customers by its level of radioactivity as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Ottawa facility. The final product is then placed in specialized containers, which Nordion uses to transport Co-60 to our customers.</w:t>
      </w:r>
    </w:p>
    <w:p>
      <w:pPr>
        <w:spacing w:after="0" w:line="165"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209"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We also design, install and maintain gamma irradiation systems, which include radiation shielding, a series of conveyors and control systems that are designed to expose products to the correct gamma radiation dosage in a safe and efficient manner. A gamma irradiation system is the infrastructure that houses the Co-60 sources and makes up a part of a sterilization and warehousing facility. We have designed and built over 100 of the estimated 290 large scale irradiation systems active globally. Our installation, physics and engineering teams are comprised of highly trained professionals who provide fast and ongoing technical support from source installation to emergency response.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We also offer our customers a for-fee spent Co-60 source return service for depleted Co-60 sources that have reached the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Reactor Operators</w:t>
      </w:r>
    </w:p>
    <w:p>
      <w:pPr>
        <w:spacing w:after="0" w:line="242" w:lineRule="exact"/>
        <w:rPr>
          <w:sz w:val="20"/>
          <w:szCs w:val="20"/>
          <w:color w:val="auto"/>
        </w:rPr>
      </w:pPr>
    </w:p>
    <w:p>
      <w:pPr>
        <w:ind w:right="160"/>
        <w:spacing w:after="0" w:line="298" w:lineRule="auto"/>
        <w:rPr>
          <w:sz w:val="20"/>
          <w:szCs w:val="20"/>
          <w:color w:val="auto"/>
        </w:rPr>
      </w:pPr>
      <w:r>
        <w:rPr>
          <w:rFonts w:ascii="Arial" w:cs="Arial" w:eastAsia="Arial" w:hAnsi="Arial"/>
          <w:sz w:val="19"/>
          <w:szCs w:val="19"/>
          <w:color w:val="auto"/>
        </w:rPr>
        <w:t>Given the timeline required to produce Co-60, forecasting supply and working closely with nuclear power reactor operators to manage the amount and timing of shipments represents an important business capability of Nordion.</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534" w:right="920" w:bottom="0" w:gutter="0" w:footer="0" w:header="0"/>
          <w:type w:val="continuous"/>
        </w:sectPr>
      </w:pPr>
    </w:p>
    <w:bookmarkStart w:id="18" w:name="page19"/>
    <w:bookmarkEnd w:id="18"/>
    <w:p>
      <w:pPr>
        <w:ind w:right="40"/>
        <w:spacing w:after="0" w:line="303" w:lineRule="auto"/>
        <w:rPr>
          <w:sz w:val="20"/>
          <w:szCs w:val="20"/>
          <w:color w:val="auto"/>
        </w:rPr>
      </w:pPr>
      <w:r>
        <w:rPr>
          <w:rFonts w:ascii="Arial" w:cs="Arial" w:eastAsia="Arial" w:hAnsi="Arial"/>
          <w:sz w:val="17"/>
          <w:szCs w:val="17"/>
          <w:color w:val="auto"/>
        </w:rPr>
        <w:t>The amount of Co-60 supply is ultimately determined by the number of nuclear reactors that are capable of producing Co-60 at a given point in time. Our access to Co-60 tends to vary on a quarterly basis, due primarily to nuclear reactor maintenance schedules, the length of time required to convert Co-59 into Co-60, the limited number of facilities that can generate Co-60 in an economically efficient manner, and the timing of the removal of Co-60 from reactors. While short-term variability in Co-60 supplier delivery timing can sometimes result in variability in our financial performance across fiscal quarters, we work with multiple reactor sites that operate on consistent and predictable discharge and harvest schedules over the long-term.</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 xml:space="preserve">Nordion currently has access to Co-60 supply at multiple nuclear reactors pursuant to multi-year contracts with three operators that cover 13 reactors at five generating stations, that extend to dates between 2026 and 2064, with our largest supplier under contract until 2064. See Item 1A, </w:t>
      </w:r>
      <w:r>
        <w:rPr>
          <w:rFonts w:ascii="Arial" w:cs="Arial" w:eastAsia="Arial" w:hAnsi="Arial"/>
          <w:sz w:val="21"/>
          <w:szCs w:val="21"/>
          <w:color w:val="auto"/>
        </w:rPr>
        <w:t>“</w:t>
      </w:r>
      <w:r>
        <w:rPr>
          <w:rFonts w:ascii="Arial" w:cs="Arial" w:eastAsia="Arial" w:hAnsi="Arial"/>
          <w:sz w:val="18"/>
          <w:szCs w:val="18"/>
          <w:color w:val="auto"/>
        </w:rPr>
        <w:t>Risk Factors</w:t>
      </w:r>
      <w:r>
        <w:rPr>
          <w:rFonts w:ascii="Arial" w:cs="Arial" w:eastAsia="Arial" w:hAnsi="Arial"/>
          <w:sz w:val="21"/>
          <w:szCs w:val="21"/>
          <w:color w:val="auto"/>
        </w:rPr>
        <w:t>”</w:t>
      </w:r>
      <w:r>
        <w:rPr>
          <w:rFonts w:ascii="Arial" w:cs="Arial" w:eastAsia="Arial" w:hAnsi="Arial"/>
          <w:sz w:val="18"/>
          <w:szCs w:val="18"/>
          <w:color w:val="auto"/>
        </w:rPr>
        <w:t>—Risks Related to the Company—We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United Kingdom and European Union,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We also acquire a portion of our Co-60 supply from reactors that produce Co-60 in Argentina, China and India.</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The vertical integration of Nordion and Sterigenics has allowed us to more confidently make meaningful long-term investments to expand Co-60 supply for the medical products sterilization industry. See Item 7, “Management’s Discussion and Analysis of Financial Condition and Results of Operations—Trends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in Pressurized Water Reactors. We believe this collaboration could further diversify our supply with reliable U.S. domestic partners and encourage the implementation of this patented technology at other reactors around the world.</w:t>
      </w:r>
    </w:p>
    <w:p>
      <w:pPr>
        <w:spacing w:after="0" w:line="175"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We continue to evaluate opportunities to increase Co-60 production, including through partnerships with CANDU reactor operators in Canada and Romania that would involve investing in their reactor infrastructure to enable long-term production of Co-60.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Customers</w:t>
      </w:r>
    </w:p>
    <w:p>
      <w:pPr>
        <w:spacing w:after="0" w:line="242"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In 2024, Nordion supplied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66"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remain in place today, and certain of our agreements with Nordion’s customers require that we maintain these barriers. These barriers prohibit us from managing a customer pricing strategy across our Sterigenics and Nordion segments.</w:t>
      </w:r>
    </w:p>
    <w:p>
      <w:pPr>
        <w:spacing w:after="0" w:line="20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We are a leading global supplier of HSA Co-60 used in oncology-related stereotactic radiosurgery devices, including the Gamma Knife</w:t>
      </w:r>
      <w:r>
        <w:rPr>
          <w:rFonts w:ascii="Arial" w:cs="Arial" w:eastAsia="Arial" w:hAnsi="Arial"/>
          <w:sz w:val="22"/>
          <w:szCs w:val="22"/>
          <w:color w:val="auto"/>
          <w:vertAlign w:val="superscript"/>
        </w:rPr>
        <w:t>®</w:t>
      </w:r>
      <w:r>
        <w:rPr>
          <w:rFonts w:ascii="Arial" w:cs="Arial" w:eastAsia="Arial" w:hAnsi="Arial"/>
          <w:sz w:val="17"/>
          <w:szCs w:val="17"/>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Competition</w:t>
      </w:r>
    </w:p>
    <w:p>
      <w:pPr>
        <w:spacing w:after="0" w:line="242" w:lineRule="exact"/>
        <w:rPr>
          <w:sz w:val="20"/>
          <w:szCs w:val="20"/>
          <w:color w:val="auto"/>
        </w:rPr>
      </w:pPr>
    </w:p>
    <w:p>
      <w:pPr>
        <w:ind w:right="220"/>
        <w:spacing w:after="0" w:line="306" w:lineRule="auto"/>
        <w:rPr>
          <w:sz w:val="20"/>
          <w:szCs w:val="20"/>
          <w:color w:val="auto"/>
        </w:rPr>
      </w:pPr>
      <w:r>
        <w:rPr>
          <w:rFonts w:ascii="Arial" w:cs="Arial" w:eastAsia="Arial" w:hAnsi="Arial"/>
          <w:sz w:val="17"/>
          <w:szCs w:val="17"/>
          <w:color w:val="auto"/>
        </w:rPr>
        <w:t>Nordion’s two main competitors in the industrial LSA Co-60 sources supply market are a Russian Co-60 sources producer, which historically has supplied certain regions in Europe and Asia, and a China-based producer, which supplies the domestic Chinese market. In addition, certain regional competitors have the capability to produce Co-60. For example, a producer in Argentina supplies certain regions in Central and South America and an Indian producer supplies India and certain parts of Southeast Asia. These competitors could potentially increase their global competition capabilities in the future. Nordion also</w:t>
      </w:r>
    </w:p>
    <w:p>
      <w:pPr>
        <w:sectPr>
          <w:pgSz w:w="11880" w:h="15480" w:orient="portrait"/>
          <w:cols w:equalWidth="0" w:num="1">
            <w:col w:w="10000"/>
          </w:cols>
          <w:pgMar w:left="920" w:top="534" w:right="9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00"/>
          </w:cols>
          <w:pgMar w:left="920" w:top="534" w:right="960" w:bottom="0" w:gutter="0" w:footer="0" w:header="0"/>
          <w:type w:val="continuous"/>
        </w:sectPr>
      </w:pPr>
    </w:p>
    <w:bookmarkStart w:id="19" w:name="page20"/>
    <w:bookmarkEnd w:id="19"/>
    <w:p>
      <w:pPr>
        <w:ind w:right="140"/>
        <w:spacing w:after="0" w:line="271" w:lineRule="auto"/>
        <w:rPr>
          <w:sz w:val="20"/>
          <w:szCs w:val="20"/>
          <w:color w:val="auto"/>
        </w:rPr>
      </w:pPr>
      <w:r>
        <w:rPr>
          <w:rFonts w:ascii="Arial" w:cs="Arial" w:eastAsia="Arial" w:hAnsi="Arial"/>
          <w:sz w:val="20"/>
          <w:szCs w:val="20"/>
          <w:color w:val="auto"/>
        </w:rPr>
        <w:t>competes indirectly with other developing modalities of sterilization, such as X-ray technology, that use electricity to generate radiation and therefore do not require Co-60 sources.</w:t>
      </w:r>
    </w:p>
    <w:p>
      <w:pPr>
        <w:spacing w:after="0" w:line="186"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Nordion’s main competitors in the HSA Co-60 industry include suppliers in China, Sweden and North America that have the capability to produce medical Co-60.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 Facilities</w:t>
      </w:r>
    </w:p>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Nordion’s operations are supported by a facility in Kanata, Canada dedicated to processing and shipping cobalt, and a European distribution facility in Milton, United Kingdom.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Lab Testing and Advisory Services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w:t>
      </w:r>
    </w:p>
    <w:p>
      <w:pPr>
        <w:spacing w:after="0" w:line="248"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Lab testing and advisory services are necessary across the medical device and pharmaceutical product lifecycles to evaluate and ensure the safety and effectiveness of healthcare products. We are a global leader in outsourced microbiological and analytical chemistry testing services for the medical device and pharmaceutical industries. In addition to our testing services, our customers often call upon our experts for technical assistance, regulatory consulting and our advisory services. We go to market leveraging our global footprint and an extensive range of services under our Nelson Labs brand.</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We have established ourselves as a critical partner for our customers through our delivery of high-quality services, quick testing turnaround times, responsiveness, high-touch support and easy accessibility to our science and service teams. We have an industry-leading brand recognized for the quality and comprehensiveness of our services,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200" w:lineRule="exact"/>
        <w:rPr>
          <w:sz w:val="20"/>
          <w:szCs w:val="20"/>
          <w:color w:val="auto"/>
        </w:rPr>
      </w:pPr>
    </w:p>
    <w:p>
      <w:pPr>
        <w:spacing w:after="0" w:line="210" w:lineRule="exact"/>
        <w:rPr>
          <w:sz w:val="20"/>
          <w:szCs w:val="20"/>
          <w:color w:val="auto"/>
        </w:rPr>
      </w:pPr>
    </w:p>
    <w:p>
      <w:pPr>
        <w:ind w:right="220"/>
        <w:spacing w:after="0" w:line="278" w:lineRule="auto"/>
        <w:rPr>
          <w:sz w:val="20"/>
          <w:szCs w:val="20"/>
          <w:color w:val="auto"/>
        </w:rPr>
      </w:pPr>
      <w:r>
        <w:rPr>
          <w:rFonts w:ascii="Arial" w:cs="Arial" w:eastAsia="Arial" w:hAnsi="Arial"/>
          <w:sz w:val="19"/>
          <w:szCs w:val="19"/>
          <w:color w:val="auto"/>
        </w:rPr>
        <w:t>Our microbiology and analytical chemistry services include over 900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182" w:lineRule="exact"/>
        <w:rPr>
          <w:sz w:val="20"/>
          <w:szCs w:val="20"/>
          <w:color w:val="auto"/>
        </w:rPr>
      </w:pPr>
    </w:p>
    <w:p>
      <w:pPr>
        <w:jc w:val="both"/>
        <w:ind w:left="700" w:right="620" w:hanging="355"/>
        <w:spacing w:after="0" w:line="278" w:lineRule="auto"/>
        <w:tabs>
          <w:tab w:leader="none" w:pos="70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Product Development and Validation</w:t>
      </w:r>
      <w:r>
        <w:rPr>
          <w:rFonts w:ascii="Arial" w:cs="Arial" w:eastAsia="Arial" w:hAnsi="Arial"/>
          <w:sz w:val="19"/>
          <w:szCs w:val="19"/>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Courier New" w:cs="Courier New" w:eastAsia="Courier New" w:hAnsi="Courier New"/>
                <w:sz w:val="20"/>
                <w:szCs w:val="20"/>
                <w:color w:val="auto"/>
              </w:rPr>
              <w:t>◦</w:t>
            </w:r>
          </w:p>
        </w:tc>
        <w:tc>
          <w:tcPr>
            <w:tcW w:w="3280" w:type="dxa"/>
            <w:vAlign w:val="bottom"/>
          </w:tcPr>
          <w:p>
            <w:pPr>
              <w:ind w:left="120"/>
              <w:spacing w:after="0"/>
              <w:rPr>
                <w:sz w:val="20"/>
                <w:szCs w:val="20"/>
                <w:color w:val="auto"/>
              </w:rPr>
            </w:pPr>
            <w:r>
              <w:rPr>
                <w:rFonts w:ascii="Arial" w:cs="Arial" w:eastAsia="Arial" w:hAnsi="Arial"/>
                <w:sz w:val="20"/>
                <w:szCs w:val="20"/>
                <w:b w:val="1"/>
                <w:bCs w:val="1"/>
                <w:color w:val="auto"/>
              </w:rPr>
              <w:t> </w:t>
            </w:r>
            <w:r>
              <w:rPr>
                <w:rFonts w:ascii="Arial" w:cs="Arial" w:eastAsia="Arial" w:hAnsi="Arial"/>
                <w:sz w:val="20"/>
                <w:szCs w:val="20"/>
                <w:color w:val="auto"/>
              </w:rPr>
              <w:t>Product design</w:t>
            </w:r>
          </w:p>
        </w:tc>
        <w:tc>
          <w:tcPr>
            <w:tcW w:w="5600" w:type="dxa"/>
            <w:vAlign w:val="bottom"/>
            <w:gridSpan w:val="2"/>
          </w:tcPr>
          <w:p>
            <w:pPr>
              <w:ind w:left="380"/>
              <w:spacing w:after="0"/>
              <w:rPr>
                <w:sz w:val="20"/>
                <w:szCs w:val="20"/>
                <w:color w:val="auto"/>
              </w:rPr>
            </w:pPr>
            <w:r>
              <w:rPr>
                <w:rFonts w:ascii="Courier New" w:cs="Courier New" w:eastAsia="Courier New" w:hAnsi="Courier New"/>
                <w:sz w:val="20"/>
                <w:szCs w:val="20"/>
                <w:color w:val="auto"/>
                <w:w w:val="95"/>
              </w:rPr>
              <w:t xml:space="preserve">◦  </w:t>
            </w:r>
            <w:r>
              <w:rPr>
                <w:rFonts w:ascii="Arial" w:cs="Arial" w:eastAsia="Arial" w:hAnsi="Arial"/>
                <w:sz w:val="20"/>
                <w:szCs w:val="20"/>
                <w:color w:val="auto"/>
                <w:w w:val="95"/>
              </w:rPr>
              <w:t>Cleaning and disinfection validation (for reusable devices)</w:t>
            </w:r>
          </w:p>
        </w:tc>
      </w:tr>
      <w:tr>
        <w:trPr>
          <w:trHeight w:val="235"/>
        </w:trPr>
        <w:tc>
          <w:tcPr>
            <w:tcW w:w="240" w:type="dxa"/>
            <w:vAlign w:val="bottom"/>
          </w:tcPr>
          <w:p>
            <w:pPr>
              <w:spacing w:after="0"/>
              <w:rPr>
                <w:sz w:val="20"/>
                <w:szCs w:val="20"/>
                <w:color w:val="auto"/>
              </w:rPr>
            </w:pPr>
            <w:r>
              <w:rPr>
                <w:rFonts w:ascii="Courier New" w:cs="Courier New" w:eastAsia="Courier New" w:hAnsi="Courier New"/>
                <w:sz w:val="20"/>
                <w:szCs w:val="20"/>
                <w:color w:val="auto"/>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Material selection</w:t>
            </w:r>
          </w:p>
        </w:tc>
        <w:tc>
          <w:tcPr>
            <w:tcW w:w="620" w:type="dxa"/>
            <w:vAlign w:val="bottom"/>
          </w:tcPr>
          <w:p>
            <w:pPr>
              <w:ind w:left="380"/>
              <w:spacing w:after="0"/>
              <w:rPr>
                <w:sz w:val="20"/>
                <w:szCs w:val="20"/>
                <w:color w:val="auto"/>
              </w:rPr>
            </w:pPr>
            <w:r>
              <w:rPr>
                <w:rFonts w:ascii="Courier New" w:cs="Courier New" w:eastAsia="Courier New" w:hAnsi="Courier New"/>
                <w:sz w:val="20"/>
                <w:szCs w:val="20"/>
                <w:color w:val="auto"/>
              </w:rPr>
              <w:t>◦</w:t>
            </w:r>
          </w:p>
        </w:tc>
        <w:tc>
          <w:tcPr>
            <w:tcW w:w="4980" w:type="dxa"/>
            <w:vAlign w:val="bottom"/>
          </w:tcPr>
          <w:p>
            <w:pPr>
              <w:ind w:left="120"/>
              <w:spacing w:after="0"/>
              <w:rPr>
                <w:sz w:val="20"/>
                <w:szCs w:val="20"/>
                <w:color w:val="auto"/>
              </w:rPr>
            </w:pPr>
            <w:r>
              <w:rPr>
                <w:rFonts w:ascii="Arial" w:cs="Arial" w:eastAsia="Arial" w:hAnsi="Arial"/>
                <w:sz w:val="20"/>
                <w:szCs w:val="20"/>
                <w:color w:val="auto"/>
              </w:rPr>
              <w:t>Package barrier properties</w:t>
            </w:r>
          </w:p>
        </w:tc>
      </w:tr>
      <w:tr>
        <w:trPr>
          <w:trHeight w:val="235"/>
        </w:trPr>
        <w:tc>
          <w:tcPr>
            <w:tcW w:w="240" w:type="dxa"/>
            <w:vAlign w:val="bottom"/>
          </w:tcPr>
          <w:p>
            <w:pPr>
              <w:spacing w:after="0"/>
              <w:rPr>
                <w:sz w:val="20"/>
                <w:szCs w:val="20"/>
                <w:color w:val="auto"/>
              </w:rPr>
            </w:pPr>
            <w:r>
              <w:rPr>
                <w:rFonts w:ascii="Courier New" w:cs="Courier New" w:eastAsia="Courier New" w:hAnsi="Courier New"/>
                <w:sz w:val="20"/>
                <w:szCs w:val="20"/>
                <w:color w:val="auto"/>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Biological safety evaluation</w:t>
            </w:r>
          </w:p>
        </w:tc>
        <w:tc>
          <w:tcPr>
            <w:tcW w:w="620" w:type="dxa"/>
            <w:vAlign w:val="bottom"/>
          </w:tcPr>
          <w:p>
            <w:pPr>
              <w:ind w:left="380"/>
              <w:spacing w:after="0"/>
              <w:rPr>
                <w:sz w:val="20"/>
                <w:szCs w:val="20"/>
                <w:color w:val="auto"/>
              </w:rPr>
            </w:pPr>
            <w:r>
              <w:rPr>
                <w:rFonts w:ascii="Courier New" w:cs="Courier New" w:eastAsia="Courier New" w:hAnsi="Courier New"/>
                <w:sz w:val="20"/>
                <w:szCs w:val="20"/>
                <w:color w:val="auto"/>
              </w:rPr>
              <w:t>◦</w:t>
            </w:r>
          </w:p>
        </w:tc>
        <w:tc>
          <w:tcPr>
            <w:tcW w:w="4980" w:type="dxa"/>
            <w:vAlign w:val="bottom"/>
          </w:tcPr>
          <w:p>
            <w:pPr>
              <w:ind w:left="120"/>
              <w:spacing w:after="0"/>
              <w:rPr>
                <w:sz w:val="20"/>
                <w:szCs w:val="20"/>
                <w:color w:val="auto"/>
              </w:rPr>
            </w:pPr>
            <w:r>
              <w:rPr>
                <w:rFonts w:ascii="Arial" w:cs="Arial" w:eastAsia="Arial" w:hAnsi="Arial"/>
                <w:sz w:val="20"/>
                <w:szCs w:val="20"/>
                <w:color w:val="auto"/>
              </w:rPr>
              <w:t>Distribution simulation</w:t>
            </w:r>
          </w:p>
        </w:tc>
      </w:tr>
      <w:tr>
        <w:trPr>
          <w:trHeight w:val="235"/>
        </w:trPr>
        <w:tc>
          <w:tcPr>
            <w:tcW w:w="240" w:type="dxa"/>
            <w:vAlign w:val="bottom"/>
          </w:tcPr>
          <w:p>
            <w:pPr>
              <w:spacing w:after="0"/>
              <w:rPr>
                <w:sz w:val="20"/>
                <w:szCs w:val="20"/>
                <w:color w:val="auto"/>
              </w:rPr>
            </w:pPr>
            <w:r>
              <w:rPr>
                <w:rFonts w:ascii="Courier New" w:cs="Courier New" w:eastAsia="Courier New" w:hAnsi="Courier New"/>
                <w:sz w:val="20"/>
                <w:szCs w:val="20"/>
                <w:color w:val="auto"/>
              </w:rPr>
              <w:t>◦</w:t>
            </w:r>
          </w:p>
        </w:tc>
        <w:tc>
          <w:tcPr>
            <w:tcW w:w="3280" w:type="dxa"/>
            <w:vAlign w:val="bottom"/>
          </w:tcPr>
          <w:p>
            <w:pPr>
              <w:ind w:left="120"/>
              <w:spacing w:after="0"/>
              <w:rPr>
                <w:sz w:val="20"/>
                <w:szCs w:val="20"/>
                <w:color w:val="auto"/>
              </w:rPr>
            </w:pPr>
            <w:r>
              <w:rPr>
                <w:rFonts w:ascii="Arial" w:cs="Arial" w:eastAsia="Arial" w:hAnsi="Arial"/>
                <w:sz w:val="20"/>
                <w:szCs w:val="20"/>
                <w:color w:val="auto"/>
              </w:rPr>
              <w:t>Toxicological risk assessment</w:t>
            </w:r>
          </w:p>
        </w:tc>
        <w:tc>
          <w:tcPr>
            <w:tcW w:w="5600" w:type="dxa"/>
            <w:vAlign w:val="bottom"/>
            <w:gridSpan w:val="2"/>
          </w:tcPr>
          <w:p>
            <w:pPr>
              <w:ind w:left="380"/>
              <w:spacing w:after="0" w:line="235" w:lineRule="exact"/>
              <w:rPr>
                <w:sz w:val="20"/>
                <w:szCs w:val="20"/>
                <w:color w:val="auto"/>
              </w:rPr>
            </w:pPr>
            <w:r>
              <w:rPr>
                <w:rFonts w:ascii="Courier New" w:cs="Courier New" w:eastAsia="Courier New" w:hAnsi="Courier New"/>
                <w:sz w:val="20"/>
                <w:szCs w:val="20"/>
                <w:color w:val="auto"/>
              </w:rPr>
              <w:t xml:space="preserve">◦  </w:t>
            </w:r>
            <w:r>
              <w:rPr>
                <w:rFonts w:ascii="Arial" w:cs="Arial" w:eastAsia="Arial" w:hAnsi="Arial"/>
                <w:sz w:val="20"/>
                <w:szCs w:val="20"/>
                <w:color w:val="auto"/>
              </w:rPr>
              <w:t>Filtration efficiency and physical functionality of PPE</w:t>
            </w:r>
          </w:p>
        </w:tc>
      </w:tr>
      <w:tr>
        <w:trPr>
          <w:trHeight w:val="238"/>
        </w:trPr>
        <w:tc>
          <w:tcPr>
            <w:tcW w:w="3520" w:type="dxa"/>
            <w:vAlign w:val="bottom"/>
            <w:gridSpan w:val="2"/>
          </w:tcPr>
          <w:p>
            <w:pPr>
              <w:spacing w:after="0" w:line="238" w:lineRule="exact"/>
              <w:rPr>
                <w:sz w:val="20"/>
                <w:szCs w:val="20"/>
                <w:color w:val="auto"/>
              </w:rPr>
            </w:pPr>
            <w:r>
              <w:rPr>
                <w:rFonts w:ascii="Courier New" w:cs="Courier New" w:eastAsia="Courier New" w:hAnsi="Courier New"/>
                <w:sz w:val="20"/>
                <w:szCs w:val="20"/>
                <w:color w:val="auto"/>
              </w:rPr>
              <w:t xml:space="preserve">◦  </w:t>
            </w:r>
            <w:r>
              <w:rPr>
                <w:rFonts w:ascii="Arial" w:cs="Arial" w:eastAsia="Arial" w:hAnsi="Arial"/>
                <w:sz w:val="20"/>
                <w:szCs w:val="20"/>
                <w:color w:val="auto"/>
              </w:rPr>
              <w:t>Sterilization modality selection and</w:t>
            </w:r>
          </w:p>
        </w:tc>
        <w:tc>
          <w:tcPr>
            <w:tcW w:w="6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20"/>
                <w:szCs w:val="20"/>
                <w:color w:val="auto"/>
                <w:w w:val="87"/>
              </w:rPr>
              <w:t>(including surgical facemasks, N95 respirators, gowns, drapes</w:t>
            </w:r>
          </w:p>
        </w:tc>
      </w:tr>
      <w:tr>
        <w:trPr>
          <w:trHeight w:val="255"/>
        </w:trPr>
        <w:tc>
          <w:tcPr>
            <w:tcW w:w="240" w:type="dxa"/>
            <w:vAlign w:val="bottom"/>
          </w:tcPr>
          <w:p>
            <w:pPr>
              <w:spacing w:after="0"/>
              <w:rPr>
                <w:sz w:val="22"/>
                <w:szCs w:val="22"/>
                <w:color w:val="auto"/>
              </w:rPr>
            </w:pPr>
          </w:p>
        </w:tc>
        <w:tc>
          <w:tcPr>
            <w:tcW w:w="3280" w:type="dxa"/>
            <w:vAlign w:val="bottom"/>
          </w:tcPr>
          <w:p>
            <w:pPr>
              <w:ind w:left="120"/>
              <w:spacing w:after="0"/>
              <w:rPr>
                <w:sz w:val="20"/>
                <w:szCs w:val="20"/>
                <w:color w:val="auto"/>
              </w:rPr>
            </w:pPr>
            <w:r>
              <w:rPr>
                <w:rFonts w:ascii="Arial" w:cs="Arial" w:eastAsia="Arial" w:hAnsi="Arial"/>
                <w:sz w:val="20"/>
                <w:szCs w:val="20"/>
                <w:color w:val="auto"/>
              </w:rPr>
              <w:t>sterilization validation</w:t>
            </w:r>
          </w:p>
        </w:tc>
        <w:tc>
          <w:tcPr>
            <w:tcW w:w="620" w:type="dxa"/>
            <w:vAlign w:val="bottom"/>
          </w:tcPr>
          <w:p>
            <w:pPr>
              <w:spacing w:after="0"/>
              <w:rPr>
                <w:sz w:val="22"/>
                <w:szCs w:val="22"/>
                <w:color w:val="auto"/>
              </w:rPr>
            </w:pPr>
          </w:p>
        </w:tc>
        <w:tc>
          <w:tcPr>
            <w:tcW w:w="4980" w:type="dxa"/>
            <w:vAlign w:val="bottom"/>
          </w:tcPr>
          <w:p>
            <w:pPr>
              <w:ind w:left="120"/>
              <w:spacing w:after="0"/>
              <w:rPr>
                <w:sz w:val="20"/>
                <w:szCs w:val="20"/>
                <w:color w:val="auto"/>
              </w:rPr>
            </w:pPr>
            <w:r>
              <w:rPr>
                <w:rFonts w:ascii="Arial" w:cs="Arial" w:eastAsia="Arial" w:hAnsi="Arial"/>
                <w:sz w:val="20"/>
                <w:szCs w:val="20"/>
                <w:color w:val="auto"/>
              </w:rPr>
              <w:t>and other PPE)</w:t>
            </w:r>
          </w:p>
        </w:tc>
      </w:tr>
    </w:tbl>
    <w:p>
      <w:pPr>
        <w:spacing w:after="0" w:line="208" w:lineRule="exact"/>
        <w:rPr>
          <w:sz w:val="20"/>
          <w:szCs w:val="20"/>
          <w:color w:val="auto"/>
        </w:rPr>
      </w:pPr>
    </w:p>
    <w:p>
      <w:pPr>
        <w:ind w:left="700" w:right="20"/>
        <w:spacing w:after="0" w:line="258" w:lineRule="auto"/>
        <w:rPr>
          <w:sz w:val="20"/>
          <w:szCs w:val="20"/>
          <w:color w:val="auto"/>
        </w:rPr>
      </w:pPr>
      <w:r>
        <w:rPr>
          <w:rFonts w:ascii="Arial" w:cs="Arial" w:eastAsia="Arial" w:hAnsi="Arial"/>
          <w:sz w:val="20"/>
          <w:szCs w:val="20"/>
          <w:color w:val="auto"/>
        </w:rPr>
        <w:t>We provide sterilization modality selection and sterilization validation services for a variety of sterilization modalities, including the three major modalities offered by Sterigenics—gamma irradiation, EO processing and E-beam— allowing us to serve our customers in multiple areas.</w:t>
      </w:r>
    </w:p>
    <w:p>
      <w:pPr>
        <w:sectPr>
          <w:pgSz w:w="11880" w:h="15480" w:orient="portrait"/>
          <w:cols w:equalWidth="0" w:num="1">
            <w:col w:w="10020"/>
          </w:cols>
          <w:pgMar w:left="920" w:top="53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20"/>
          </w:cols>
          <w:pgMar w:left="920" w:top="534" w:right="940" w:bottom="0" w:gutter="0" w:footer="0" w:header="0"/>
          <w:type w:val="continuous"/>
        </w:sectPr>
      </w:pPr>
    </w:p>
    <w:bookmarkStart w:id="20" w:name="page21"/>
    <w:bookmarkEnd w:id="20"/>
    <w:p>
      <w:pPr>
        <w:ind w:left="700" w:right="60" w:hanging="355"/>
        <w:spacing w:after="0" w:line="325"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Expert Advisory</w:t>
      </w:r>
      <w:r>
        <w:rPr>
          <w:rFonts w:ascii="Arial" w:cs="Arial" w:eastAsia="Arial" w:hAnsi="Arial"/>
          <w:sz w:val="17"/>
          <w:szCs w:val="17"/>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235"/>
        </w:trPr>
        <w:tc>
          <w:tcPr>
            <w:tcW w:w="240" w:type="dxa"/>
            <w:vAlign w:val="bottom"/>
          </w:tcPr>
          <w:p>
            <w:pPr>
              <w:spacing w:after="0"/>
              <w:rPr>
                <w:sz w:val="20"/>
                <w:szCs w:val="20"/>
                <w:color w:val="auto"/>
              </w:rPr>
            </w:pPr>
            <w:r>
              <w:rPr>
                <w:rFonts w:ascii="Courier New" w:cs="Courier New" w:eastAsia="Courier New" w:hAnsi="Courier New"/>
                <w:sz w:val="20"/>
                <w:szCs w:val="20"/>
                <w:color w:val="auto"/>
              </w:rPr>
              <w:t>◦</w:t>
            </w:r>
          </w:p>
        </w:tc>
        <w:tc>
          <w:tcPr>
            <w:tcW w:w="3180" w:type="dxa"/>
            <w:vAlign w:val="bottom"/>
          </w:tcPr>
          <w:p>
            <w:pPr>
              <w:ind w:left="120"/>
              <w:spacing w:after="0"/>
              <w:rPr>
                <w:sz w:val="20"/>
                <w:szCs w:val="20"/>
                <w:color w:val="auto"/>
              </w:rPr>
            </w:pPr>
            <w:r>
              <w:rPr>
                <w:rFonts w:ascii="Arial" w:cs="Arial" w:eastAsia="Arial" w:hAnsi="Arial"/>
                <w:sz w:val="20"/>
                <w:szCs w:val="20"/>
                <w:b w:val="1"/>
                <w:bCs w:val="1"/>
                <w:color w:val="auto"/>
              </w:rPr>
              <w:t> </w:t>
            </w:r>
            <w:r>
              <w:rPr>
                <w:rFonts w:ascii="Arial" w:cs="Arial" w:eastAsia="Arial" w:hAnsi="Arial"/>
                <w:sz w:val="20"/>
                <w:szCs w:val="20"/>
                <w:color w:val="auto"/>
              </w:rPr>
              <w:t>Study design</w:t>
            </w:r>
          </w:p>
        </w:tc>
        <w:tc>
          <w:tcPr>
            <w:tcW w:w="700" w:type="dxa"/>
            <w:vAlign w:val="bottom"/>
          </w:tcPr>
          <w:p>
            <w:pPr>
              <w:ind w:left="480"/>
              <w:spacing w:after="0"/>
              <w:rPr>
                <w:sz w:val="20"/>
                <w:szCs w:val="20"/>
                <w:color w:val="auto"/>
              </w:rPr>
            </w:pPr>
            <w:r>
              <w:rPr>
                <w:rFonts w:ascii="Courier New" w:cs="Courier New" w:eastAsia="Courier New" w:hAnsi="Courier New"/>
                <w:sz w:val="20"/>
                <w:szCs w:val="20"/>
                <w:color w:val="auto"/>
              </w:rPr>
              <w:t>◦</w:t>
            </w:r>
          </w:p>
        </w:tc>
        <w:tc>
          <w:tcPr>
            <w:tcW w:w="4940" w:type="dxa"/>
            <w:vAlign w:val="bottom"/>
          </w:tcPr>
          <w:p>
            <w:pPr>
              <w:ind w:left="120"/>
              <w:spacing w:after="0"/>
              <w:rPr>
                <w:sz w:val="20"/>
                <w:szCs w:val="20"/>
                <w:color w:val="auto"/>
              </w:rPr>
            </w:pPr>
            <w:r>
              <w:rPr>
                <w:rFonts w:ascii="Arial" w:cs="Arial" w:eastAsia="Arial" w:hAnsi="Arial"/>
                <w:sz w:val="20"/>
                <w:szCs w:val="20"/>
                <w:color w:val="auto"/>
                <w:w w:val="97"/>
              </w:rPr>
              <w:t>Technical troubleshooting and scientific problem solving</w:t>
            </w:r>
          </w:p>
        </w:tc>
      </w:tr>
      <w:tr>
        <w:trPr>
          <w:trHeight w:val="250"/>
        </w:trPr>
        <w:tc>
          <w:tcPr>
            <w:tcW w:w="240" w:type="dxa"/>
            <w:vAlign w:val="bottom"/>
          </w:tcPr>
          <w:p>
            <w:pPr>
              <w:spacing w:after="0"/>
              <w:rPr>
                <w:sz w:val="20"/>
                <w:szCs w:val="20"/>
                <w:color w:val="auto"/>
              </w:rPr>
            </w:pPr>
            <w:r>
              <w:rPr>
                <w:rFonts w:ascii="Courier New" w:cs="Courier New" w:eastAsia="Courier New" w:hAnsi="Courier New"/>
                <w:sz w:val="20"/>
                <w:szCs w:val="20"/>
                <w:color w:val="auto"/>
              </w:rPr>
              <w:t>◦</w:t>
            </w:r>
          </w:p>
        </w:tc>
        <w:tc>
          <w:tcPr>
            <w:tcW w:w="3180" w:type="dxa"/>
            <w:vAlign w:val="bottom"/>
          </w:tcPr>
          <w:p>
            <w:pPr>
              <w:ind w:left="120"/>
              <w:spacing w:after="0"/>
              <w:rPr>
                <w:sz w:val="20"/>
                <w:szCs w:val="20"/>
                <w:color w:val="auto"/>
              </w:rPr>
            </w:pPr>
            <w:r>
              <w:rPr>
                <w:rFonts w:ascii="Arial" w:cs="Arial" w:eastAsia="Arial" w:hAnsi="Arial"/>
                <w:sz w:val="20"/>
                <w:szCs w:val="20"/>
                <w:b w:val="1"/>
                <w:bCs w:val="1"/>
                <w:color w:val="auto"/>
              </w:rPr>
              <w:t> </w:t>
            </w:r>
            <w:r>
              <w:rPr>
                <w:rFonts w:ascii="Arial" w:cs="Arial" w:eastAsia="Arial" w:hAnsi="Arial"/>
                <w:sz w:val="20"/>
                <w:szCs w:val="20"/>
                <w:color w:val="auto"/>
              </w:rPr>
              <w:t>Development and justification of</w:t>
            </w:r>
          </w:p>
        </w:tc>
        <w:tc>
          <w:tcPr>
            <w:tcW w:w="700" w:type="dxa"/>
            <w:vAlign w:val="bottom"/>
          </w:tcPr>
          <w:p>
            <w:pPr>
              <w:ind w:left="480"/>
              <w:spacing w:after="0"/>
              <w:rPr>
                <w:sz w:val="20"/>
                <w:szCs w:val="20"/>
                <w:color w:val="auto"/>
              </w:rPr>
            </w:pPr>
            <w:r>
              <w:rPr>
                <w:rFonts w:ascii="Courier New" w:cs="Courier New" w:eastAsia="Courier New" w:hAnsi="Courier New"/>
                <w:sz w:val="20"/>
                <w:szCs w:val="20"/>
                <w:color w:val="auto"/>
              </w:rPr>
              <w:t>◦</w:t>
            </w:r>
          </w:p>
        </w:tc>
        <w:tc>
          <w:tcPr>
            <w:tcW w:w="4940" w:type="dxa"/>
            <w:vAlign w:val="bottom"/>
          </w:tcPr>
          <w:p>
            <w:pPr>
              <w:ind w:left="120"/>
              <w:spacing w:after="0"/>
              <w:rPr>
                <w:sz w:val="20"/>
                <w:szCs w:val="20"/>
                <w:color w:val="auto"/>
              </w:rPr>
            </w:pPr>
            <w:r>
              <w:rPr>
                <w:rFonts w:ascii="Arial" w:cs="Arial" w:eastAsia="Arial" w:hAnsi="Arial"/>
                <w:sz w:val="20"/>
                <w:szCs w:val="20"/>
                <w:b w:val="1"/>
                <w:bCs w:val="1"/>
                <w:color w:val="auto"/>
                <w:w w:val="88"/>
              </w:rPr>
              <w:t> </w:t>
            </w:r>
            <w:r>
              <w:rPr>
                <w:rFonts w:ascii="Arial" w:cs="Arial" w:eastAsia="Arial" w:hAnsi="Arial"/>
                <w:sz w:val="20"/>
                <w:szCs w:val="20"/>
                <w:color w:val="auto"/>
                <w:w w:val="88"/>
              </w:rPr>
              <w:t>Regulatory compliance related services, including supporting</w:t>
            </w:r>
          </w:p>
        </w:tc>
      </w:tr>
      <w:tr>
        <w:trPr>
          <w:trHeight w:val="240"/>
        </w:trPr>
        <w:tc>
          <w:tcPr>
            <w:tcW w:w="240" w:type="dxa"/>
            <w:vAlign w:val="bottom"/>
          </w:tcPr>
          <w:p>
            <w:pPr>
              <w:spacing w:after="0"/>
              <w:rPr>
                <w:sz w:val="20"/>
                <w:szCs w:val="20"/>
                <w:color w:val="auto"/>
              </w:rPr>
            </w:pPr>
          </w:p>
        </w:tc>
        <w:tc>
          <w:tcPr>
            <w:tcW w:w="3180" w:type="dxa"/>
            <w:vAlign w:val="bottom"/>
          </w:tcPr>
          <w:p>
            <w:pPr>
              <w:ind w:left="120"/>
              <w:spacing w:after="0"/>
              <w:rPr>
                <w:sz w:val="20"/>
                <w:szCs w:val="20"/>
                <w:color w:val="auto"/>
              </w:rPr>
            </w:pPr>
            <w:r>
              <w:rPr>
                <w:rFonts w:ascii="Arial" w:cs="Arial" w:eastAsia="Arial" w:hAnsi="Arial"/>
                <w:sz w:val="20"/>
                <w:szCs w:val="20"/>
                <w:color w:val="auto"/>
              </w:rPr>
              <w:t>acceptance criteria</w:t>
            </w:r>
          </w:p>
        </w:tc>
        <w:tc>
          <w:tcPr>
            <w:tcW w:w="700" w:type="dxa"/>
            <w:vAlign w:val="bottom"/>
          </w:tcPr>
          <w:p>
            <w:pPr>
              <w:spacing w:after="0"/>
              <w:rPr>
                <w:sz w:val="20"/>
                <w:szCs w:val="20"/>
                <w:color w:val="auto"/>
              </w:rPr>
            </w:pPr>
          </w:p>
        </w:tc>
        <w:tc>
          <w:tcPr>
            <w:tcW w:w="4940" w:type="dxa"/>
            <w:vAlign w:val="bottom"/>
          </w:tcPr>
          <w:p>
            <w:pPr>
              <w:ind w:left="120"/>
              <w:spacing w:after="0"/>
              <w:rPr>
                <w:sz w:val="20"/>
                <w:szCs w:val="20"/>
                <w:color w:val="auto"/>
              </w:rPr>
            </w:pPr>
            <w:r>
              <w:rPr>
                <w:rFonts w:ascii="Arial" w:cs="Arial" w:eastAsia="Arial" w:hAnsi="Arial"/>
                <w:sz w:val="20"/>
                <w:szCs w:val="20"/>
                <w:color w:val="auto"/>
              </w:rPr>
              <w:t>clients through the regulatory submission process</w:t>
            </w:r>
          </w:p>
        </w:tc>
      </w:tr>
    </w:tbl>
    <w:p>
      <w:pPr>
        <w:ind w:left="1000" w:hanging="361"/>
        <w:spacing w:after="0"/>
        <w:tabs>
          <w:tab w:leader="none" w:pos="1000" w:val="left"/>
        </w:tabs>
        <w:numPr>
          <w:ilvl w:val="0"/>
          <w:numId w:val="13"/>
        </w:numPr>
        <w:rPr>
          <w:rFonts w:ascii="Courier New" w:cs="Courier New" w:eastAsia="Courier New" w:hAnsi="Courier New"/>
          <w:sz w:val="20"/>
          <w:szCs w:val="20"/>
          <w:color w:val="auto"/>
        </w:rPr>
      </w:pPr>
      <w:r>
        <w:rPr>
          <w:rFonts w:ascii="Arial" w:cs="Arial" w:eastAsia="Arial" w:hAnsi="Arial"/>
          <w:sz w:val="20"/>
          <w:szCs w:val="20"/>
          <w:b w:val="1"/>
          <w:bCs w:val="1"/>
          <w:color w:val="auto"/>
        </w:rPr>
        <w:t> </w:t>
      </w:r>
      <w:r>
        <w:rPr>
          <w:rFonts w:ascii="Arial" w:cs="Arial" w:eastAsia="Arial" w:hAnsi="Arial"/>
          <w:sz w:val="20"/>
          <w:szCs w:val="20"/>
          <w:color w:val="auto"/>
        </w:rPr>
        <w:t>Onsite facility evaluation and validations</w:t>
      </w:r>
    </w:p>
    <w:p>
      <w:pPr>
        <w:spacing w:after="0" w:line="210" w:lineRule="exact"/>
        <w:rPr>
          <w:sz w:val="20"/>
          <w:szCs w:val="20"/>
          <w:color w:val="auto"/>
        </w:rPr>
      </w:pPr>
    </w:p>
    <w:p>
      <w:pPr>
        <w:ind w:left="700" w:right="60"/>
        <w:spacing w:after="0" w:line="268" w:lineRule="auto"/>
        <w:rPr>
          <w:sz w:val="20"/>
          <w:szCs w:val="20"/>
          <w:color w:val="auto"/>
        </w:rPr>
      </w:pPr>
      <w:r>
        <w:rPr>
          <w:rFonts w:ascii="Arial" w:cs="Arial" w:eastAsia="Arial" w:hAnsi="Arial"/>
          <w:sz w:val="19"/>
          <w:szCs w:val="19"/>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191" w:lineRule="exact"/>
        <w:rPr>
          <w:sz w:val="20"/>
          <w:szCs w:val="20"/>
          <w:color w:val="auto"/>
        </w:rPr>
      </w:pPr>
    </w:p>
    <w:p>
      <w:pPr>
        <w:ind w:left="700" w:right="100" w:hanging="355"/>
        <w:spacing w:after="0" w:line="299"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Routine Sterility and Quality Control Testing</w:t>
      </w:r>
      <w:r>
        <w:rPr>
          <w:rFonts w:ascii="Arial" w:cs="Arial" w:eastAsia="Arial" w:hAnsi="Arial"/>
          <w:sz w:val="17"/>
          <w:szCs w:val="17"/>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Labs also provides testing for producers of non-sterile products to ensure they are free of objectionable organisms. Often, Nelson Labs provides this ongoing routine 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6384925" cy="3755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384925" cy="375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approximately 600 scientists, technicians and service specialists, creating a substantial</w:t>
      </w:r>
    </w:p>
    <w:p>
      <w:pPr>
        <w:sectPr>
          <w:pgSz w:w="11880" w:h="15480" w:orient="portrait"/>
          <w:cols w:equalWidth="0" w:num="1">
            <w:col w:w="10040"/>
          </w:cols>
          <w:pgMar w:left="920" w:top="534" w:right="920" w:bottom="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534" w:right="920" w:bottom="0" w:gutter="0" w:footer="0" w:header="0"/>
          <w:type w:val="continuous"/>
        </w:sectPr>
      </w:pPr>
    </w:p>
    <w:bookmarkStart w:id="21" w:name="page22"/>
    <w:bookmarkEnd w:id="21"/>
    <w:p>
      <w:pPr>
        <w:ind w:right="60"/>
        <w:spacing w:after="0" w:line="297" w:lineRule="auto"/>
        <w:rPr>
          <w:sz w:val="20"/>
          <w:szCs w:val="20"/>
          <w:color w:val="auto"/>
        </w:rPr>
      </w:pPr>
      <w:r>
        <w:rPr>
          <w:rFonts w:ascii="Arial" w:cs="Arial" w:eastAsia="Arial" w:hAnsi="Arial"/>
          <w:sz w:val="17"/>
          <w:szCs w:val="17"/>
          <w:color w:val="auto"/>
        </w:rPr>
        <w:t>competitive advantage in terms of expertise. Our experts serve in predominant roles on a number of standards writing organizations, including the United States Pharmacopeia, AAMI, American Society of Testing and Materials and the ISO. We have established credibility and trust with regulators and standards writing organizations which helps us educate customers about the continually changing testing requirements in a complex and evolving regulatory landscape. Our regulatory and scientific expertise in laboratory testing allows us to serve as a thought leader within the industry and provide high-quality service to our customers. We focus on providing highly differentiated services that our customers can rely upon to ensure compliance of and enhance their products. For example, over the course of 15 years, we have developed a proprietary, world-class compound database with over 8,000 known elements which enables our extractables and leachables testing. This database allows us to provide analytical data that differentiates our capabilities from our competitors.</w:t>
      </w:r>
    </w:p>
    <w:p>
      <w:pPr>
        <w:spacing w:after="0" w:line="175"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Customers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In 2024, Nelson Labs served approximately 3,000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customer service team.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Competition</w:t>
      </w:r>
    </w:p>
    <w:p>
      <w:pPr>
        <w:spacing w:after="0" w:line="24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our reputation with customers and regulators and the cost of services.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Suppliers</w:t>
      </w:r>
    </w:p>
    <w:p>
      <w:pPr>
        <w:spacing w:after="0" w:line="242" w:lineRule="exact"/>
        <w:rPr>
          <w:sz w:val="20"/>
          <w:szCs w:val="20"/>
          <w:color w:val="auto"/>
        </w:rPr>
      </w:pPr>
    </w:p>
    <w:p>
      <w:pPr>
        <w:ind w:right="160"/>
        <w:spacing w:after="0" w:line="278" w:lineRule="auto"/>
        <w:rPr>
          <w:sz w:val="20"/>
          <w:szCs w:val="20"/>
          <w:color w:val="auto"/>
        </w:rPr>
      </w:pPr>
      <w:r>
        <w:rPr>
          <w:rFonts w:ascii="Arial" w:cs="Arial" w:eastAsia="Arial" w:hAnsi="Arial"/>
          <w:sz w:val="19"/>
          <w:szCs w:val="19"/>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 Facilities</w:t>
      </w:r>
    </w:p>
    <w:p>
      <w:pPr>
        <w:spacing w:after="0" w:line="242" w:lineRule="exact"/>
        <w:rPr>
          <w:sz w:val="20"/>
          <w:szCs w:val="20"/>
          <w:color w:val="auto"/>
        </w:rPr>
      </w:pPr>
    </w:p>
    <w:p>
      <w:pPr>
        <w:ind w:right="20"/>
        <w:spacing w:after="0" w:line="361" w:lineRule="auto"/>
        <w:rPr>
          <w:sz w:val="20"/>
          <w:szCs w:val="20"/>
          <w:color w:val="auto"/>
        </w:rPr>
      </w:pPr>
      <w:r>
        <w:rPr>
          <w:rFonts w:ascii="Arial" w:cs="Arial" w:eastAsia="Arial" w:hAnsi="Arial"/>
          <w:sz w:val="17"/>
          <w:szCs w:val="17"/>
          <w:color w:val="auto"/>
        </w:rPr>
        <w:t>We operate from a five-building campus in Salt Lake City, Utah, with 85 laboratories including metrology, training, media prep labs, five ISO Class V certified clean rooms and customizable lab spaces. We also have facilities in Itasca, Illinois; Leuven,</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534" w:right="920" w:bottom="0" w:gutter="0" w:footer="0" w:header="0"/>
          <w:type w:val="continuous"/>
        </w:sectPr>
      </w:pPr>
    </w:p>
    <w:bookmarkStart w:id="22" w:name="page23"/>
    <w:bookmarkEnd w:id="22"/>
    <w:p>
      <w:pPr>
        <w:ind w:right="740"/>
        <w:spacing w:after="0" w:line="271" w:lineRule="auto"/>
        <w:rPr>
          <w:sz w:val="20"/>
          <w:szCs w:val="20"/>
          <w:color w:val="auto"/>
        </w:rPr>
      </w:pPr>
      <w:r>
        <w:rPr>
          <w:rFonts w:ascii="Arial" w:cs="Arial" w:eastAsia="Arial" w:hAnsi="Arial"/>
          <w:sz w:val="20"/>
          <w:szCs w:val="20"/>
          <w:color w:val="auto"/>
        </w:rPr>
        <w:t>Belgium; Pleasant Prairie, Wisconsin; Wiesbaden, Germany, and seven other laboratories embedded in our Sterigenics sterilization facilities in North America, Europe and Asia.</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9"/>
          <w:szCs w:val="19"/>
          <w:color w:val="auto"/>
        </w:rPr>
        <w:t>Our businesses rely on certain proprietary technologies. Most of the proprietary technologies used in our businesses are unpatented. Some of our technologies, including certain processes, methods, algorithms and proprietary databases,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93" w:lineRule="exact"/>
        <w:rPr>
          <w:sz w:val="20"/>
          <w:szCs w:val="20"/>
          <w:color w:val="auto"/>
        </w:rPr>
      </w:pPr>
    </w:p>
    <w:p>
      <w:pPr>
        <w:ind w:right="900"/>
        <w:spacing w:after="0" w:line="361" w:lineRule="auto"/>
        <w:rPr>
          <w:sz w:val="20"/>
          <w:szCs w:val="20"/>
          <w:color w:val="auto"/>
        </w:rPr>
      </w:pPr>
      <w:r>
        <w:rPr>
          <w:rFonts w:ascii="Arial" w:cs="Arial" w:eastAsia="Arial" w:hAnsi="Arial"/>
          <w:sz w:val="17"/>
          <w:szCs w:val="17"/>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48"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auto"/>
        </w:rPr>
        <w:t>One of our values is People. We value a global team that is talented, experienced, inclusive, respectful, passionate and collaborative. Our human capital strategy is aligned with our business strategy and priorities and focuses on developing and delivering global solutions to attract, develop, engage and retain top talent. On an annual basis, we review our employees to assess performance and leadership potential. We also create succession plans and individual development plans to ensure we have the team needed for the future. As of December 31, 2024, we employed over 3,000 employees worldwide. Certain of our employees, primarily outside of the United States, are represented by labor unions or work councils and are negotiating or working under collective bargaining or similar agreements, some of which are subject to periodic renegotiation. One labor union within the U.S., representing approximately 40 employees, is covered under a collective bargaining agreement.</w:t>
      </w:r>
    </w:p>
    <w:p>
      <w:pPr>
        <w:spacing w:after="0" w:line="169"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We are committed to providing a safe work environment for our employees and contractors. We have implemented a health and safety program to manage workplace safety hazards and to protect employees. The program includes periodic reviews of our work practices by external third parties as inputs for continuous improvement. Additionally, as part of our corporate governance practices, we review the outcomes of our safety program at the highest levels of the Company, including our board of directors.</w:t>
      </w:r>
    </w:p>
    <w:p>
      <w:pPr>
        <w:spacing w:after="0" w:line="160"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We are committed to creating a positive employee experience for our teams. We work to achieve this through our focus on the inclusion, well-being and development of all of our team members.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Governmental Regulation and Environmental Matters</w:t>
      </w:r>
    </w:p>
    <w:p>
      <w:pPr>
        <w:spacing w:after="0" w:line="248"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Our Nuclear Substance Processing Facility Operating license, CNSC Export license and CNSC Device servicing licenses for our Kanata facility were renewed in October 2015 for a 10-year period, and Nordion is currently engaged in the renewal process for these licenses set to expire in 2025. In addition to the nuclear aspect of our products, many of the products that we process are medical devices directed for human use or products used in the manufacture of medical devices that are directed for human use. Our facilities hold various ISO certifications including ISO 9002, 9001, 13485, 14001, 45001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200" w:lineRule="exact"/>
        <w:rPr>
          <w:sz w:val="20"/>
          <w:szCs w:val="20"/>
          <w:color w:val="auto"/>
        </w:rPr>
      </w:pP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Additionally, our operations in the United States and the majority of our facilities outside the United States (to the extent we are processing or testing a product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the Occupational Safety and Health Administration (“OSHA”), the U.S. Nuclear Regulatory Commission (“NRC”) and other agencies also require that equipment used at our facilities be designed and operated in a manner that is safe and with proper safety precautions and practices when handling, monitoring and storing EO and Co-60.</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534" w:right="920" w:bottom="0" w:gutter="0" w:footer="0" w:header="0"/>
          <w:type w:val="continuous"/>
        </w:sectPr>
      </w:pPr>
    </w:p>
    <w:bookmarkStart w:id="23" w:name="page24"/>
    <w:bookmarkEnd w:id="23"/>
    <w:p>
      <w:pPr>
        <w:spacing w:after="0" w:line="250" w:lineRule="auto"/>
        <w:rPr>
          <w:sz w:val="20"/>
          <w:szCs w:val="20"/>
          <w:color w:val="auto"/>
        </w:rPr>
      </w:pPr>
      <w:r>
        <w:rPr>
          <w:rFonts w:ascii="Arial" w:cs="Arial" w:eastAsia="Arial" w:hAnsi="Arial"/>
          <w:sz w:val="20"/>
          <w:szCs w:val="20"/>
          <w:color w:val="auto"/>
        </w:rPr>
        <w:t>We strive to comply with these regulatory requirements and could be subject to significant civil and criminal fines and penalties for non-compliance. To reduce the risk of noncompliance, we employ engineering and procedural controls and pollution control equipment and undertake internal and external regulatory compliance audits at our facilities. We have a proactive environmental health and safety (“EH&amp;S”) program and a culture of safety and quality across all business units, and we employ a Senior Vice President of Environmental, Health and Safety who reports directly to the Chief Executive Officer and has a team of approximately 50 employees.</w:t>
      </w:r>
    </w:p>
    <w:p>
      <w:pPr>
        <w:spacing w:after="0" w:line="197" w:lineRule="exact"/>
        <w:rPr>
          <w:sz w:val="20"/>
          <w:szCs w:val="20"/>
          <w:color w:val="auto"/>
        </w:rPr>
      </w:pPr>
    </w:p>
    <w:p>
      <w:pPr>
        <w:ind w:right="60"/>
        <w:spacing w:after="0" w:line="311" w:lineRule="auto"/>
        <w:rPr>
          <w:sz w:val="20"/>
          <w:szCs w:val="20"/>
          <w:color w:val="auto"/>
        </w:rPr>
      </w:pPr>
      <w:r>
        <w:rPr>
          <w:rFonts w:ascii="Arial" w:cs="Arial" w:eastAsia="Arial" w:hAnsi="Arial"/>
          <w:sz w:val="17"/>
          <w:szCs w:val="17"/>
          <w:color w:val="auto"/>
        </w:rPr>
        <w:t xml:space="preserve">For additional information, please see Item 1A, </w:t>
      </w:r>
      <w:r>
        <w:rPr>
          <w:rFonts w:ascii="Arial" w:cs="Arial" w:eastAsia="Arial" w:hAnsi="Arial"/>
          <w:sz w:val="20"/>
          <w:szCs w:val="20"/>
          <w:color w:val="auto"/>
        </w:rPr>
        <w:t>“</w:t>
      </w:r>
      <w:r>
        <w:rPr>
          <w:rFonts w:ascii="Arial" w:cs="Arial" w:eastAsia="Arial" w:hAnsi="Arial"/>
          <w:sz w:val="17"/>
          <w:szCs w:val="17"/>
          <w:color w:val="auto"/>
        </w:rPr>
        <w:t>Risk Factors</w:t>
      </w:r>
      <w:r>
        <w:rPr>
          <w:rFonts w:ascii="Arial" w:cs="Arial" w:eastAsia="Arial" w:hAnsi="Arial"/>
          <w:sz w:val="20"/>
          <w:szCs w:val="20"/>
          <w:color w:val="auto"/>
        </w:rPr>
        <w:t>”</w:t>
      </w:r>
      <w:r>
        <w:rPr>
          <w:rFonts w:ascii="Arial" w:cs="Arial" w:eastAsia="Arial" w:hAnsi="Arial"/>
          <w:sz w:val="17"/>
          <w:szCs w:val="17"/>
          <w:color w:val="auto"/>
        </w:rPr>
        <w:t>—Risks Related to the Company.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EO Regulatory Overview</w:t>
      </w:r>
    </w:p>
    <w:p>
      <w:pPr>
        <w:spacing w:after="0" w:line="248"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color w:val="auto"/>
        </w:rPr>
        <w:t>In addition to general environmental laws and regulations, EO facilities and the EO sterilization process are subject to specific regulatory requirements under federal laws in the United States and the laws of the countries in which we operate, including European Union regulations. These additional regulations include specific requirements for permissible employee exposure limits, process safety programs,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the reduction of bioburden on or sterilization of an approved list of products, including medical devices, pharmaceutical products, spices, and cosmetics is regulated by the U.S. Environmental Protection Agency (“US EPA”) under the Clean Air Act (“CAA”) and the Federal Insecticide, Fungicide and Rodenticide Act (“FIFRA”). In addition, FDA regulations dictate the acceptable amount of EO residue on different types of EO-processed products. Most other countries in which we operate have similar EH&amp;S and worker exposure regulations.</w:t>
      </w:r>
    </w:p>
    <w:p>
      <w:pPr>
        <w:spacing w:after="0" w:line="159"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color w:val="auto"/>
        </w:rPr>
        <w:t>Our EO sterilization facilities evacuate EO from the sterilization chambers and aeration rooms. Most countries in which we operate have varying emission control requirements for EO emissions from our facilities. We are investing in additional controls on EO emissions at our facilities to meet or exceed current and expected future regulatory requirements and further reduce facility emissions. In the United States, our supplier maintains FIFRA registrations for EO as a medical device sterilant for users of EO across the United States. On March 14, 2024, the US EPA announced final rules under the National Emission Standards for Hazardous Air Pollutants (“NESHAP”) to govern EO sterilization facilities in the United States. The final regulation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continuous emissions monitoring systems (“CEMS”). Our operations are required to comply with the final NESHAP EO sterilizer regulation by April 6, 2026 and to conduct a compliance test and demonstrate compliance within 180 days after that date.</w:t>
      </w:r>
    </w:p>
    <w:p>
      <w:pPr>
        <w:spacing w:after="0" w:line="253"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color w:val="auto"/>
        </w:rPr>
        <w:t>In January 2025, the US EPA announced its final Interim Decision (“ID”) under FIFRA relating to the registration of EO for medical device sterilization. 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spacing w:after="0" w:line="213"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Additional regulatory requirements and obligations exist in certain other states, including requirements for the provision of notices regarding the release of or exposure to EO. Some states are considering changes that would impose new requirements for EO commercial sterilization facilities. For example, in December 2023, regulators in California imposed a number of new requirements with which our EO sterilization facilities will need to comply. Bills have been introduced in the U.S. Congress to further regulate EO sterilization activity.</w:t>
      </w:r>
    </w:p>
    <w:p>
      <w:pPr>
        <w:spacing w:after="0" w:line="256"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color w:val="auto"/>
        </w:rPr>
        <w:t>Each of our EO sterilization facilities utilizes a variety of control technologies (including wet scrubbers, catalytic oxidizers and dry bed scrubbers) to control emissions, and we are investing in additional control features to further reduce emissions. For 2025, we expect capital expenditures of approximately $46 million related to environmental facility enhancements across all facilities within our business, and we anticipate continuing to invest in environmental facility enhancements in the future. We</w:t>
      </w:r>
    </w:p>
    <w:p>
      <w:pPr>
        <w:sectPr>
          <w:pgSz w:w="11880" w:h="15480" w:orient="portrait"/>
          <w:cols w:equalWidth="0" w:num="1">
            <w:col w:w="10040"/>
          </w:cols>
          <w:pgMar w:left="920" w:top="534" w:right="920" w:bottom="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534" w:right="920" w:bottom="0" w:gutter="0" w:footer="0" w:header="0"/>
          <w:type w:val="continuous"/>
        </w:sectPr>
      </w:pPr>
    </w:p>
    <w:bookmarkStart w:id="24" w:name="page25"/>
    <w:bookmarkEnd w:id="24"/>
    <w:p>
      <w:pPr>
        <w:spacing w:after="0" w:line="263" w:lineRule="auto"/>
        <w:rPr>
          <w:sz w:val="20"/>
          <w:szCs w:val="20"/>
          <w:color w:val="auto"/>
        </w:rPr>
      </w:pPr>
      <w:r>
        <w:rPr>
          <w:rFonts w:ascii="Arial" w:cs="Arial" w:eastAsia="Arial" w:hAnsi="Arial"/>
          <w:sz w:val="19"/>
          <w:szCs w:val="19"/>
          <w:color w:val="auto"/>
        </w:rPr>
        <w:t>consistently meet or exceed regulatory emissions control requirements, although we have periodically experienced isolated instances of emissions exceeding applicable standards or other non-compliance, none of which we believe were material. We expect to be able to satisfy any changes to applicable regulatory requirements as they evolve and are committed to doing so, although there can be no assurance that we will always be able to meet new regulatory requirements.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Gamma Irradiation Regulatory Overview</w:t>
      </w:r>
    </w:p>
    <w:p>
      <w:pPr>
        <w:spacing w:after="0" w:line="248"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alarms, employee and area monitoring, testing and reporting. Each of our U.S. gamma plants has a radioactive materials license from the NRC or the state in which it operates. Nordion also has NRC licenses to distribute radioactive material within the United States, which permit Nordion to install and remove Co-60 sources and provide other services to its customers, as well as a license to export radioactive material from the United States to Canada. The NRC periodically updates and issues new security requirements for our U.S. gamma facilities.</w:t>
      </w:r>
    </w:p>
    <w:p>
      <w:pPr>
        <w:spacing w:after="0" w:line="171"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209"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Outside North America, the European Union and other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E-beam and X-ray Irradiation Regulatory Overview</w:t>
      </w:r>
    </w:p>
    <w:p>
      <w:pPr>
        <w:spacing w:after="0" w:line="248" w:lineRule="exact"/>
        <w:rPr>
          <w:sz w:val="20"/>
          <w:szCs w:val="20"/>
          <w:color w:val="auto"/>
        </w:rPr>
      </w:pPr>
    </w:p>
    <w:p>
      <w:pPr>
        <w:jc w:val="both"/>
        <w:ind w:right="180"/>
        <w:spacing w:after="0" w:line="312" w:lineRule="auto"/>
        <w:rPr>
          <w:sz w:val="20"/>
          <w:szCs w:val="20"/>
          <w:color w:val="auto"/>
        </w:rPr>
      </w:pPr>
      <w:r>
        <w:rPr>
          <w:rFonts w:ascii="Arial" w:cs="Arial" w:eastAsia="Arial" w:hAnsi="Arial"/>
          <w:sz w:val="17"/>
          <w:szCs w:val="17"/>
          <w:color w:val="auto"/>
        </w:rPr>
        <w:t>In the United States, irradiators that use accelerators are regulated by the individual state in which a facility is located. While there is some variability in the content of regulations among states, all are patterned after the general regulations of the NRC. These regulations typically specify the requirements for radiation shielding, system designs, safety features, alarms, employee and area monitoring, testing and reporting. Some E-beam and X-ray facilities require environmental permits too.</w:t>
      </w:r>
    </w:p>
    <w:p>
      <w:pPr>
        <w:spacing w:after="0" w:line="160"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Outside of the United States, accelerator regulations are similar among various nations. These regulations are based on the IAEA standards and ICRP recommendations, much like those for gamma irradiators.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48"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color w:val="auto"/>
        </w:rPr>
        <w:t xml:space="preserve">Our Annual Report on Form 10-K, Quarterly Reports on Form 10-Q, Current Reports on Form 8-K and amendments to those reports filed or furnished pursuant to Section 13(a) or 15(d) of the Securities Exchange Act of 1934, as amended (the “Exchange Act”), are made available free of charge through the Investor Relations page of our internet website at </w:t>
      </w:r>
      <w:r>
        <w:rPr>
          <w:rFonts w:ascii="Arial" w:cs="Arial" w:eastAsia="Arial" w:hAnsi="Arial"/>
          <w:sz w:val="17"/>
          <w:szCs w:val="17"/>
          <w:u w:val="single" w:color="auto"/>
          <w:color w:val="auto"/>
        </w:rPr>
        <w:t>https://</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investors.soterahealth.com</w:t>
      </w:r>
      <w:r>
        <w:rPr>
          <w:rFonts w:ascii="Arial" w:cs="Arial" w:eastAsia="Arial" w:hAnsi="Arial"/>
          <w:sz w:val="17"/>
          <w:szCs w:val="17"/>
          <w:color w:val="auto"/>
        </w:rPr>
        <w:t xml:space="preserve">, as soon as reasonably practicable after such documents are electronically filed with, or furnished to, the Securities and Exchange Commission (“SEC”). The SEC maintains an internet website, </w:t>
      </w:r>
      <w:r>
        <w:rPr>
          <w:rFonts w:ascii="Arial" w:cs="Arial" w:eastAsia="Arial" w:hAnsi="Arial"/>
          <w:sz w:val="17"/>
          <w:szCs w:val="17"/>
          <w:u w:val="single" w:color="auto"/>
          <w:color w:val="auto"/>
        </w:rPr>
        <w:t>https://www.sec.gov</w:t>
      </w:r>
      <w:r>
        <w:rPr>
          <w:rFonts w:ascii="Arial" w:cs="Arial" w:eastAsia="Arial" w:hAnsi="Arial"/>
          <w:sz w:val="17"/>
          <w:szCs w:val="17"/>
          <w:color w:val="auto"/>
        </w:rPr>
        <w:t>, that contains reports, proxy and information statements, and other information regarding issuers that file electronically with the SEC.</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534" w:right="92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Item 1A. Risk Factors</w:t>
      </w:r>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We describe below certain risks that could adversely affect our business, prospects, financial condition or results of operations. While we believe we have identified and discussed below the key risks affecting our business, there may be additional risks and uncertainties that are not presently known or that are not currently believed to be significant that may adversely affect our business, results of operations, cash flow, liquidity or financial condition in the future. These risk factors may change from time to time and may be amended, supplemented or superseded by updates to the risk factors contained in our future periodic reports, Quarterly Reports on Form 10-Q and reports on other forms we file with the SEC. All forward-looking statements about our future results of operations or other matters made by us in this Annual Report on Form 10-K as well as our consolidated financial statements and notes, and in our subsequently filed reports to the SEC, as well as in our press releases and other public communications, are qualified by the risks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 Factor Summary</w:t>
      </w:r>
    </w:p>
    <w:p>
      <w:pPr>
        <w:spacing w:after="0" w:line="295"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Our business operations are subject to numerous risks, factors and uncertainties, including those outside of our control, that could cause our actual results to be harmed, including risks regarding the following:</w:t>
      </w:r>
    </w:p>
    <w:p>
      <w:pPr>
        <w:spacing w:after="0" w:line="69" w:lineRule="exact"/>
        <w:rPr>
          <w:sz w:val="20"/>
          <w:szCs w:val="20"/>
          <w:color w:val="auto"/>
        </w:rPr>
      </w:pPr>
    </w:p>
    <w:p>
      <w:pPr>
        <w:ind w:left="700" w:right="360" w:hanging="355"/>
        <w:spacing w:after="0" w:line="258"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disruption in the availability or supply of, or increases in the price of, EO, Co-60 or our other direct materials, services and supplies, including as a result of geopolitical instability and/or sanctions against Russia by the United States, Canada, United Kingdom and European Union;</w:t>
      </w:r>
    </w:p>
    <w:p>
      <w:pPr>
        <w:spacing w:after="0" w:line="81"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fluctuations in foreign currency exchange rates;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evolving changes in environmental, health and safety regulations, which may negatively impact our business;</w:t>
      </w:r>
    </w:p>
    <w:p>
      <w:pPr>
        <w:spacing w:after="0" w:line="134" w:lineRule="exact"/>
        <w:rPr>
          <w:rFonts w:ascii="Arial" w:cs="Arial" w:eastAsia="Arial" w:hAnsi="Arial"/>
          <w:sz w:val="19"/>
          <w:szCs w:val="19"/>
          <w:color w:val="auto"/>
        </w:rPr>
      </w:pPr>
    </w:p>
    <w:p>
      <w:pPr>
        <w:ind w:left="700" w:right="14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health and safety risks associated with the use, storage, transportation and disposal of potentially hazardous materials such as EO and Co-60;</w:t>
      </w:r>
    </w:p>
    <w:p>
      <w:pPr>
        <w:spacing w:after="0" w:line="68" w:lineRule="exact"/>
        <w:rPr>
          <w:rFonts w:ascii="Arial" w:cs="Arial" w:eastAsia="Arial" w:hAnsi="Arial"/>
          <w:sz w:val="20"/>
          <w:szCs w:val="20"/>
          <w:color w:val="auto"/>
        </w:rPr>
      </w:pPr>
    </w:p>
    <w:p>
      <w:pPr>
        <w:ind w:left="700" w:right="140" w:hanging="355"/>
        <w:spacing w:after="0" w:line="278" w:lineRule="auto"/>
        <w:tabs>
          <w:tab w:leader="none" w:pos="700" w:val="left"/>
        </w:tabs>
        <w:numPr>
          <w:ilvl w:val="0"/>
          <w:numId w:val="15"/>
        </w:numPr>
        <w:rPr>
          <w:rFonts w:ascii="Arial" w:cs="Arial" w:eastAsia="Arial" w:hAnsi="Arial"/>
          <w:sz w:val="19"/>
          <w:szCs w:val="19"/>
          <w:b w:val="1"/>
          <w:bCs w:val="1"/>
          <w:i w:val="1"/>
          <w:iCs w:val="1"/>
          <w:color w:val="auto"/>
        </w:rPr>
      </w:pPr>
      <w:r>
        <w:rPr>
          <w:rFonts w:ascii="Arial" w:cs="Arial" w:eastAsia="Arial" w:hAnsi="Arial"/>
          <w:sz w:val="19"/>
          <w:szCs w:val="19"/>
          <w:color w:val="auto"/>
        </w:rPr>
        <w:t>the impact and outcome of current and future legal proceedings and liability claims, including litigation related to the use, emissions and releases of EO from our facilities in California, Georgia, Illinois and New Mexico and the possibility that other claims will be made in the future relating to these or other facilities;</w:t>
      </w:r>
    </w:p>
    <w:p>
      <w:pPr>
        <w:spacing w:after="0" w:line="63" w:lineRule="exact"/>
        <w:rPr>
          <w:rFonts w:ascii="Arial" w:cs="Arial" w:eastAsia="Arial" w:hAnsi="Arial"/>
          <w:sz w:val="19"/>
          <w:szCs w:val="19"/>
          <w:b w:val="1"/>
          <w:bCs w:val="1"/>
          <w:i w:val="1"/>
          <w:iCs w:val="1"/>
          <w:color w:val="auto"/>
        </w:rPr>
      </w:pPr>
    </w:p>
    <w:p>
      <w:pPr>
        <w:ind w:left="700" w:right="46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allegations of our failure to properly perform services and potential product liability claims, recalls, penalties and reputational harm;</w:t>
      </w:r>
    </w:p>
    <w:p>
      <w:pPr>
        <w:spacing w:after="0" w:line="68" w:lineRule="exact"/>
        <w:rPr>
          <w:rFonts w:ascii="Arial" w:cs="Arial" w:eastAsia="Arial" w:hAnsi="Arial"/>
          <w:sz w:val="20"/>
          <w:szCs w:val="20"/>
          <w:color w:val="auto"/>
        </w:rPr>
      </w:pPr>
    </w:p>
    <w:p>
      <w:pPr>
        <w:ind w:left="700" w:right="22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compliance with the extensive regulatory requirements to which we are subject, the related costs, and any failures to receive or maintain, or delays in receiving, required clearances or approvals;</w:t>
      </w:r>
    </w:p>
    <w:p>
      <w:pPr>
        <w:spacing w:after="0" w:line="82"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4"/>
          <w:szCs w:val="24"/>
          <w:b w:val="1"/>
          <w:bCs w:val="1"/>
          <w:color w:val="auto"/>
        </w:rPr>
      </w:pPr>
      <w:r>
        <w:rPr>
          <w:rFonts w:ascii="Arial" w:cs="Arial" w:eastAsia="Arial" w:hAnsi="Arial"/>
          <w:sz w:val="20"/>
          <w:szCs w:val="20"/>
          <w:color w:val="auto"/>
        </w:rPr>
        <w:t>adverse changes in industry trends;</w:t>
      </w:r>
    </w:p>
    <w:p>
      <w:pPr>
        <w:spacing w:after="0" w:line="123" w:lineRule="exact"/>
        <w:rPr>
          <w:rFonts w:ascii="Arial" w:cs="Arial" w:eastAsia="Arial" w:hAnsi="Arial"/>
          <w:sz w:val="24"/>
          <w:szCs w:val="24"/>
          <w:b w:val="1"/>
          <w:bCs w:val="1"/>
          <w:color w:val="auto"/>
        </w:rPr>
      </w:pPr>
    </w:p>
    <w:p>
      <w:pPr>
        <w:ind w:left="700" w:hanging="355"/>
        <w:spacing w:after="0"/>
        <w:tabs>
          <w:tab w:leader="none" w:pos="700" w:val="left"/>
        </w:tabs>
        <w:numPr>
          <w:ilvl w:val="0"/>
          <w:numId w:val="15"/>
        </w:numPr>
        <w:rPr>
          <w:rFonts w:ascii="Arial" w:cs="Arial" w:eastAsia="Arial" w:hAnsi="Arial"/>
          <w:sz w:val="24"/>
          <w:szCs w:val="24"/>
          <w:b w:val="1"/>
          <w:bCs w:val="1"/>
          <w:color w:val="auto"/>
        </w:rPr>
      </w:pPr>
      <w:r>
        <w:rPr>
          <w:rFonts w:ascii="Arial" w:cs="Arial" w:eastAsia="Arial" w:hAnsi="Arial"/>
          <w:sz w:val="20"/>
          <w:szCs w:val="20"/>
          <w:color w:val="auto"/>
        </w:rPr>
        <w:t>competition we face;</w:t>
      </w:r>
    </w:p>
    <w:p>
      <w:pPr>
        <w:spacing w:after="0" w:line="109" w:lineRule="exact"/>
        <w:rPr>
          <w:rFonts w:ascii="Arial" w:cs="Arial" w:eastAsia="Arial" w:hAnsi="Arial"/>
          <w:sz w:val="24"/>
          <w:szCs w:val="24"/>
          <w:b w:val="1"/>
          <w:bCs w:val="1"/>
          <w:color w:val="auto"/>
        </w:rPr>
      </w:pPr>
    </w:p>
    <w:p>
      <w:pPr>
        <w:ind w:left="700" w:right="20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market changes, including inflationary trends, that impact our long-term supply contracts with variable price clauses and increase our cost of revenues;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business continuity hazards, including supply chain disruptions and other risks associated with our operations;</w:t>
      </w:r>
    </w:p>
    <w:p>
      <w:pPr>
        <w:spacing w:after="0" w:line="134" w:lineRule="exact"/>
        <w:rPr>
          <w:rFonts w:ascii="Arial" w:cs="Arial" w:eastAsia="Arial" w:hAnsi="Arial"/>
          <w:sz w:val="19"/>
          <w:szCs w:val="19"/>
          <w:color w:val="auto"/>
        </w:rPr>
      </w:pPr>
    </w:p>
    <w:p>
      <w:pPr>
        <w:ind w:left="700" w:right="660" w:hanging="355"/>
        <w:spacing w:after="0" w:line="360"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risks of doing business internationally, including global and regional economic and political instability and compliance with numerous and sometimes inconsistent laws and regulations in multiple jurisdictions;</w:t>
      </w:r>
    </w:p>
    <w:p>
      <w:pPr>
        <w:spacing w:after="0" w:line="1" w:lineRule="exact"/>
        <w:rPr>
          <w:rFonts w:ascii="Arial" w:cs="Arial" w:eastAsia="Arial" w:hAnsi="Arial"/>
          <w:sz w:val="17"/>
          <w:szCs w:val="17"/>
          <w:color w:val="auto"/>
        </w:rPr>
      </w:pPr>
    </w:p>
    <w:p>
      <w:pPr>
        <w:ind w:left="700" w:right="44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ability to increase capacity at existing facilities, build new facilities in a timely and cost-effective manner and renew leases for our leased facilities;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ability to attract and retain qualified employees;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severe health events or environmental events;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cybersecurity incidents, unauthorized data disclosures, and our dependence on information technology systems;</w:t>
      </w:r>
    </w:p>
    <w:p>
      <w:pPr>
        <w:spacing w:after="0" w:line="157" w:lineRule="exact"/>
        <w:rPr>
          <w:rFonts w:ascii="Arial" w:cs="Arial" w:eastAsia="Arial" w:hAnsi="Arial"/>
          <w:sz w:val="17"/>
          <w:szCs w:val="17"/>
          <w:color w:val="auto"/>
        </w:rPr>
      </w:pPr>
    </w:p>
    <w:p>
      <w:pPr>
        <w:ind w:left="700" w:right="60" w:hanging="355"/>
        <w:spacing w:after="0" w:line="271"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 inability to pursue strategic transactions, find suitable acquisition targets, or integrate strategic acquisitions into our business successfully;</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ability to maintain effective internal controls over financial reporting;</w:t>
      </w:r>
    </w:p>
    <w:p>
      <w:pPr>
        <w:spacing w:after="0" w:line="122" w:lineRule="exact"/>
        <w:rPr>
          <w:rFonts w:ascii="Arial" w:cs="Arial" w:eastAsia="Arial" w:hAnsi="Arial"/>
          <w:sz w:val="20"/>
          <w:szCs w:val="20"/>
          <w:color w:val="auto"/>
        </w:rPr>
      </w:pPr>
    </w:p>
    <w:p>
      <w:pPr>
        <w:ind w:left="700" w:right="220" w:hanging="355"/>
        <w:spacing w:after="0" w:line="258" w:lineRule="auto"/>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reliance on intellectual property to maintain our competitive position and the risk of current and potential claims from third parties that we have infringed or misappropriated or are infringing or misappropriating their intellectual property rights;</w:t>
      </w:r>
    </w:p>
    <w:p>
      <w:pPr>
        <w:sectPr>
          <w:pgSz w:w="11880" w:h="15480" w:orient="portrait"/>
          <w:cols w:equalWidth="0" w:num="1">
            <w:col w:w="10020"/>
          </w:cols>
          <w:pgMar w:left="920" w:top="527" w:right="94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20"/>
          </w:cols>
          <w:pgMar w:left="920" w:top="527" w:right="940" w:bottom="0" w:gutter="0" w:footer="0" w:header="0"/>
          <w:type w:val="continuous"/>
        </w:sectPr>
      </w:pPr>
    </w:p>
    <w:bookmarkStart w:id="26" w:name="page27"/>
    <w:bookmarkEnd w:id="26"/>
    <w:p>
      <w:pPr>
        <w:ind w:left="700" w:right="100" w:hanging="355"/>
        <w:spacing w:after="0" w:line="360"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comply with rapidly evolving data privacy and security laws and regulations in various jurisdictions (including California and the European Union) and any ineffective compliance efforts with such laws and regulations;</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our ability to maintain profitability in the future;</w:t>
      </w:r>
    </w:p>
    <w:p>
      <w:pPr>
        <w:spacing w:after="0" w:line="122" w:lineRule="exact"/>
        <w:rPr>
          <w:rFonts w:ascii="Arial" w:cs="Arial" w:eastAsia="Arial" w:hAnsi="Arial"/>
          <w:sz w:val="20"/>
          <w:szCs w:val="20"/>
          <w:color w:val="auto"/>
        </w:rPr>
      </w:pPr>
    </w:p>
    <w:p>
      <w:pPr>
        <w:ind w:left="700" w:right="80" w:hanging="355"/>
        <w:spacing w:after="0" w:line="271"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impairment charges on our goodwill and other intangible assets with indefinite lives, as well as other long-lived assets and intangible assets with definite lives;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effects of unionization efforts and labor regulations in countries in which we operate;</w:t>
      </w:r>
    </w:p>
    <w:p>
      <w:pPr>
        <w:spacing w:after="0" w:line="122" w:lineRule="exact"/>
        <w:rPr>
          <w:rFonts w:ascii="Arial" w:cs="Arial" w:eastAsia="Arial" w:hAnsi="Arial"/>
          <w:sz w:val="20"/>
          <w:szCs w:val="20"/>
          <w:color w:val="auto"/>
        </w:rPr>
      </w:pPr>
    </w:p>
    <w:p>
      <w:pPr>
        <w:ind w:left="700" w:right="320" w:hanging="355"/>
        <w:spacing w:after="0" w:line="298" w:lineRule="auto"/>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adverse changes to our tax positions in U.S. or non-U.S. jurisdictions or the interpretation and application of recent U.S. tax legislation or other changes in U.S. or non-U.S. taxation of our operations;</w:t>
      </w:r>
    </w:p>
    <w:p>
      <w:pPr>
        <w:spacing w:after="0" w:line="45" w:lineRule="exact"/>
        <w:rPr>
          <w:rFonts w:ascii="Arial" w:cs="Arial" w:eastAsia="Arial" w:hAnsi="Arial"/>
          <w:sz w:val="19"/>
          <w:szCs w:val="19"/>
          <w:color w:val="auto"/>
        </w:rPr>
      </w:pPr>
    </w:p>
    <w:p>
      <w:pPr>
        <w:ind w:left="700" w:right="140" w:hanging="355"/>
        <w:spacing w:after="0" w:line="271" w:lineRule="auto"/>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 prevent us from meeting our obligations under our existing and future indebtedness; and</w:t>
      </w:r>
    </w:p>
    <w:p>
      <w:pPr>
        <w:spacing w:after="0" w:line="71" w:lineRule="exact"/>
        <w:rPr>
          <w:rFonts w:ascii="Arial" w:cs="Arial" w:eastAsia="Arial" w:hAnsi="Arial"/>
          <w:sz w:val="19"/>
          <w:szCs w:val="19"/>
          <w:color w:val="auto"/>
        </w:rPr>
      </w:pPr>
    </w:p>
    <w:p>
      <w:pPr>
        <w:ind w:left="700" w:right="120" w:hanging="355"/>
        <w:spacing w:after="0" w:line="258" w:lineRule="auto"/>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substantial control that certain investment funds and entities affiliated with Warburg Pincus and GTCR, which we refer to collectively as the “Sponsors,” continue to have over us, which could limit stockholders’ ability to influence the outcome of key transactions, including a change of control.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w:t>
      </w:r>
    </w:p>
    <w:p>
      <w:pPr>
        <w:spacing w:after="0" w:line="240" w:lineRule="exact"/>
        <w:rPr>
          <w:sz w:val="20"/>
          <w:szCs w:val="20"/>
          <w:color w:val="auto"/>
        </w:rPr>
      </w:pPr>
    </w:p>
    <w:p>
      <w:pPr>
        <w:ind w:right="20"/>
        <w:spacing w:after="0" w:line="314" w:lineRule="auto"/>
        <w:rPr>
          <w:sz w:val="20"/>
          <w:szCs w:val="20"/>
          <w:color w:val="auto"/>
        </w:rPr>
      </w:pPr>
      <w:r>
        <w:rPr>
          <w:rFonts w:ascii="Arial" w:cs="Arial" w:eastAsia="Arial" w:hAnsi="Arial"/>
          <w:sz w:val="17"/>
          <w:szCs w:val="17"/>
          <w:b w:val="1"/>
          <w:bCs w:val="1"/>
          <w:i w:val="1"/>
          <w:iCs w:val="1"/>
          <w:color w:val="auto"/>
        </w:rPr>
        <w:t>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or sanctions against Russia by the United States, Canada, the United Kingdom and the European Union, may have a material adverse effect on our operating results.</w:t>
      </w:r>
    </w:p>
    <w:p>
      <w:pPr>
        <w:spacing w:after="0" w:line="16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purchase certain direct materials, equipment and services necessary for our specialized products and services from a limited number of suppliers and subcontractors, and, in certain cases, we purchase large quantities of product from a sole supplier. If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the unavailability or short-supply of raw materials or services, labor disruptions, changes in regulatory requirements, delays in securing required regulatory approvals, geopolitical instability, sanctions or other adverse occurrences), we may incur increased costs for our direct materials or equipment and may be unable to accommodate new business or meet our current customer commitments. For example, although there is more than one supplier of EO in most of the countries in which we operate, in the United States there is a single supplier for EO for our sterilization business. Further, our reliance on a single or limited number of suppliers may limit our negotiating power, particularly during times of rising direct material costs. Any interruptions that we experience in our supply of EO or Co-60 may disrupt, interrupt or shut down portions of our operations, materially increase our costs or have other adverse effects on our business, prospects, financial condition or results of operations.</w:t>
      </w:r>
    </w:p>
    <w:p>
      <w:pPr>
        <w:spacing w:after="0" w:line="180"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We source a substantial portion of our Co-60 supply from three nuclear reactor operators and six reactor sites in Canada and Russia under contracts that extend to between 2026 and 2064. See Item 1, “Business—Our Businesses—Sterilization Services —Nordion—Nuclear Reactor Operators.” If there is a decrease in output from any of these reactors (including as a result of a natural disaster or other adverse occurrence), the counterparties fail to perform under their agreements with us or decline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Shutdowns in the past of a government-owned reactors have decreased the availability of Co-60 and potential shutdowns in the future could decrease the availability of Co-60, which could have a material adverse effect on our business, prospects, financial condition or results of operations.</w:t>
      </w:r>
    </w:p>
    <w:p>
      <w:pPr>
        <w:spacing w:after="0" w:line="176" w:lineRule="exact"/>
        <w:rPr>
          <w:sz w:val="20"/>
          <w:szCs w:val="20"/>
          <w:color w:val="auto"/>
        </w:rPr>
      </w:pPr>
    </w:p>
    <w:p>
      <w:pPr>
        <w:ind w:right="100"/>
        <w:spacing w:after="0" w:line="303" w:lineRule="auto"/>
        <w:rPr>
          <w:sz w:val="20"/>
          <w:szCs w:val="20"/>
          <w:color w:val="auto"/>
        </w:rPr>
      </w:pPr>
      <w:r>
        <w:rPr>
          <w:rFonts w:ascii="Arial" w:cs="Arial" w:eastAsia="Arial" w:hAnsi="Arial"/>
          <w:sz w:val="17"/>
          <w:szCs w:val="17"/>
          <w:color w:val="auto"/>
        </w:rPr>
        <w:t>We estimate approximately 20% of our long-term supply of Co-60 will be generated by Russian nuclear reactors. Further, over the next few years, we expect that there will be periods when, owing to planned or unplanned outages and variability in supply from reactors located in other countries, the proportion of our supply from Russian reactors may increase to as much as approximately 50% in a given year. The United States, Canada, United Kingdom and European Union have imposed and are expected to continue imposing sanctions against Russian industries, Russian officials and certain Russian companies, banks, logistics providers and individuals. Russia has responded and is expected to continue to respond with countermeasures,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534" w:right="920" w:bottom="0" w:gutter="0" w:footer="0" w:header="0"/>
          <w:type w:val="continuous"/>
        </w:sectPr>
      </w:pPr>
    </w:p>
    <w:bookmarkStart w:id="27" w:name="page28"/>
    <w:bookmarkEnd w:id="27"/>
    <w:p>
      <w:pPr>
        <w:ind w:right="140"/>
        <w:spacing w:after="0" w:line="271" w:lineRule="auto"/>
        <w:rPr>
          <w:sz w:val="20"/>
          <w:szCs w:val="20"/>
          <w:color w:val="auto"/>
        </w:rPr>
      </w:pPr>
      <w:r>
        <w:rPr>
          <w:rFonts w:ascii="Arial" w:cs="Arial" w:eastAsia="Arial" w:hAnsi="Arial"/>
          <w:sz w:val="20"/>
          <w:szCs w:val="20"/>
          <w:color w:val="auto"/>
        </w:rPr>
        <w:t>including prohibiting imports of certain goods from certain other countries and exports of certain goods from Russia to certain other countries.</w:t>
      </w:r>
    </w:p>
    <w:p>
      <w:pPr>
        <w:spacing w:after="0" w:line="186"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Expanded sanctions could target additional government- and privately-owned operations in Russia, including nuclear reactor operators, banks and logistics providers, and these expanded sanctions could prevent us from doing business with them. For example, certain banks through which our suppliers have been paid in the past have been sanctioned and there is no assurance the suppliers will continue to be able to find new, unsanctioned banking relationships in the future. Moreover, although Co-60 has not been sanctioned directly, sanctions on other products and materials imported from and exported to Russia have disrupted the logistics required to import Co-60 from Russia, requiring us, our logistics providers (including the single ocean carrier that is presently licensed to carry radioactive goods from Russia to North America) and insurers to seek licenses that will come up for renewal in 2026 and 2027. There are also various Canadian CNSC and Global Affairs Canada licenses for export and import of Canadian Co-59 “targets,” such as cobalt pellets and slugs, that require renewal on a routine basis. Although these other licenses were historically required as part of control of the nuclear industry and are not related to the increased sanction frameworks, an inability to obtain these licenses would impact future supply. CNSC licenses for the imports and exports related to the targets expire in 2028. If present or future sanctions against Russia directly or indirectly impede the shipment of Co-60 from Russia to North America or targets from North America to Russia, if we or our logistics providers are unable to secure or renew licenses under existing or future sanctions, if we are unable to identify international logistics providers needed for the supply of Co-60 or if Russia responds with further countersanctions, it may generally become more difficult to do business with Russian entities, which could have a material adverse effect on our business, prospects, financial condition or results of operations.</w:t>
      </w:r>
    </w:p>
    <w:p>
      <w:pPr>
        <w:spacing w:after="0" w:line="200" w:lineRule="exact"/>
        <w:rPr>
          <w:sz w:val="20"/>
          <w:szCs w:val="20"/>
          <w:color w:val="auto"/>
        </w:rPr>
      </w:pPr>
    </w:p>
    <w:p>
      <w:pPr>
        <w:spacing w:after="0" w:line="208" w:lineRule="exact"/>
        <w:rPr>
          <w:sz w:val="20"/>
          <w:szCs w:val="20"/>
          <w:color w:val="auto"/>
        </w:rPr>
      </w:pPr>
    </w:p>
    <w:p>
      <w:pPr>
        <w:ind w:right="280"/>
        <w:spacing w:after="0" w:line="275" w:lineRule="auto"/>
        <w:rPr>
          <w:sz w:val="20"/>
          <w:szCs w:val="20"/>
          <w:color w:val="auto"/>
        </w:rPr>
      </w:pPr>
      <w:r>
        <w:rPr>
          <w:rFonts w:ascii="Arial" w:cs="Arial" w:eastAsia="Arial" w:hAnsi="Arial"/>
          <w:sz w:val="20"/>
          <w:szCs w:val="20"/>
          <w:b w:val="1"/>
          <w:bCs w:val="1"/>
          <w:i w:val="1"/>
          <w:iCs w:val="1"/>
          <w:color w:val="auto"/>
        </w:rPr>
        <w:t>We may be subject to evolving changes in environmental, health and safety regulations, which may negatively impact our business.</w:t>
      </w:r>
    </w:p>
    <w:p>
      <w:pPr>
        <w:spacing w:after="0" w:line="186"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color w:val="auto"/>
        </w:rPr>
        <w:t>Federal, state, local and international authorities regulate operations within our three business units, including the operation of our gamma irradiation and EO processing plants, as well as the operations of our customers. If the regulators that govern our operations or the operations of our customers were to institute restrictive or onerous policies or regulations that increase our costs or change the preferences or requirements of our customers or suppliers, demand for and the timely and cost-effective availability of our products and services may be materially affected.</w:t>
      </w:r>
    </w:p>
    <w:p>
      <w:pPr>
        <w:spacing w:after="0" w:line="125"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Additionally, certain regulators, including the FDA, have started initiatives to encourage development of sterilization alternatives to EO processing. For example, the FDA approved vaporized hydrogen peroxide as a Category-A sterilization methodology in 2024. We have taken part in some of these initiatives. We have also made proactive, voluntary investments to enhance the emissions controls and employee protections within our EO facilities. Still, new regulations or changes to existing or expected regulations may require additional investments in new emissions control or employee protection technology or otherwise increase the cost of our gamma irradiation or EO processing.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 Reconfiguring a gamma irradiation or EO processing plant so that it is suitable for a different sterilization technology, in response to changes in demand, regulations or other factors, would require significant capital investment and require us to suspend operations at the affected facility during the conversion. Any of the foregoing could have a material adverse effect on our business, prospects, financial condition or results of operations.</w:t>
      </w:r>
    </w:p>
    <w:p>
      <w:pPr>
        <w:spacing w:after="0" w:line="200" w:lineRule="exact"/>
        <w:rPr>
          <w:sz w:val="20"/>
          <w:szCs w:val="20"/>
          <w:color w:val="auto"/>
        </w:rPr>
      </w:pPr>
    </w:p>
    <w:p>
      <w:pPr>
        <w:spacing w:after="0" w:line="208" w:lineRule="exact"/>
        <w:rPr>
          <w:sz w:val="20"/>
          <w:szCs w:val="20"/>
          <w:color w:val="auto"/>
        </w:rPr>
      </w:pPr>
    </w:p>
    <w:p>
      <w:pPr>
        <w:ind w:right="340"/>
        <w:spacing w:after="0" w:line="275" w:lineRule="auto"/>
        <w:rPr>
          <w:sz w:val="20"/>
          <w:szCs w:val="20"/>
          <w:color w:val="auto"/>
        </w:rPr>
      </w:pPr>
      <w:r>
        <w:rPr>
          <w:rFonts w:ascii="Arial" w:cs="Arial" w:eastAsia="Arial" w:hAnsi="Arial"/>
          <w:sz w:val="20"/>
          <w:szCs w:val="20"/>
          <w:b w:val="1"/>
          <w:bCs w:val="1"/>
          <w:i w:val="1"/>
          <w:iCs w:val="1"/>
          <w:color w:val="auto"/>
        </w:rPr>
        <w:t>Safety risks associated with the use, storage and disposal of potentially hazardous materials, such as EO and Co-60, may result in accidents or liabilities that materially affect our results of operations.</w:t>
      </w:r>
    </w:p>
    <w:p>
      <w:pPr>
        <w:spacing w:after="0" w:line="186" w:lineRule="exact"/>
        <w:rPr>
          <w:sz w:val="20"/>
          <w:szCs w:val="20"/>
          <w:color w:val="auto"/>
        </w:rPr>
      </w:pPr>
    </w:p>
    <w:p>
      <w:pPr>
        <w:ind w:right="300"/>
        <w:spacing w:after="0" w:line="258" w:lineRule="auto"/>
        <w:rPr>
          <w:sz w:val="20"/>
          <w:szCs w:val="20"/>
          <w:color w:val="auto"/>
        </w:rPr>
      </w:pPr>
      <w:r>
        <w:rPr>
          <w:rFonts w:ascii="Arial" w:cs="Arial" w:eastAsia="Arial" w:hAnsi="Arial"/>
          <w:sz w:val="20"/>
          <w:szCs w:val="20"/>
          <w:color w:val="auto"/>
        </w:rPr>
        <w:t>EO is flammable and potentially explosive. Despite our extensive safety measures, a fire or explosion could occur at a sterilization facility where we use EO, which could interrupt our normal operations and result in facility closures, workplace injuries, property damage, or otherwise adversely affect our business.</w:t>
      </w:r>
    </w:p>
    <w:p>
      <w:pPr>
        <w:spacing w:after="0" w:line="199"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Because Co-60 is radioactive, its containment and proper shielding is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ectPr>
          <w:pgSz w:w="11880" w:h="15480" w:orient="portrait"/>
          <w:cols w:equalWidth="0" w:num="1">
            <w:col w:w="10040"/>
          </w:cols>
          <w:pgMar w:left="920" w:top="534" w:right="92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534" w:right="920" w:bottom="0" w:gutter="0" w:footer="0" w:header="0"/>
          <w:type w:val="continuous"/>
        </w:sectPr>
      </w:pPr>
    </w:p>
    <w:bookmarkStart w:id="28" w:name="page29"/>
    <w:bookmarkEnd w:id="28"/>
    <w:p>
      <w:pPr>
        <w:ind w:right="80"/>
        <w:spacing w:after="0" w:line="296" w:lineRule="auto"/>
        <w:rPr>
          <w:sz w:val="20"/>
          <w:szCs w:val="20"/>
          <w:color w:val="auto"/>
        </w:rPr>
      </w:pPr>
      <w:r>
        <w:rPr>
          <w:rFonts w:ascii="Arial" w:cs="Arial" w:eastAsia="Arial" w:hAnsi="Arial"/>
          <w:sz w:val="17"/>
          <w:szCs w:val="17"/>
          <w:color w:val="auto"/>
        </w:rPr>
        <w:t>Potentially hazardous materials must be handled and disposed of properly. Accidents involving disposal or handling of these substances, including accidents resulting from employees failing to follow safety protocols, could result in injury to people, property or the environment, as well as possible disruptions, restrictions or delays in production, and have in the past and could in the future result in claims relating to such events. For example, members of our workforce have been injured in our facilities and we have experienced property damage, production disruptions and temporary facility closures. Any injuries or damage to people, equipment or property or other disruptions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76"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Any incident at or emission from any of our EO, gamma or lab facilities that causes harm to workers or people who live, work, attend school or otherwise spend significant amounts of time near our facilities, or the interruption of normal operations at our facilities, could result in claims against us and, if those claims are successful, substantial liability to us. We are currently the subject of lawsuits alleging that purported EO emissions from certain of our current and former facilities have resulted in toxicological or health-related impacts on the environment and the communities that surround these facilities. We deny these allegations.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related Risk Factors “—We are currently defending certain litigation, and we are likely to be subject to additional litigation in the future” and “—Potential health risks associated with the use of EO may subject us to future liability claims and associated adverse effects.”</w:t>
      </w:r>
    </w:p>
    <w:p>
      <w:pPr>
        <w:spacing w:after="0" w:line="19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Nordion contracts for the activation of Co-59 “targets,” such as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nevertheless could be subject to lawsuits for damage to the nuclear installation or damages from a nuclear incident that were allegedly intentionally caused. While we make efforts to protect our interests through contractual provisions, quality assurance programs and the nature of our commercial relationships, there is no assurance that any of these measures or liability channeling laws or conventions will always prove effective in shielding us from liability, and any such liability or consequences could have a material adverse impact on our business, results of operation and financial condition.</w:t>
      </w:r>
    </w:p>
    <w:p>
      <w:pPr>
        <w:spacing w:after="0" w:line="197"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We currently carry pollution liability insurance for all our facilities and related operations and liability insurance, including from third party bodily injury or property damage allegedly arising from the storage, use, transportation or accident involving Co-60 sources throughout our operations. But this insurance may not cover all risks associated with the potential hazards of our business and is subject to limitations, including deductibles and maximum liabilities covered. We may incur losses beyond the limits, or outside the coverage, of our insurance policies. Additionally, our insurance for future alleged environmental liabilities excludes coverage for EO claims. Our ability to increase pollution liability insurance limits or replace any policies upon their expiration without exclusions for claims related to alleged EO exposure has been adversely impacted by claims against us, including pending claims alleging that purported EO emissions from certain of our facilities have resulted in toxicological or health-related impacts on the environment and the communities that surround these facilities. To the extent any pollution liability is not covered by our insurance or able to be recovered from other parties, our business, financial condition or results of operations could be materially adversely affected.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health risks associated with the use of EO may subject us to future liability claims and associated adverse effects.</w:t>
      </w:r>
    </w:p>
    <w:p>
      <w:pPr>
        <w:spacing w:after="0" w:line="282"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Potential health risks associated with exposure to EO subject us to the risk of liability claims being made against us by workers, contractors, employees of our customers and individuals who have resided, worked, attended school or otherwise spent time within miles of our EO sterilization facilities. Assessments of the potential health risks of exposure to EO have evolved over time. For example, although EO is present in the environment from a variety of sources and naturally produced by the human body, the US EPA has identified a potential for increased risk of certain cancers from exposure to EO emitted from sterilization facilities. In 2016, the US EPA published its Integrated Risk Information System toxicity assessment of EO (the “2016 IRIS Assessment”), and, since 2018, the US EPA has published National Air Toxics Assessments, which have been succeeded by Air Toxics Screening Assessments. These assessments have used the 2016 IRIS Assessment and other data to identify EO as a potential cancer concern in several areas across the country, including areas surrounding our former facility in Willowbrook, Illinois and our facilities in Atlanta, Georgia and Santa Teresa, New Mexico. Although we and other organizations disagree with the US EPA’s assessments of the carcinogenic potency of EO, Sterigenics’ facilities and other EO facilities could continue</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534" w:right="920" w:bottom="0" w:gutter="0" w:footer="0" w:header="0"/>
          <w:type w:val="continuous"/>
        </w:sectPr>
      </w:pPr>
    </w:p>
    <w:bookmarkStart w:id="29" w:name="page30"/>
    <w:bookmarkEnd w:id="29"/>
    <w:p>
      <w:pPr>
        <w:ind w:right="160"/>
        <w:spacing w:after="0" w:line="264" w:lineRule="auto"/>
        <w:rPr>
          <w:sz w:val="20"/>
          <w:szCs w:val="20"/>
          <w:color w:val="auto"/>
        </w:rPr>
      </w:pPr>
      <w:r>
        <w:rPr>
          <w:rFonts w:ascii="Arial" w:cs="Arial" w:eastAsia="Arial" w:hAnsi="Arial"/>
          <w:sz w:val="19"/>
          <w:szCs w:val="19"/>
          <w:color w:val="auto"/>
        </w:rPr>
        <w:t>to be the subject of unfavorable air quality assessments, regulations and other initiatives as risk assessments of EO continue to evolve and we can give no assurance as to the impact of such EO risk or air quality assessments on our business, prospects, financial condition, litigation and regulatory risks or results of operations. See related Risk Factor “—We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 or approvals may impact our revenues, profitability, financial condition or value. We may face liability and reputational risks even if we comply with all laws and regulations.”</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We are currently subject to lawsuits in California, Georgia, Illinois and New Mexico alleging personal injury, property devaluation and other claims related to our use of EO at, or emissions and releases of EO from our facilities. 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 We deny these allegations against us and our subsidiaries. See related Risk Factor “—We are currently defending certain litigation, and we are likely to be subject to additional litigation in the future,” Item 3, “Legal Proceedings” and Note 19, “Commitments and Contingencies,” to our consolidated financial statements. We may be subject to other claims by private plaintiffs and/or state or local governments and/or agencies in the future relating to our current or former facilities. In addition, we have encountered and may continue to encounter resistance, protests or other actions in communities where our existing facilities are located or where we seek to establish or expand facilities based on perceptions within these communities of the risks associated with exposure to EO. Publicity regarding community resistance to EO facilities may also have other adverse impacts, including damage to our reputation and public pressure against our facilities that may affect our ability to conduct our business.</w:t>
      </w:r>
    </w:p>
    <w:p>
      <w:pPr>
        <w:spacing w:after="0" w:line="200" w:lineRule="exact"/>
        <w:rPr>
          <w:sz w:val="20"/>
          <w:szCs w:val="20"/>
          <w:color w:val="auto"/>
        </w:rPr>
      </w:pPr>
    </w:p>
    <w:p>
      <w:pPr>
        <w:spacing w:after="0" w:line="215"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color w:val="auto"/>
        </w:rPr>
        <w:t>If we are the subject of other lawsuits related to use, emissions and releases of EO, that litigation, regardless of the merits of the claims at issue or the ultimate outcome of the case, could result in a substantial cost to us and could have a material adverse effect on our business, prospects,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currently defending certain litigation, and we are likely to be subject to additional litigation in the future.</w:t>
      </w:r>
    </w:p>
    <w:p>
      <w:pPr>
        <w:spacing w:after="0" w:line="282"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 As detailed in Note 19, “Commitments and Contingencies,” to our consolidated financial statements under the heading “Ethylene Oxide Tort Litigation,” we are currently subject to lawsuits in California, Georgia and Illinois brought by private plaintiffs and, in New Mexico, a government entity, alleging personal injury, property devaluation and other claims related to our use, emissions and releases of EO. 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In such litigation, plaintiffs typically seek various remedies, including injunctive relief and compensatory and punitive damages. Settlement demands may seek significant payments and other remedies, or otherwise be on terms that we do not consider reasonable under the circumstances. Settlement negotiations may result in agreements to settle claims on various terms and conditions adverse to the Company, including significant payments to settle claims that we believe are without merit. In some instances, despite our compliance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Defense of litigation may result in diversion of management attention from other priorities. We may be subject to future claims in addition to those described above by or on behalf of similar groups of plaintiffs, including potentially our employees or former employees, relating to any of our current or former facilities or activities. In addition, awards against and settlements by us or our competitors or publicity associated with EO-related litigation or regulator activity could incentivize parties to bring additional claims against us.</w:t>
      </w:r>
    </w:p>
    <w:p>
      <w:pPr>
        <w:spacing w:after="0" w:line="170"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The financial impact of litigation, particularly mass action lawsuits, is difficult to assess or quantify. The outcomes of jury trials are unpredictable and a judgment entered or settlement reached in one case is not representative of the outcome of other seemingly comparable cases. If we are the subject of future lawsuits, regardless of the merits of the claims at issue or the ultimate outcome of a case, any litigation could be costly to defend, result in an increase of our insurance premiums, and exhaust any available insurance coverage. Claims against us that result in entry of a judgment or that we settle that are not</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534" w:right="920" w:bottom="0" w:gutter="0" w:footer="0" w:header="0"/>
          <w:type w:val="continuous"/>
        </w:sectPr>
      </w:pPr>
    </w:p>
    <w:bookmarkStart w:id="30" w:name="page31"/>
    <w:bookmarkEnd w:id="30"/>
    <w:p>
      <w:pPr>
        <w:ind w:right="20"/>
        <w:spacing w:after="0" w:line="295" w:lineRule="auto"/>
        <w:rPr>
          <w:sz w:val="20"/>
          <w:szCs w:val="20"/>
          <w:color w:val="auto"/>
        </w:rPr>
      </w:pPr>
      <w:r>
        <w:rPr>
          <w:rFonts w:ascii="Arial" w:cs="Arial" w:eastAsia="Arial" w:hAnsi="Arial"/>
          <w:sz w:val="17"/>
          <w:szCs w:val="17"/>
          <w:color w:val="auto"/>
        </w:rPr>
        <w:t>covered or not sufficiently covered by insurance policies, or which fall within retained liability under our policies, could have a material adverse impact on our business, prospects, financial condition or results of operations. Our current environmental liability insurance does not cover claims related to EO. Even where we have coverage under prior or existing policies for claims brought against us, our insurance may not be adequate to cover all potential liabilities and losses arising from those claims, and we have significant self-insured retention amounts, which we would have to pay in full before obtaining any insurance proceeds. Additionally, even where a claim should be covered by insurance, an insurer might refuse coverage. To the extent our insurance coverage is inadequate and we are not successful in identifying additional coverage for such claims, we would have to pay any costs or losses in excess of policy limits, including costs to defend such claims, and the amount of any settlement or judgment. Any settlement or judgment against us arising out of pending or future claims related to EO would likely exceed any insurance recoveries available to us and could have a material adverse effect on our business, prospects, financial condition or results of operations. See Note 19, “Commitments and Contingencies,” to our consolidated financial statements for more detail on our pending litigation.</w:t>
      </w:r>
    </w:p>
    <w:p>
      <w:pPr>
        <w:spacing w:after="0" w:line="200" w:lineRule="exact"/>
        <w:rPr>
          <w:sz w:val="20"/>
          <w:szCs w:val="20"/>
          <w:color w:val="auto"/>
        </w:rPr>
      </w:pPr>
    </w:p>
    <w:p>
      <w:pPr>
        <w:spacing w:after="0" w:line="208"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b w:val="1"/>
          <w:bCs w:val="1"/>
          <w:i w:val="1"/>
          <w:iCs w:val="1"/>
          <w:color w:val="auto"/>
        </w:rPr>
        <w:t>We have received an adverse judgment and may in the future receive other adverse judgments in litigation relating to our use, emissions and releases of EO. Despite our belief that these claims are not supported by the science and are otherwise without merit, we have entered and may in the future enter into agreements to settle claims relating to our use, emissions and releases of EO. The resolution of these matters by litigation or settlement may have a negative impact on our financial condition and liquidity in the near and long term.</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As described elsewhere in Note 19, “Commitments and Contingencies,” to our consolidated financial statements under the heading “Ethylene Oxide Tort Litigation,” we are subject to tort lawsuits alleging injuries caused by our use of EO and low-level environmental exposure to EO emissions and releases from certain of our sterilization facilities. Trials were conducted in the Circuit Court of Cook County, Illinois in late 2022 in two individual cases related to the Willowbrook, Illinois facility. The first trial resulted in a verdict for the plaintiff and a judgment of $358.7 million (including $320 million in punitive damages) against Sterigenics U.S., LLC and Sotera Health LLC (the “Defendant Subsidiaries”). Two months later, the second trial resulted in a verdict for the Defendant Subsidiaries.</w:t>
      </w:r>
    </w:p>
    <w:p>
      <w:pPr>
        <w:spacing w:after="0" w:line="19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In January 2023, the Defendant Subsidiaries entered into binding term sheets that provided an agreed path to pay $408.0 million to settle over 880 claims related to our former facility in Willowbrook, Illinois, including the claim of the plaintiff in the first trial. The settlement was finalized in June 2023. Two plaintiffs opted out of the settlement and approximately 100 more cases have since been brought relating to the Willowbrook facility, mostly in connection with illnesses diagnosed subsequent to June 2023.</w:t>
      </w:r>
    </w:p>
    <w:p>
      <w:pPr>
        <w:spacing w:after="0" w:line="209"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auto"/>
        </w:rPr>
        <w:t>In October 2023, the Defendant Subsidiaries entered into binding term sheets to pay $35 million to resolve 79 claims related to the Atlanta, Georgia facility. The settlement was finalized with 100 percent participation by the 79 eligible claimants in January 2024. Approximately 315 personal injury claims and 345 property devaluation claims related to the Atlanta facility, and a lawsuit in which employees of a sterilization customer of Sterigenics allege they were injured while working at the customer’s distribution facility by exposure to residual EO allegedly emanating from products of the customer that had been sterilized by Sterigenics remain pending in the State Court of Cobb County, Georgia.</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We continue to believe that the EO-related claims are without merit and intend to vigorously defend the remaining EO cases and any future EO cases. We do not believe the damages award in the first trial in Illinois is predictive of potential future damage awards in the other EO tort cases, or that the settlement amounts reflected in the Willowbrook or Atlanta settlements described above are predictive of potential future settlements, but there can be no assurance that any cases proceeding to trial will not result in significant judgments adverse to us, the Defendant Subsidiaries or other subsidiaries and future settlements of EO cases are reasonably possible. In the event we or our subsidiaries receive one or more additional adverse judgments in any EO tort case(s), we or our subsidiaries may be required to post security of a significant amount to stay those judgments through the appeals process.</w:t>
      </w:r>
    </w:p>
    <w:p>
      <w:pPr>
        <w:spacing w:after="0" w:line="19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Actions required to secure appellate bonds may create a substantial strain on our and our subsidiaries’ liquidity and financial condition. There is no assurance that our subsidiaries or the Company will meet the requirements to provide an appellate bond(s) for appeals of any future adverse judgments. If we or our subsidiaries are unable to meet those requirements and are not able to secure an appellate bond when and in the form and amount required by the courts for the appeal to proceed, the judgment(s) will become enforceable and may exceed our or our subsidiaries’ ability to pay in cash. If we or our subsidiaries are unable to pay in cash, the Company or our subsidiaries may be required to seek financing, sell assets or take other measures to address the judgments. There can be no assurance that our subsidiaries or the Company will be able to secure such financing, and any sales of assets or other such actions taken to attempt to satisfy judgments may significantly limit our liquidity, harm our financial condition and increase our leverage.</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534" w:right="920" w:bottom="0" w:gutter="0" w:footer="0" w:header="0"/>
          <w:type w:val="continuous"/>
        </w:sectPr>
      </w:pPr>
    </w:p>
    <w:bookmarkStart w:id="31" w:name="page32"/>
    <w:bookmarkEnd w:id="31"/>
    <w:p>
      <w:pPr>
        <w:spacing w:after="0" w:line="300" w:lineRule="auto"/>
        <w:rPr>
          <w:sz w:val="20"/>
          <w:szCs w:val="20"/>
          <w:color w:val="auto"/>
        </w:rPr>
      </w:pPr>
      <w:r>
        <w:rPr>
          <w:rFonts w:ascii="Arial" w:cs="Arial" w:eastAsia="Arial" w:hAnsi="Arial"/>
          <w:sz w:val="17"/>
          <w:szCs w:val="17"/>
          <w:color w:val="auto"/>
        </w:rPr>
        <w:t>In addition, an event of default under the Senior Secured Credit Facilities (as defined below) and the Indenture (as defined below) would occur if the Company or certain of its subsidiaries received one or more enforceable judgments for payment in an aggregate amount in excess of the greater of (i) $162.6 million or (ii) 30.0% of consolidated EBITDA or LTM EBITDA (as defined in the Credit Agreement and the Indenture, respectively) and the judgments were not stayed or remained undischarged for a period of 60 consecutive days. Thus, if we or our subsidiaries are unable to meet collateral requirements to post an appellate bond to stay the enforceability of a judgment, absent judicial relief, we may be required to negotiate with our current lenders to avert a default under our senior secured credit facilities and the success of such negotiations cannot be assured.</w:t>
      </w:r>
    </w:p>
    <w:p>
      <w:pPr>
        <w:spacing w:after="0" w:line="164" w:lineRule="exact"/>
        <w:rPr>
          <w:sz w:val="20"/>
          <w:szCs w:val="20"/>
          <w:color w:val="auto"/>
        </w:rPr>
      </w:pPr>
    </w:p>
    <w:p>
      <w:pPr>
        <w:ind w:right="580"/>
        <w:spacing w:after="0" w:line="366" w:lineRule="auto"/>
        <w:rPr>
          <w:sz w:val="20"/>
          <w:szCs w:val="20"/>
          <w:color w:val="auto"/>
        </w:rPr>
      </w:pPr>
      <w:r>
        <w:rPr>
          <w:rFonts w:ascii="Arial" w:cs="Arial" w:eastAsia="Arial" w:hAnsi="Arial"/>
          <w:sz w:val="17"/>
          <w:szCs w:val="17"/>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117"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products that are damaged as a result of the nonconformance. We could be held liable for personal injury, contractual or other damages that are alleged to result from improper or incorrect processing, cycle parameters or dosage specifications, testing or product damage. Even where processing occurred within cycle parameters, we have faced and may face future claims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any of which could require retesting and result in claims of economic or other loss or personal injury.</w:t>
      </w:r>
    </w:p>
    <w:p>
      <w:pPr>
        <w:spacing w:after="0" w:line="200" w:lineRule="exact"/>
        <w:rPr>
          <w:sz w:val="20"/>
          <w:szCs w:val="20"/>
          <w:color w:val="auto"/>
        </w:rPr>
      </w:pPr>
    </w:p>
    <w:p>
      <w:pPr>
        <w:spacing w:after="0" w:line="223"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We derive limited revenue from government customers. Our government contracts may contain additional requirements that may increase our costs of doing business, subject us to additional government scrutiny and expose us to liability for failure to comply with additional government requirements. In our Nordion business, our processing and sale of medical-grade Co-60 used for radiation therapy involves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7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color w:val="auto"/>
        </w:rPr>
        <w:t>Although we maintain product and professional liability insurance coverage in amounts we believe are customary for a company of our size, there can be no assurance that this level of coverage is adequate or that we will be able to continue to maintain our existing insurance or obtain comparable insurance at a reasonable cost, if at all. In addition, insurance coverage is subject to exclusions, which change from time to time based on industry developments. Our current product and professional liability insurance does not cover matters related to EO emissions, for example. A product recall or seizure or a partially or completely uninsured judgment against us could have a material adverse effect on our business, prospects, financial condition or results of operations.</w:t>
      </w:r>
    </w:p>
    <w:p>
      <w:pPr>
        <w:spacing w:after="0" w:line="204" w:lineRule="exact"/>
        <w:rPr>
          <w:sz w:val="20"/>
          <w:szCs w:val="20"/>
          <w:color w:val="auto"/>
        </w:rPr>
      </w:pPr>
    </w:p>
    <w:p>
      <w:pPr>
        <w:ind w:right="220"/>
        <w:spacing w:after="0" w:line="298" w:lineRule="auto"/>
        <w:rPr>
          <w:sz w:val="20"/>
          <w:szCs w:val="20"/>
          <w:color w:val="auto"/>
        </w:rPr>
      </w:pPr>
      <w:r>
        <w:rPr>
          <w:rFonts w:ascii="Arial" w:cs="Arial" w:eastAsia="Arial" w:hAnsi="Arial"/>
          <w:sz w:val="17"/>
          <w:szCs w:val="17"/>
          <w:b w:val="1"/>
          <w:bCs w:val="1"/>
          <w:i w:val="1"/>
          <w:iCs w:val="1"/>
          <w:color w:val="auto"/>
        </w:rPr>
        <w:t>We are subject to extensive regulatory requirements and routine regulatory audits in our operations. We must receive certain permits, licenses and/or regulatory clearance or approval for our operations. Compliance with these regulations is costly, and failure to comply with all laws and regulations or to receive or maintain permits, licenses, clearances</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b w:val="1"/>
          <w:bCs w:val="1"/>
          <w:i w:val="1"/>
          <w:iCs w:val="1"/>
          <w:color w:val="auto"/>
        </w:rPr>
        <w:t>or approvals may impact our revenues, profitability, financial condition or value. We may face liability and reputational risks even if we comply with all laws and regulations.</w:t>
      </w:r>
    </w:p>
    <w:p>
      <w:pPr>
        <w:spacing w:after="0" w:line="210"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fire protection, research, marketing, transportation, drug enforcement (governing the handling of controlled substances), protection against infectious diseases and pathogens and</w:t>
      </w:r>
    </w:p>
    <w:p>
      <w:pPr>
        <w:sectPr>
          <w:pgSz w:w="11880" w:h="15480" w:orient="portrait"/>
          <w:cols w:equalWidth="0" w:num="1">
            <w:col w:w="10020"/>
          </w:cols>
          <w:pgMar w:left="920" w:top="534" w:right="94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20"/>
          </w:cols>
          <w:pgMar w:left="920" w:top="534" w:right="940" w:bottom="0" w:gutter="0" w:footer="0" w:header="0"/>
          <w:type w:val="continuous"/>
        </w:sectPr>
      </w:pPr>
    </w:p>
    <w:bookmarkStart w:id="32" w:name="page33"/>
    <w:bookmarkEnd w:id="32"/>
    <w:p>
      <w:pPr>
        <w:ind w:right="20"/>
        <w:spacing w:after="0" w:line="264" w:lineRule="auto"/>
        <w:rPr>
          <w:sz w:val="20"/>
          <w:szCs w:val="20"/>
          <w:color w:val="auto"/>
        </w:rPr>
      </w:pPr>
      <w:r>
        <w:rPr>
          <w:rFonts w:ascii="Arial" w:cs="Arial" w:eastAsia="Arial" w:hAnsi="Arial"/>
          <w:sz w:val="19"/>
          <w:szCs w:val="19"/>
          <w:color w:val="auto"/>
        </w:rPr>
        <w:t>agriculture, fish and wildlife. These laws and regulations regulate our use of potentially hazardous materials, such as EO, Co-60 and E-beam, and can require us to carefully manage, control emissions of and/or limit human exposure to, these materials. For example, OSHA and U.S. EPA regulations and similar laws in other jurisdictions limit worker exposure to EO. In addition, FDA and comparable foreign regulations dictate the acceptable amount of EO residue on different types of sterilized products. In most jurisdictions, we are required to maintain and operate pollution control equipment to minimize emissions and releases of EO. Regulations issued by OSHA, the NRC and other agencies also require that equipment used at our facilities be designed and operated in a manner that is safe.</w:t>
      </w:r>
    </w:p>
    <w:p>
      <w:pPr>
        <w:spacing w:after="0" w:line="24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In the United States, the use of EO for medical device sterilization is regulated by the US EPA under the CAA and FIFRA. Our supplier maintains a FIFRA registration for the EO they sell in the United States that is used to sterilize or reduce the viable microorganisms on a listed group of products, including medical devices, pharmaceutical products, cosmetics and spice products.</w:t>
      </w:r>
    </w:p>
    <w:p>
      <w:pPr>
        <w:spacing w:after="0" w:line="202"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In March 2024, the US EPA announced final rules under NESHAP to govern EO sterilization facilities in the United States. The final regulation requires EO sterilization facilities to implement additional air pollution technologies, practices and procedures designed to further reduce EO emissions. For facilities like ours, the final NESHAP regulation imposes new requirements such as higher efficiencies for EO emission controls, implementation of permanent total enclosure capture technology, and use of CEMS. Our operations are required to comply with the final NESHAP EO sterilizer regulation by April 6, 2026 and to conduct a compliance test and demonstrate compliance within 180 days after that date.</w:t>
      </w:r>
    </w:p>
    <w:p>
      <w:pPr>
        <w:spacing w:after="0" w:line="213"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Over the next one to ten years, the FIFRA ID requires users of EO, including EO sterilization facilities like ours in the United States, to reach and maintain reduced employee exposure levels of EO; implement heightened worker protection practices, particularly in those areas of sterilization facilities where workers do not regularly wear respiratory protective equipment; and implement further facility design, increased employee exposure monitoring, additional indoor EO monitoring practices, sterilization cycle concentration limits, and other worker protection and training practices.</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We believe that our investments in emission control enhancements and employee protection at our EO facilities have positioned us to be able to comply with the updated NESHAP and FIFRA ID requirements within the timeframes specified by the final rules, but the requirements of the final rules represent significant changes from historical requirements and are challenging for existing EO sterilization facilities like ours, and therefore we cannot provide certainty that we will be able to comply with the requirements of the final rules at our EO facilities within the time required. Compliance with the final NESHAP and ID may ultimately require additional facility modifications, capital expenditures and operational costs beyond what the Company is presently anticipating.</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US EPA has engaged in additional regulatory activities relating to EO emissions that could trigger additional community concerns and litigation regarding EO that could cause us to incur material defense costs, could result in diversion of management resources, and potentially could cause us to incur material liability or settlement costs or have other adverse effects on our business, financial condition, or operations. For example, in recent years, the US EPA has conducted outreach sessions in communities located near commercial EO sterilization facilities. Such community outreach sessions have in the past, and may in the future, create community concerns and increase the risk of litigation near commercial EO sterilization facilities, including ours, notwithstanding facility compliance with applicable rules and control of emissions beyond the requirements of applicable rules.</w:t>
      </w:r>
    </w:p>
    <w:p>
      <w:pPr>
        <w:spacing w:after="0" w:line="208"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State and local authorities, including California and the South Coast Air Quality Management District (“SCAQMD”) in Southern California, are also conducting community outreach sessions relating to EO commercial sterilization facilities. SCAQMD also adopted new regulations for EO sterilization facilities in December 2023, which require new compliance actions by September 2025. In 2024, SCAQMD published a new health risk assessment and conducted community meetings about risks related to EO emissions from Sterigenics facilities in Vernon, California, and is expected in 2025 to do the same related to the Sterigenics facility in Ontario, California. The European Union has also been reviewing current regulations for the use of EO in EO sterilization facilities and has decided that EO as a sterilizing agent for medical devices will fall under the scope of the European Union Medical Devices Regulation, which may impose new and different regulatory requirements for the use of EO in the European Union. We expect to incur capital costs for enhancements to our equipment and to implement process automation and emission control enhancements to comply with these and other evolving requirements, and we cannot provide assurance that we will be able to timely meet all requirements. If future regulations differ from our current expectations, they may require additional modifications and capital costs beyond what we have budgeted for, which could be material. New standards for commercial EO sterilization, such as the new US EPA standards based on the 2016 IRIS Assessment, could also make it more difficult and expensive to raise capital for future investments in EO sterilization facilities.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534" w:right="920" w:bottom="0" w:gutter="0" w:footer="0" w:header="0"/>
          <w:type w:val="continuous"/>
        </w:sectPr>
      </w:pPr>
    </w:p>
    <w:bookmarkStart w:id="33" w:name="page34"/>
    <w:bookmarkEnd w:id="33"/>
    <w:p>
      <w:pPr>
        <w:ind w:right="80"/>
        <w:spacing w:after="0" w:line="296" w:lineRule="auto"/>
        <w:rPr>
          <w:sz w:val="20"/>
          <w:szCs w:val="20"/>
          <w:color w:val="auto"/>
        </w:rPr>
      </w:pPr>
      <w:r>
        <w:rPr>
          <w:rFonts w:ascii="Arial" w:cs="Arial" w:eastAsia="Arial" w:hAnsi="Arial"/>
          <w:sz w:val="17"/>
          <w:szCs w:val="17"/>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inasmuch as all are signatories to the IAEA conventions and have adopted safety standards from the IAEA and recommendations from the ICRP.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7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From time to time, the FDA issues Form 483 findings related to our operations and may issue warning letters or take other administrative or enforcement actions for noncompliance with FDA laws and regulations. The issues raised by such warning letters and related administrative actions require significant resources and time to correct. Failure to comply with regulatory requirements could have a material adverse effect on our business.</w:t>
      </w:r>
    </w:p>
    <w:p>
      <w:pPr>
        <w:spacing w:after="0" w:line="194"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To the extent Nordion ceases to operate its facility in Kanata, Canada in the future, Nordion will be responsible for the radiological decommissioning of such facility, including in respect of the portion leased by BWX Technologies, Inc. in connection with its 2018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$49.1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200" w:lineRule="exact"/>
        <w:rPr>
          <w:sz w:val="20"/>
          <w:szCs w:val="20"/>
          <w:color w:val="auto"/>
        </w:rPr>
      </w:pPr>
    </w:p>
    <w:p>
      <w:pPr>
        <w:spacing w:after="0" w:line="207"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 xml:space="preserve">See Item 1, </w:t>
      </w:r>
      <w:r>
        <w:rPr>
          <w:rFonts w:ascii="Arial" w:cs="Arial" w:eastAsia="Arial" w:hAnsi="Arial"/>
          <w:sz w:val="20"/>
          <w:szCs w:val="20"/>
          <w:b w:val="1"/>
          <w:bCs w:val="1"/>
          <w:color w:val="auto"/>
        </w:rPr>
        <w:t>“</w:t>
      </w:r>
      <w:r>
        <w:rPr>
          <w:rFonts w:ascii="Arial" w:cs="Arial" w:eastAsia="Arial" w:hAnsi="Arial"/>
          <w:sz w:val="17"/>
          <w:szCs w:val="17"/>
          <w:color w:val="auto"/>
        </w:rPr>
        <w:t>Business—Governmental Regulation and Environmental Matters” for more information on the regulatory requirements of our businesses. Compliance with these regulations, our own voluntary programs that relate to maintaining the safety of our employees and facilities as well as the environment, and the safety and competitiveness of our equipment, systems and facilities, may be difficult, burdensome or expensive. Any changes in these regulations, the interpretation of such regulations or our customers’ perception of such changes could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some of the countries in which we operate. Failure to secure renewal of permits or tightening of restrictions within our existing permits could have a material adverse effect on our business or cause us to incur material expenses.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For example, officials stopped operations at one of our facilities purportedly to review our fire and building code status and certificate of occupancy and we were required to initiate and prevail in litigation to establish that we were entitled to continue to operate our facility.</w:t>
      </w:r>
    </w:p>
    <w:p>
      <w:pPr>
        <w:spacing w:after="0" w:line="17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Our failure to comply with the regulatory requirements of these agencies and officials may subject us to administratively or judicially imposed sanctions. These sanctions include, among others, warning letters, notices of violation,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Item 3, Legal Proceedings and Note 19, “Commitments and Contingencies,” to our consolidated financial statements and related Risk Factor “—Potential health risks associated with the use of EO may subject us to future liability claims and associated adverse effects.” The failure to receive or maintain, or delays in the receipt of, relevant U.S. or international regulatory qualifications could have a material adverse effect on our business, prospects, financial condition or results of operations.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534" w:right="920" w:bottom="0" w:gutter="0" w:footer="0" w:header="0"/>
          <w:type w:val="continuous"/>
        </w:sectPr>
      </w:pPr>
    </w:p>
    <w:bookmarkStart w:id="34" w:name="page35"/>
    <w:bookmarkEnd w:id="34"/>
    <w:p>
      <w:pPr>
        <w:ind w:right="480"/>
        <w:spacing w:after="0" w:line="275" w:lineRule="auto"/>
        <w:rPr>
          <w:sz w:val="20"/>
          <w:szCs w:val="20"/>
          <w:color w:val="auto"/>
        </w:rPr>
      </w:pPr>
      <w:r>
        <w:rPr>
          <w:rFonts w:ascii="Arial" w:cs="Arial" w:eastAsia="Arial" w:hAnsi="Arial"/>
          <w:sz w:val="20"/>
          <w:szCs w:val="20"/>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injuries or significant property damage, regulatory repercussions or difficulties fulfilling our obligations to our customers, any of which could have a material adverse effect on our business, prospects, financial condition or results of operations.</w:t>
      </w:r>
    </w:p>
    <w:p>
      <w:pPr>
        <w:spacing w:after="0" w:line="193"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Our EO and Co-60 raw materials are potentially hazardous and we are therefore subject to stringent requirements to secure these materials from theft or other unauthorized uses. If our failure to adequately secure these materials leads to them being stolen or materially damaged, our licenses to operate could be suspended, resulting in a material adverse effect to our business, prospects, financial condition or results of operations. Any such incident could also have legal consequences, such as fines and penalties for violations of regulatory requirements and/or lawsuits for personal injuries, property damage or diminution or other claims that could result in substantial liability to us. Additionally, loss of control of Co-60 sources by a customer could result in contamination and significant public health consequences.</w:t>
      </w:r>
    </w:p>
    <w:p>
      <w:pPr>
        <w:spacing w:after="0" w:line="164" w:lineRule="exact"/>
        <w:rPr>
          <w:sz w:val="20"/>
          <w:szCs w:val="20"/>
          <w:color w:val="auto"/>
        </w:rPr>
      </w:pPr>
    </w:p>
    <w:p>
      <w:pPr>
        <w:ind w:right="440"/>
        <w:spacing w:after="0" w:line="275" w:lineRule="auto"/>
        <w:rPr>
          <w:sz w:val="20"/>
          <w:szCs w:val="20"/>
          <w:color w:val="auto"/>
        </w:rPr>
      </w:pPr>
      <w:r>
        <w:rPr>
          <w:rFonts w:ascii="Arial" w:cs="Arial" w:eastAsia="Arial" w:hAnsi="Arial"/>
          <w:sz w:val="20"/>
          <w:szCs w:val="20"/>
          <w:b w:val="1"/>
          <w:bCs w:val="1"/>
          <w:i w:val="1"/>
          <w:iCs w:val="1"/>
          <w:color w:val="auto"/>
        </w:rPr>
        <w:t>Industry trends could impact the demand for our products and services and could have a material adverse effect on our business.</w:t>
      </w:r>
    </w:p>
    <w:p>
      <w:pPr>
        <w:spacing w:after="0" w:line="18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Industry trends that affect medical device, pharmaceutical or biotechnology companies could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For example, while X-ray has yet to be widely adopted as a method of sterilization, X-ray could be adopted as an alternative to Co-60 gamma irradiation in the future because of potential concerns about the cost or availability of Co-60 or the perceived benefits of X-ray. In addition, government agencies may encourage the development of X-ray to mitigate potential risks to the supply of Co-60 or to try to reduce access to radioactive material in particular areas, which could have an adverse impact on our business.</w:t>
      </w:r>
    </w:p>
    <w:p>
      <w:pPr>
        <w:spacing w:after="0" w:line="170"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If changes in healthcare regulations or other developments in the healthcare industry, including concerns around single-use medical devices or the impact of the COVID-19 pandemic, were to lead to a material reduction in medical procedures or use of medical devices, demand for our services could be adversely affected. For more information, see Risk Factor “— Severe health events or environmental events, including impacts from climate change, and natural disasters, could have material adverse effects on our business, financial condition and results of operations.”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may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527" w:right="920" w:bottom="0" w:gutter="0" w:footer="0" w:header="0"/>
          <w:type w:val="continuous"/>
        </w:sectPr>
      </w:pPr>
    </w:p>
    <w:bookmarkStart w:id="35" w:name="page36"/>
    <w:bookmarkEnd w:id="35"/>
    <w:p>
      <w:pPr>
        <w:ind w:right="360"/>
        <w:spacing w:after="0" w:line="275" w:lineRule="auto"/>
        <w:rPr>
          <w:sz w:val="20"/>
          <w:szCs w:val="20"/>
          <w:color w:val="auto"/>
        </w:rPr>
      </w:pPr>
      <w:r>
        <w:rPr>
          <w:rFonts w:ascii="Arial" w:cs="Arial" w:eastAsia="Arial" w:hAnsi="Arial"/>
          <w:sz w:val="20"/>
          <w:szCs w:val="20"/>
          <w:b w:val="1"/>
          <w:bCs w:val="1"/>
          <w:i w:val="1"/>
          <w:iCs w:val="1"/>
          <w:color w:val="auto"/>
        </w:rPr>
        <w:t>Our business is highly competitive, and if we fail to compete successfully, our business, prospects, financial condition or results of operations may be adversely affected.</w:t>
      </w:r>
    </w:p>
    <w:p>
      <w:pPr>
        <w:spacing w:after="0" w:line="186"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color w:val="auto"/>
        </w:rPr>
        <w:t>We face competition from other providers of outsourced sterilization and lab services. In addition, some manufacturers have developed or are developing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technologies, which would not rely on the availability of Co-60. If our competitors or manufacturers significantly expand their sterilization or lab testing capacities, including as a result of these alternative technologies, this could lead to price fluctuations and competitive pricing pressure, diminish our profitability or result in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200" w:lineRule="exact"/>
        <w:rPr>
          <w:sz w:val="20"/>
          <w:szCs w:val="20"/>
          <w:color w:val="auto"/>
        </w:rPr>
      </w:pPr>
    </w:p>
    <w:p>
      <w:pPr>
        <w:spacing w:after="0" w:line="210"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If Co-60 source suppliers in other countries, including China, India, Argentina or Russia, significantly increase their involvement in the global Co-60 sources market, this could have a material adverse effect over the long-term on our business, prospects, financial condition or results of operations. Several customers of our Nordion business are themselves providers of sterilization services and therefore are competitors of our Sterigenics business. If these customers were to shift to a different supplier of Co-60 because they prefer to use a supplier not affiliated with us or for any other reason, this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182" w:lineRule="exact"/>
        <w:rPr>
          <w:sz w:val="20"/>
          <w:szCs w:val="20"/>
          <w:color w:val="auto"/>
        </w:rPr>
      </w:pPr>
    </w:p>
    <w:p>
      <w:pPr>
        <w:spacing w:after="0" w:line="366" w:lineRule="auto"/>
        <w:rPr>
          <w:sz w:val="20"/>
          <w:szCs w:val="20"/>
          <w:color w:val="auto"/>
        </w:rPr>
      </w:pPr>
      <w:r>
        <w:rPr>
          <w:rFonts w:ascii="Arial" w:cs="Arial" w:eastAsia="Arial" w:hAnsi="Arial"/>
          <w:sz w:val="17"/>
          <w:szCs w:val="17"/>
          <w:b w:val="1"/>
          <w:bCs w:val="1"/>
          <w:i w:val="1"/>
          <w:iCs w:val="1"/>
          <w:color w:val="auto"/>
        </w:rPr>
        <w:t>The price of our input costs, including labor, raw materials and energy, are subject to inflation and other market risks and our ability to pass through increases in our input costs is highly dependent on market conditions.</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color w:val="auto"/>
        </w:rPr>
        <w:t>Our aggregate direct input costs, including labor, raw materials and energy, represent a significant portion of our cost of revenues. We have experienced and may continue to experience, volatility and increases in the price of certain of these costs as a result of global market and supply chain disruptions and the broader inflationary environment.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our input costs is highly dependent upon market conditions and we may not be able to immediately raise our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or anticipated reactions by our customers and competitors to our price increases could cause us to reevaluate and possibly reverse or reduce such price increases. We also may not be able to accurately predict the volume impact of price increases, especially if our competitors are able to adjust to such input cost volatility more successfully. Material increases in the price of labor, raw materials, or energy could have a material adverse effect on our business, prospects, financial condition or results of operations, particularly if we are unable to increase the prices to our customers of our products or services to offset inflationary cost trends or if we are unable to achieve cost savings to offset such cost increases, our profits and operating results could be adversely affected.</w:t>
      </w:r>
    </w:p>
    <w:p>
      <w:pPr>
        <w:spacing w:after="0" w:line="200" w:lineRule="exact"/>
        <w:rPr>
          <w:sz w:val="20"/>
          <w:szCs w:val="20"/>
          <w:color w:val="auto"/>
        </w:rPr>
      </w:pPr>
    </w:p>
    <w:p>
      <w:pPr>
        <w:spacing w:after="0" w:line="208" w:lineRule="exact"/>
        <w:rPr>
          <w:sz w:val="20"/>
          <w:szCs w:val="20"/>
          <w:color w:val="auto"/>
        </w:rPr>
      </w:pPr>
    </w:p>
    <w:p>
      <w:pPr>
        <w:jc w:val="both"/>
        <w:ind w:right="220"/>
        <w:spacing w:after="0" w:line="327" w:lineRule="auto"/>
        <w:rPr>
          <w:sz w:val="20"/>
          <w:szCs w:val="20"/>
          <w:color w:val="auto"/>
        </w:rPr>
      </w:pPr>
      <w:r>
        <w:rPr>
          <w:rFonts w:ascii="Arial" w:cs="Arial" w:eastAsia="Arial" w:hAnsi="Arial"/>
          <w:sz w:val="17"/>
          <w:szCs w:val="17"/>
          <w:b w:val="1"/>
          <w:bCs w:val="1"/>
          <w:i w:val="1"/>
          <w:iCs w:val="1"/>
          <w:color w:val="auto"/>
        </w:rPr>
        <w:t>Our operations are subject to a variety of business continuity hazards and risks, including supply chain disruptions due to geopolitical uncertainty, and our reliance on the use and sale of products and services from single locations, any of which could interrupt production or operations or otherwise adversely affect our performance, results or value.</w:t>
      </w:r>
    </w:p>
    <w:p>
      <w:pPr>
        <w:spacing w:after="0" w:line="149" w:lineRule="exact"/>
        <w:rPr>
          <w:sz w:val="20"/>
          <w:szCs w:val="20"/>
          <w:color w:val="auto"/>
        </w:rPr>
      </w:pPr>
    </w:p>
    <w:p>
      <w:pPr>
        <w:ind w:right="300"/>
        <w:spacing w:after="0" w:line="361" w:lineRule="auto"/>
        <w:rPr>
          <w:sz w:val="20"/>
          <w:szCs w:val="20"/>
          <w:color w:val="auto"/>
        </w:rPr>
      </w:pPr>
      <w:r>
        <w:rPr>
          <w:rFonts w:ascii="Arial" w:cs="Arial" w:eastAsia="Arial" w:hAnsi="Arial"/>
          <w:sz w:val="17"/>
          <w:szCs w:val="17"/>
          <w:color w:val="auto"/>
        </w:rPr>
        <w:t>Our operations and our supplier and customers’ operations are subject to business continuity hazards and risks that include explosions, fires, earthquakes, inclement weather and other natural disasters; utility, equipment or other mechanical failures;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527" w:right="920" w:bottom="0" w:gutter="0" w:footer="0" w:header="0"/>
          <w:type w:val="continuous"/>
        </w:sectPr>
      </w:pPr>
    </w:p>
    <w:bookmarkStart w:id="36" w:name="page37"/>
    <w:bookmarkEnd w:id="36"/>
    <w:p>
      <w:pPr>
        <w:ind w:right="60"/>
        <w:spacing w:after="0" w:line="254" w:lineRule="auto"/>
        <w:rPr>
          <w:sz w:val="20"/>
          <w:szCs w:val="20"/>
          <w:color w:val="auto"/>
        </w:rPr>
      </w:pPr>
      <w:r>
        <w:rPr>
          <w:rFonts w:ascii="Arial" w:cs="Arial" w:eastAsia="Arial" w:hAnsi="Arial"/>
          <w:sz w:val="20"/>
          <w:szCs w:val="20"/>
          <w:color w:val="auto"/>
        </w:rPr>
        <w:t>unscheduled downtime; labor difficulties; disruption of communications; security breaches or other workplace violence events; changes in regulations, including sanctions, export and import controls and other trade restrictions; changes in the use of government-owned reactors, including repurposing nuclear facilities; other governmental action; and pandemics or other public health crises.</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to which we are subject regarding the manufacture of our products and provision of services and the complexities involved with processing Co-60 may prevent or delay us from establishing additional or replacement sources for our production facilities. Any event, including those listed above, that results in a prolonged business disruption or shutdown to one or more of our facilities, or the facilities of a supplier or customer,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200" w:lineRule="exact"/>
        <w:rPr>
          <w:sz w:val="20"/>
          <w:szCs w:val="20"/>
          <w:color w:val="auto"/>
        </w:rPr>
      </w:pPr>
    </w:p>
    <w:p>
      <w:pPr>
        <w:spacing w:after="0" w:line="215"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Supply chain disruptions, such as the ones related to geopolitical uncertainty and conflicts, severe health events or a natural disaster, may impair or delay our ability to obtain sufficient quantities of certain materials through our ordinary supply channels and cause us to incur higher costs by procuring raw materials from other sources in order to compensate for such delays or lack of availability. Supply chain disruptions such as these may impair or delay our customers’ ability to provide us work or products for processing or affect the availability, quality and pricing of materials used in the operation of our business or our customers’ businesses. If we are not able to successfully mitigate such supply chain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Governmental action may disrupt the operations of our facilities that process potentially hazardous materials. For example, in June 2021, in a lawsuit related to Sterigenics’ facility in Santa Teresa, New Mexico, the court granted a motion by New Mexico’s Attorney General for a preliminary injunction prohibiting Sterigenics from allowing any uncontrolled emission or release of EO from that facility. In December 2021, the court further established protocols to monitor Sterigenics’ compliance with the preliminary injunction. Although operations at the Santa Teresa facility comply with these orders, operations at the facility may be negatively impacted if Sterigenics is unable to continue to comply. Similar actions in the future by local, state or federal officials might disrupt or shut down operations or otherwise adversely impact the production or profitability of our facilities or its operations as a whole.</w:t>
      </w:r>
    </w:p>
    <w:p>
      <w:pPr>
        <w:spacing w:after="0" w:line="194"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We obtain Co-60 from a limited number of suppliers. If any of the facilities or reactors from which we obtain Co-60 were to be seriously damaged or have their production materially decrease due to a natural disaster or other adverse occurrence, or if we become unable to transact with one of our suppliers of Co-60 due to expanded sanctions, our access to Co-60 would be materially affected and we may be unable to meet all the needs of our customers.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geopolitical instability and sanctions against Russia by the United States, Canada, United Kingdom and European Union, may have a material adverse effect on our operating results.”</w:t>
      </w:r>
    </w:p>
    <w:p>
      <w:pPr>
        <w:spacing w:after="0" w:line="169" w:lineRule="exact"/>
        <w:rPr>
          <w:sz w:val="20"/>
          <w:szCs w:val="20"/>
          <w:color w:val="auto"/>
        </w:rPr>
      </w:pPr>
    </w:p>
    <w:p>
      <w:pPr>
        <w:ind w:right="80"/>
        <w:spacing w:after="0" w:line="325" w:lineRule="auto"/>
        <w:rPr>
          <w:sz w:val="20"/>
          <w:szCs w:val="20"/>
          <w:color w:val="auto"/>
        </w:rPr>
      </w:pPr>
      <w:r>
        <w:rPr>
          <w:rFonts w:ascii="Arial" w:cs="Arial" w:eastAsia="Arial" w:hAnsi="Arial"/>
          <w:sz w:val="17"/>
          <w:szCs w:val="17"/>
          <w:color w:val="auto"/>
        </w:rPr>
        <w:t>While we maintain insurance policies covering, among other things, physical damage, premises liability,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may be adversely affected by global and regional economic and political instability.</w:t>
      </w:r>
    </w:p>
    <w:p>
      <w:pPr>
        <w:spacing w:after="0" w:line="248"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We may be adversely affected by global and regional economic and political conditions. The uncertainty or deterioration of the global economic and political environment could adversely affect us. Russia’s invasion of Ukraine has significantly elevated global geopolitical tensions and continues to cause instability and volatility in global markets. The United States, Canada, the United Kingdom and European Union have implemented broad sanctions targeting Russia, which have the potential to disrupt our supply of Co-60 from Russia. The conflict between Israel and Hamas and Hamas’ allies, including Iran and factions in Lebanon, and its potential ramifications for the Middle East have caused and may continue to cause instability and volatility in global markets and adversely impact global supply chains, including potentially disrupting shipping channels. Any such</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0"/>
          </w:cols>
          <w:pgMar w:left="920" w:top="534" w:right="920" w:bottom="0" w:gutter="0" w:footer="0" w:header="0"/>
          <w:type w:val="continuous"/>
        </w:sectPr>
      </w:pPr>
    </w:p>
    <w:bookmarkStart w:id="37" w:name="page38"/>
    <w:bookmarkEnd w:id="37"/>
    <w:p>
      <w:pPr>
        <w:ind w:right="140"/>
        <w:spacing w:after="0" w:line="306" w:lineRule="auto"/>
        <w:rPr>
          <w:sz w:val="20"/>
          <w:szCs w:val="20"/>
          <w:color w:val="auto"/>
        </w:rPr>
      </w:pPr>
      <w:r>
        <w:rPr>
          <w:rFonts w:ascii="Arial" w:cs="Arial" w:eastAsia="Arial" w:hAnsi="Arial"/>
          <w:sz w:val="17"/>
          <w:szCs w:val="17"/>
          <w:color w:val="auto"/>
        </w:rPr>
        <w:t>disruptions could have a material adverse effect on our business, prospects, financial condition or results of operations. See related Risk Factor “—We depend on a limited number of counterparties to provide the materials and resources we need to operate our business. Any disruption in the availability of, or increases in the price of, EO, Co-60 or our other direct materials, services and supplies, including as a result of current geopolitical instability against Russia by the United States, Canada, United Kingdom, and European Union, may have a material adverse effect on our operating results.”</w:t>
      </w:r>
    </w:p>
    <w:p>
      <w:pPr>
        <w:spacing w:after="0" w:line="165"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The potential worsening of macro-economic conditions, including slower growth or recession, the inflationary environment, tighter credit, higher interest rates and currency fluctuations, may cause customers to modify, delay or cancel plans to purchase our products and services and suppliers may significantly and rapidly increase their prices or reduce their output because of cash flow problems. Any inability of current or potential customers to purchase or pay for our products because of such declining economic conditions or changes in spending patterns at medical device, pharmaceutical and biotechnology companies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16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20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growth strategy depends on expanding capacity in Europe, the Americas and Asia, which includes building new facilities and maintaining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and equipment would adversely affect ongoing development, construction and continuing operation of our facilities. Additionally, even when we maintain the necessary licenses and equipment and comply with applicable regulations, we still may be unable to maintain or expand our operations at existing facilities, or otherwise execute on our growth strategy, because of negative publicity or community resistance. Suspensions and closures of our facilities have impacted and may continue to impact our results of operations, and the effects could be material. New facilities may not meet our return expectations due to schedule delays, diversion of management’s attention,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168" w:lineRule="exact"/>
        <w:rPr>
          <w:sz w:val="20"/>
          <w:szCs w:val="20"/>
          <w:color w:val="auto"/>
        </w:rPr>
      </w:pPr>
    </w:p>
    <w:p>
      <w:pPr>
        <w:ind w:right="140"/>
        <w:spacing w:after="0" w:line="366" w:lineRule="auto"/>
        <w:rPr>
          <w:sz w:val="20"/>
          <w:szCs w:val="20"/>
          <w:color w:val="auto"/>
        </w:rPr>
      </w:pPr>
      <w:r>
        <w:rPr>
          <w:rFonts w:ascii="Arial" w:cs="Arial" w:eastAsia="Arial" w:hAnsi="Arial"/>
          <w:sz w:val="17"/>
          <w:szCs w:val="17"/>
          <w:b w:val="1"/>
          <w:bCs w:val="1"/>
          <w:i w:val="1"/>
          <w:iCs w:val="1"/>
          <w:color w:val="auto"/>
        </w:rPr>
        <w:t>We depend upon our ability to attract and retain highly skilled employees. If we fail to attract and retain the talent required for our business, our operations could be adversely affected and our business could be materially harmed.</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We depend to a significant degree on our ability to hire and retain highly qualified personnel with expertise in our industries. The market for qualified employees in the industries in which we operate is competitive and our ability to operate, compete and grow our business depends on our ability to hire and retain qualified personnel in all areas of our organization. If our recruiting efforts are less successful, or if we cannot retain our key personnel, performance of our operations may suffer and we may be delayed or prevented from achieving our business objectives. If we are unable to attract and retain highly skilled employees, our inability to do so could have a material adverse effect on our business, prospects, financial condition or results of operations.</w:t>
      </w:r>
    </w:p>
    <w:p>
      <w:pPr>
        <w:spacing w:after="0" w:line="206" w:lineRule="exact"/>
        <w:rPr>
          <w:sz w:val="20"/>
          <w:szCs w:val="20"/>
          <w:color w:val="auto"/>
        </w:rPr>
      </w:pPr>
    </w:p>
    <w:p>
      <w:pPr>
        <w:ind w:right="520"/>
        <w:spacing w:after="0" w:line="275" w:lineRule="auto"/>
        <w:rPr>
          <w:sz w:val="20"/>
          <w:szCs w:val="20"/>
          <w:color w:val="auto"/>
        </w:rPr>
      </w:pPr>
      <w:r>
        <w:rPr>
          <w:rFonts w:ascii="Arial" w:cs="Arial" w:eastAsia="Arial" w:hAnsi="Arial"/>
          <w:sz w:val="20"/>
          <w:szCs w:val="20"/>
          <w:b w:val="1"/>
          <w:bCs w:val="1"/>
          <w:i w:val="1"/>
          <w:iCs w:val="1"/>
          <w:color w:val="auto"/>
        </w:rPr>
        <w:t>We occupy many of our facilities under long-term leases, and we may be unable to renew our leases at the end of their terms.</w:t>
      </w:r>
    </w:p>
    <w:p>
      <w:pPr>
        <w:spacing w:after="0" w:line="186"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Many of our facilities are located on leased premises. These leases vary in length up through 2044, most with options to renew for specified periods of time. At the end of the lease term and any renewal period for a facility, we may be unable to renew the lease without substantial additional cost, if at all.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Even briefly closing a facility to relocate would reduce the sales that the facility would have contributed to our revenues and could negatively impact our customer relations. Any such relocation or closure could have a material adverse effect on our business, prospects, financial condition or results of operations.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534" w:right="920" w:bottom="0" w:gutter="0" w:footer="0" w:header="0"/>
          <w:type w:val="continuous"/>
        </w:sectPr>
      </w:pPr>
    </w:p>
    <w:bookmarkStart w:id="38" w:name="page39"/>
    <w:bookmarkEnd w:id="38"/>
    <w:p>
      <w:pPr>
        <w:ind w:right="20"/>
        <w:spacing w:after="0" w:line="275" w:lineRule="auto"/>
        <w:rPr>
          <w:sz w:val="20"/>
          <w:szCs w:val="20"/>
          <w:color w:val="auto"/>
        </w:rPr>
      </w:pPr>
      <w:r>
        <w:rPr>
          <w:rFonts w:ascii="Arial" w:cs="Arial" w:eastAsia="Arial" w:hAnsi="Arial"/>
          <w:sz w:val="20"/>
          <w:szCs w:val="20"/>
          <w:b w:val="1"/>
          <w:bCs w:val="1"/>
          <w:i w:val="1"/>
          <w:iCs w:val="1"/>
          <w:color w:val="auto"/>
        </w:rPr>
        <w:t>We conduct sales and distribution operations on a worldwide basis and are subject to a variety of risks associated with doing business outside the United States.</w:t>
      </w:r>
    </w:p>
    <w:p>
      <w:pPr>
        <w:spacing w:after="0" w:line="186" w:lineRule="exact"/>
        <w:rPr>
          <w:sz w:val="20"/>
          <w:szCs w:val="20"/>
          <w:color w:val="auto"/>
        </w:rPr>
      </w:pPr>
    </w:p>
    <w:p>
      <w:pPr>
        <w:jc w:val="both"/>
        <w:ind w:right="140"/>
        <w:spacing w:after="0" w:line="325" w:lineRule="auto"/>
        <w:rPr>
          <w:sz w:val="20"/>
          <w:szCs w:val="20"/>
          <w:color w:val="auto"/>
        </w:rPr>
      </w:pPr>
      <w:r>
        <w:rPr>
          <w:rFonts w:ascii="Arial" w:cs="Arial" w:eastAsia="Arial" w:hAnsi="Arial"/>
          <w:sz w:val="17"/>
          <w:szCs w:val="17"/>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29" w:lineRule="exact"/>
        <w:rPr>
          <w:sz w:val="20"/>
          <w:szCs w:val="20"/>
          <w:color w:val="auto"/>
        </w:rPr>
      </w:pPr>
    </w:p>
    <w:p>
      <w:pPr>
        <w:ind w:left="700" w:hanging="355"/>
        <w:spacing w:after="0" w:line="254"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imposition of or increases in duties and tariffs on foreign imports into the United States, particularly from Canada, China and Mexico, by the current U.S. federal administration, as well as duties and tariffs and any retaliatory measures imposed by Canada or other countries, and the Company’s ability or inability to pass through such price increases to customers;</w:t>
      </w:r>
    </w:p>
    <w:p>
      <w:pPr>
        <w:spacing w:after="0" w:line="84" w:lineRule="exact"/>
        <w:rPr>
          <w:rFonts w:ascii="Arial" w:cs="Arial" w:eastAsia="Arial" w:hAnsi="Arial"/>
          <w:sz w:val="20"/>
          <w:szCs w:val="20"/>
          <w:color w:val="auto"/>
        </w:rPr>
      </w:pPr>
    </w:p>
    <w:p>
      <w:pPr>
        <w:ind w:left="700" w:right="220" w:hanging="355"/>
        <w:spacing w:after="0" w:line="325"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associated with compliance with numerous, potentially conflicting and frequently complex and changing laws in multiple jurisdictions relating to environmental matters, intellectual property, privacy and data protection, corrupt practices, embargoes, trade sanctions, competition, employment and licensing, among other things;</w:t>
      </w:r>
    </w:p>
    <w:p>
      <w:pPr>
        <w:spacing w:after="0" w:line="29" w:lineRule="exact"/>
        <w:rPr>
          <w:rFonts w:ascii="Arial" w:cs="Arial" w:eastAsia="Arial" w:hAnsi="Arial"/>
          <w:sz w:val="17"/>
          <w:szCs w:val="17"/>
          <w:color w:val="auto"/>
        </w:rPr>
      </w:pPr>
    </w:p>
    <w:p>
      <w:pPr>
        <w:ind w:left="700" w:right="60" w:hanging="355"/>
        <w:spacing w:after="0" w:line="271"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general economic, social and political conditions in countries where we operate, including international and U.S. trade and sanctions policies and currency exchange rate fluctuations;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tax and other laws that restrict our ability to use tax credits, offset gains or repatriate funds;</w:t>
      </w:r>
    </w:p>
    <w:p>
      <w:pPr>
        <w:spacing w:after="0" w:line="122" w:lineRule="exact"/>
        <w:rPr>
          <w:rFonts w:ascii="Arial" w:cs="Arial" w:eastAsia="Arial" w:hAnsi="Arial"/>
          <w:sz w:val="20"/>
          <w:szCs w:val="20"/>
          <w:color w:val="auto"/>
        </w:rPr>
      </w:pPr>
    </w:p>
    <w:p>
      <w:pPr>
        <w:ind w:left="700" w:right="580" w:hanging="355"/>
        <w:spacing w:after="0" w:line="271" w:lineRule="auto"/>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currency restrictions, transfer pricing regulations and adverse tax consequences, which may affect our ability to transfer capital and profits;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inflation, deflation and stagflation in any country in which we have a manufacturing facility; and</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foreign customers with longer payment cycles than customers in the United States.</w:t>
      </w:r>
    </w:p>
    <w:p>
      <w:pPr>
        <w:spacing w:after="0" w:line="240"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We operate in a number of countries whose governments and companies do not always share the depth or breadth of the commitment to anti-corruption and ethical behavior that is required by U.S. laws and our Code of Conduct and other corporate policies. Based on the nature of our products, our business activities involve interaction with government agencies, public officials and state-owned enterprises. We are subject to the risk that we, our U.S. employees, our employees located in other jurisdictions, or third parties we engage to do work on our behalf may take actions determined to be in violation of anti-corruption laws in the United States or the jurisdictions in which we conduct business. The U.S. Foreign Corrupt Practices Act (the “FCPA”) and the Canadian Corruption of Foreign Public Officials Act (the “CFPOA”) prohibit corruptly providing anything of value to foreign officials (including employees of state-owned enterprises) for the purposes of obtaining or retaining business or securing any improper business advantage. The provisions of the U.K. Bribery Act of 2010 (the “Bribery Act”) extend beyond bribery of foreign public officials and are more onerous than the FCPA in a number of other respects. Any violation of the FCPA, the CFPOA,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Violations of anti-corruption laws or our related internal policies could also substantially harm our reputation and operations. Further, detecting, investigating and resolving actual or alleged violations is expensive and can consume significant time and attention of our senior management.</w:t>
      </w:r>
    </w:p>
    <w:p>
      <w:pPr>
        <w:spacing w:after="0" w:line="200" w:lineRule="exact"/>
        <w:rPr>
          <w:sz w:val="20"/>
          <w:szCs w:val="20"/>
          <w:color w:val="auto"/>
        </w:rPr>
      </w:pPr>
    </w:p>
    <w:p>
      <w:pPr>
        <w:spacing w:after="0" w:line="219"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Compliance with multiple, and potentially conflicting, international laws and regulations, including anti-corruption laws and exchange controls, at times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9" w:lineRule="exact"/>
        <w:rPr>
          <w:sz w:val="20"/>
          <w:szCs w:val="20"/>
          <w:color w:val="auto"/>
        </w:rPr>
      </w:pPr>
    </w:p>
    <w:p>
      <w:pPr>
        <w:ind w:right="60" w:firstLine="5"/>
        <w:spacing w:after="0" w:line="300" w:lineRule="auto"/>
        <w:rPr>
          <w:sz w:val="20"/>
          <w:szCs w:val="20"/>
          <w:color w:val="auto"/>
        </w:rPr>
      </w:pPr>
      <w:r>
        <w:rPr>
          <w:rFonts w:ascii="Arial" w:cs="Arial" w:eastAsia="Arial" w:hAnsi="Arial"/>
          <w:sz w:val="17"/>
          <w:szCs w:val="17"/>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ectPr>
          <w:pgSz w:w="11880" w:h="15480" w:orient="portrait"/>
          <w:cols w:equalWidth="0" w:num="1">
            <w:col w:w="10020"/>
          </w:cols>
          <w:pgMar w:left="920" w:top="52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20"/>
          </w:cols>
          <w:pgMar w:left="920" w:top="527" w:right="940" w:bottom="0" w:gutter="0" w:footer="0" w:header="0"/>
          <w:type w:val="continuous"/>
        </w:sectPr>
      </w:pPr>
    </w:p>
    <w:bookmarkStart w:id="39" w:name="page40"/>
    <w:bookmarkEnd w:id="39"/>
    <w:p>
      <w:pPr>
        <w:ind w:right="500"/>
        <w:spacing w:after="0" w:line="275" w:lineRule="auto"/>
        <w:rPr>
          <w:sz w:val="20"/>
          <w:szCs w:val="20"/>
          <w:color w:val="auto"/>
        </w:rPr>
      </w:pPr>
      <w:r>
        <w:rPr>
          <w:rFonts w:ascii="Arial" w:cs="Arial" w:eastAsia="Arial" w:hAnsi="Arial"/>
          <w:sz w:val="20"/>
          <w:szCs w:val="20"/>
          <w:b w:val="1"/>
          <w:bCs w:val="1"/>
          <w:i w:val="1"/>
          <w:iCs w:val="1"/>
          <w:color w:val="auto"/>
        </w:rPr>
        <w:t>We are subject to significant regulatory oversight of our import and export operations due to the nature of some of our product offerings.</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Our products and materials needed to make our products are subject to U.S. and Canadian laws and regulations that may limit, restrict or require a license to import or export (or re-export from other countries). We are also subject to the export and import laws of other foreign jurisdictions in which we operate, into which we sell our products and from which we source our materials, including Co-60. In addition, if we introduce new products or would like to participate in new capital investment projects, we may need to obtain licenses or approvals from the United States, Canada and other governments to ship products to or share technology or intellectual property with third parties located in foreign countries. Because of increasing security controls and regulations regarding the shipment of materials including Co-60, we are likely to encounter additional regulations affecting the transportation, storage, sale and import/export of radioactive materials. Further, any delay or inability to obtain these permits and licenses could delay or prevent us from fulfilling our obligations to our customers or suppliers, which could harm our business, financial condition or results of operations.</w:t>
      </w:r>
    </w:p>
    <w:p>
      <w:pPr>
        <w:spacing w:after="0" w:line="176"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Additionally, the U.S. Department of the Treasury’s Office of Foreign Assets Control and other relevant agencies of the U.S. government administer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187" w:lineRule="exact"/>
        <w:rPr>
          <w:sz w:val="20"/>
          <w:szCs w:val="20"/>
          <w:color w:val="auto"/>
        </w:rPr>
      </w:pPr>
    </w:p>
    <w:p>
      <w:pPr>
        <w:ind w:right="380"/>
        <w:spacing w:after="0" w:line="366" w:lineRule="auto"/>
        <w:rPr>
          <w:sz w:val="20"/>
          <w:szCs w:val="20"/>
          <w:color w:val="auto"/>
        </w:rPr>
      </w:pPr>
      <w:r>
        <w:rPr>
          <w:rFonts w:ascii="Arial" w:cs="Arial" w:eastAsia="Arial" w:hAnsi="Arial"/>
          <w:sz w:val="17"/>
          <w:szCs w:val="17"/>
          <w:b w:val="1"/>
          <w:bCs w:val="1"/>
          <w:i w:val="1"/>
          <w:iCs w:val="1"/>
          <w:color w:val="auto"/>
        </w:rPr>
        <w:t>Severe health events or environmental events, including impacts from climate change, and natural disasters, could have material adverse effects on our business, financial condition and results of operations.</w:t>
      </w:r>
    </w:p>
    <w:p>
      <w:pPr>
        <w:spacing w:after="0" w:line="117" w:lineRule="exact"/>
        <w:rPr>
          <w:sz w:val="20"/>
          <w:szCs w:val="20"/>
          <w:color w:val="auto"/>
        </w:rPr>
      </w:pPr>
    </w:p>
    <w:p>
      <w:pPr>
        <w:jc w:val="both"/>
        <w:ind w:right="120"/>
        <w:spacing w:after="0" w:line="258" w:lineRule="auto"/>
        <w:rPr>
          <w:sz w:val="20"/>
          <w:szCs w:val="20"/>
          <w:color w:val="auto"/>
        </w:rPr>
      </w:pPr>
      <w:r>
        <w:rPr>
          <w:rFonts w:ascii="Arial" w:cs="Arial" w:eastAsia="Arial" w:hAnsi="Arial"/>
          <w:sz w:val="20"/>
          <w:szCs w:val="20"/>
          <w:color w:val="auto"/>
        </w:rPr>
        <w:t>The COVID-19 pandemic affected our business operations, including secondary effects such as increased raw material prices, labor shortages, and supply chain disruptions. If similarly severe global health crises occur in the future, the impact and effects on our business, operations and results of operations also could be material.</w:t>
      </w:r>
    </w:p>
    <w:p>
      <w:pPr>
        <w:spacing w:after="0" w:line="199"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Extreme environmental events, including impacts from climate change, could adversely affect our operating results and financial condition. We have operations located in regions that have been, and may in the future be, exposed to extreme weather events and other natural disasters, including California, Florida, and Texas. A catastrophic earthquake, fire, flood, tsunami or other weather event, widespread power loss or telecommunications failure, war or other significant event could adversely affect our operations, particularly if such event were to destroy or disrupt any of our facilities. Any significant impact on our ability to conduct normal operations at our facilities could cause significant capacity constraints and, as a result, have a material adverse effect on our business, results of operations and financial condition.</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Any severe health or environmental event including as described above may also affect our suppliers or customers, which could disrupt our access to raw materials and customer product processing and exacerbate supply-chain related risks. See related Risk Factor “—Our operations are subject to a variety of business continuity hazards and risks, including supply chain disruptions due to geopolitical uncertainty and our reliance on the use and sale of products and services from single locations, any of which could interrupt production or operations or otherwise adversely affect our performance, results or value.”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subject to system interruptions, cybersecurity incidents and unauthorized data disclosures.</w:t>
      </w:r>
    </w:p>
    <w:p>
      <w:pPr>
        <w:spacing w:after="0" w:line="282"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Like other companies, we increasingly rely on information technology (“IT”) systems and networks and related services to conduct business, some of which are managed, hosted and/or provided by our third-party business partners. Our IT systems and infrastructure, and those of our third-party business partners, are potentially vulnerable to breakdowns or other interruptions by fire, power loss, system malfunctions and other events. Our IT systems and infrastructure are also subject to cybersecurity threats. Cybersecurity incidents and similar attacks vary in their form and can include the deployment of harmful malware, viruses, or ransomware, denial-of-service attacks, and other attacks, which may affect business continuity and threaten the availability, confidentiality and integrity of our systems and information. Cybersecurity incidents can also include employee or personnel failures, fraud, phishing or other social engineering attempts or other methods to cause confidential information, payments, account access or access credentials, or other data to be transmitted to an unintended recipient. Like other companies with international operations, we have been subjected to targeted and non-targeted attacks and other cybersecurity incidents and continue to face numerous cybersecurity threats on a regular basis, including regular attempts to penetrate our information technology infrastructure and breaches of our security systems by our employees, both accidental and intentional. Our</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527" w:right="920" w:bottom="0" w:gutter="0" w:footer="0" w:header="0"/>
          <w:type w:val="continuous"/>
        </w:sectPr>
      </w:pPr>
    </w:p>
    <w:bookmarkStart w:id="40" w:name="page41"/>
    <w:bookmarkEnd w:id="40"/>
    <w:p>
      <w:pPr>
        <w:spacing w:after="0" w:line="300" w:lineRule="auto"/>
        <w:rPr>
          <w:sz w:val="20"/>
          <w:szCs w:val="20"/>
          <w:color w:val="auto"/>
        </w:rPr>
      </w:pPr>
      <w:r>
        <w:rPr>
          <w:rFonts w:ascii="Arial" w:cs="Arial" w:eastAsia="Arial" w:hAnsi="Arial"/>
          <w:sz w:val="17"/>
          <w:szCs w:val="17"/>
          <w:color w:val="auto"/>
        </w:rPr>
        <w:t>suppliers, contractors, service providers, and other third parties with whom we do business also experience cybersecurity threats and attacks that are similar in frequency and sophistication. Cybersecurity threat actors also may attempt to exploit vulnerabilities in software that is commonly used by companies in cloud-based services and bundled software. Our suppliers, contractors, service providers, and other third-party business partners also experience cybersecurity threats and cybersecurity incidents that are similar in frequency and sophistication. In many cases, the Company relies on controls put in place by our suppliers, contractors, service providers and other third-party business partners to defend against and otherwise respond to cybersecurity threats and cybersecurity incidents, which may prove insufficient.</w:t>
      </w:r>
    </w:p>
    <w:p>
      <w:pPr>
        <w:spacing w:after="0" w:line="218"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Despite the Company’s security measures, cybersecurity threats, cybersecurity incidents, outages, malfunctions, or disruptions involving our systems or those of our third party business partners, or any failure by us or our third-party business partners to effectively address, enforce or maintain our information systems may adversely affect our business strategy, results of operations or financial condition, including the release of sensitive data to unauthorized persons or to the public or the alteration or corruption of data or systems. We could also experience a business interruption, information theft or reputational damage from industrial espionage attacks, ransomware, other malware or other cybersecurity incidents or data breaches, which may compromise our, or our third-party business partners’, system infrastructure or lead to outages, data loss (whether temporary or permanent), data breaches, either internally or at our third-party providers or other business partners. Such cybersecurity incidents could compromise our trade secrets or other confidential information and result in such information being disclosed to third parties and becoming less valuable. Breaches in security, system interruptions, unauthorized disclosures of data and other cybersecurity incidents, whether perceived or actual, could adversely affect our businesses, assets, revenues, brands and reputation and result in sanctions or fines, litigation, including individual claims or consumer class actions, commercial litigation, regulatory proceedings and administrative, civil or criminal investigations, increased insurance premiums, remediation efforts, indemnification expenditures, lost revenues, payment of ransom and other potential liabilities. As detailed in Item 1C, “Cybersecurity,” we have taken steps to protect the security and integrity of the information we collect and have policies and procedures in place dealing with data privacy and security and have yet to experience any material cybersecurity incidents that have caused us to incur any material expenses or materially affected our business strategy, results of operations or financial conditions. But there can be no assurance that our efforts will prevent material breakdowns, system failures, breaches in our systems or other cybersecurity incidents or otherwise be fully effective. Any such breakdown, breach or cybersecurity incident could adversely affect our business, prospects, financial condition or results of operations, and our cyber insurance may not cover such risks or may be insufficient to compensate us for losses that may occur.</w:t>
      </w:r>
    </w:p>
    <w:p>
      <w:pPr>
        <w:spacing w:after="0" w:line="200" w:lineRule="exact"/>
        <w:rPr>
          <w:sz w:val="20"/>
          <w:szCs w:val="20"/>
          <w:color w:val="auto"/>
        </w:rPr>
      </w:pPr>
    </w:p>
    <w:p>
      <w:pPr>
        <w:spacing w:after="0" w:line="21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As part of our strategy, we have in the past grown,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to complete these acquisitions from our cash on hand, cash flow from operations, existing debt facilities and additional indebtedness.</w:t>
      </w:r>
    </w:p>
    <w:p>
      <w:pPr>
        <w:spacing w:after="0" w:line="191" w:lineRule="exact"/>
        <w:rPr>
          <w:sz w:val="20"/>
          <w:szCs w:val="20"/>
          <w:color w:val="auto"/>
        </w:rPr>
      </w:pPr>
    </w:p>
    <w:p>
      <w:pPr>
        <w:jc w:val="both"/>
        <w:ind w:right="120"/>
        <w:spacing w:after="0" w:line="258" w:lineRule="auto"/>
        <w:rPr>
          <w:sz w:val="20"/>
          <w:szCs w:val="20"/>
          <w:color w:val="auto"/>
        </w:rPr>
      </w:pPr>
      <w:r>
        <w:rPr>
          <w:rFonts w:ascii="Arial" w:cs="Arial" w:eastAsia="Arial" w:hAnsi="Arial"/>
          <w:sz w:val="20"/>
          <w:szCs w:val="20"/>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82" w:lineRule="exact"/>
        <w:rPr>
          <w:sz w:val="20"/>
          <w:szCs w:val="20"/>
          <w:color w:val="auto"/>
        </w:rPr>
      </w:pPr>
    </w:p>
    <w:p>
      <w:pPr>
        <w:ind w:left="700" w:right="540" w:hanging="355"/>
        <w:spacing w:after="0" w:line="298" w:lineRule="auto"/>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successfully integrate acquired facilities, companies, products, systems and personnel into our existing business, especially with respect to businesses or operations that are outside of the United States;</w:t>
      </w:r>
    </w:p>
    <w:p>
      <w:pPr>
        <w:spacing w:after="0" w:line="45" w:lineRule="exact"/>
        <w:rPr>
          <w:rFonts w:ascii="Arial" w:cs="Arial" w:eastAsia="Arial" w:hAnsi="Arial"/>
          <w:sz w:val="19"/>
          <w:szCs w:val="19"/>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minimize any potential interruption to our ongoing business;</w:t>
      </w:r>
    </w:p>
    <w:p>
      <w:pPr>
        <w:spacing w:after="0" w:line="122" w:lineRule="exact"/>
        <w:rPr>
          <w:rFonts w:ascii="Arial" w:cs="Arial" w:eastAsia="Arial" w:hAnsi="Arial"/>
          <w:sz w:val="20"/>
          <w:szCs w:val="20"/>
          <w:color w:val="auto"/>
        </w:rPr>
      </w:pPr>
    </w:p>
    <w:p>
      <w:pPr>
        <w:ind w:left="700" w:right="20" w:hanging="355"/>
        <w:spacing w:after="0" w:line="271" w:lineRule="auto"/>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successfully enter categories and markets in which we may have limited or no prior experience, and ensure compliance with the regulatory requirements for such categories and markets;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achieve expected synergies and obtain the desired financial or strategic benefits;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detect and address any financial or control deficiencies of the acquired company;</w:t>
      </w:r>
    </w:p>
    <w:p>
      <w:pPr>
        <w:spacing w:after="0" w:line="122" w:lineRule="exact"/>
        <w:rPr>
          <w:rFonts w:ascii="Arial" w:cs="Arial" w:eastAsia="Arial" w:hAnsi="Arial"/>
          <w:sz w:val="20"/>
          <w:szCs w:val="20"/>
          <w:color w:val="auto"/>
        </w:rPr>
      </w:pPr>
    </w:p>
    <w:p>
      <w:pPr>
        <w:ind w:left="700" w:right="200" w:hanging="355"/>
        <w:spacing w:after="0" w:line="271" w:lineRule="auto"/>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retain key relationships with employees, customers, partners and suppliers of acquired companies as well as our own employees, customers, partners and suppliers; and</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maintain uniform compliance standards, controls, procedures and policies throughout acquired companies.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534" w:right="920" w:bottom="0" w:gutter="0" w:footer="0" w:header="0"/>
          <w:type w:val="continuous"/>
        </w:sectPr>
      </w:pPr>
    </w:p>
    <w:bookmarkStart w:id="41" w:name="page42"/>
    <w:bookmarkEnd w:id="41"/>
    <w:p>
      <w:pPr>
        <w:ind w:right="120"/>
        <w:spacing w:after="0" w:line="303" w:lineRule="auto"/>
        <w:rPr>
          <w:sz w:val="20"/>
          <w:szCs w:val="20"/>
          <w:color w:val="auto"/>
        </w:rPr>
      </w:pPr>
      <w:r>
        <w:rPr>
          <w:rFonts w:ascii="Arial" w:cs="Arial" w:eastAsia="Arial" w:hAnsi="Arial"/>
          <w:sz w:val="17"/>
          <w:szCs w:val="17"/>
          <w:color w:val="auto"/>
        </w:rPr>
        <w:t>Companies, businesses or operations acquired or joint ventures created may not be profitable or may not achieve revenue and profitability levels sufficient to justify the investments made. Recent and future acquisitions could also result in the incurrence of additional indebtedness subject to the restrictions contained in the documents governing our then-existing indebtedness. See related Risk Factor “—Our significant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w:t>
      </w:r>
    </w:p>
    <w:p>
      <w:pPr>
        <w:spacing w:after="0" w:line="16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Certain of the acquisition agreements by which we have acquired companies require the former owners to indemnify us against certain liabilities related to the operation of the companies before we acquired them. In most of these agreements, however, the liability of the former owners is limited, and certain former owners may be unable to meet their indemnification responsibilities. There is no assurance that these indemnification provisions will protect us fully or at all, and as a result we may face unexpected liabilities that adversely affect our business, prospects, financial condition or results of operations. 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69" w:lineRule="exact"/>
        <w:rPr>
          <w:sz w:val="20"/>
          <w:szCs w:val="20"/>
          <w:color w:val="auto"/>
        </w:rPr>
      </w:pPr>
    </w:p>
    <w:p>
      <w:pPr>
        <w:jc w:val="both"/>
        <w:ind w:right="320"/>
        <w:spacing w:after="0" w:line="260" w:lineRule="auto"/>
        <w:rPr>
          <w:sz w:val="20"/>
          <w:szCs w:val="20"/>
          <w:color w:val="auto"/>
        </w:rPr>
      </w:pPr>
      <w:r>
        <w:rPr>
          <w:rFonts w:ascii="Arial" w:cs="Arial" w:eastAsia="Arial" w:hAnsi="Arial"/>
          <w:sz w:val="20"/>
          <w:szCs w:val="20"/>
          <w:b w:val="1"/>
          <w:bCs w:val="1"/>
          <w:i w:val="1"/>
          <w:iCs w:val="1"/>
          <w:color w:val="auto"/>
        </w:rPr>
        <w:t>Our internal control over financial reporting may not be effective and our independent registered public accounting firm may not be able to certify as to their effectiveness, which could have a significant and adverse effect on our business and reputation.</w:t>
      </w:r>
    </w:p>
    <w:p>
      <w:pPr>
        <w:spacing w:after="0" w:line="201" w:lineRule="exact"/>
        <w:rPr>
          <w:sz w:val="20"/>
          <w:szCs w:val="20"/>
          <w:color w:val="auto"/>
        </w:rPr>
      </w:pPr>
    </w:p>
    <w:p>
      <w:pPr>
        <w:ind w:right="300"/>
        <w:spacing w:after="0" w:line="312" w:lineRule="auto"/>
        <w:rPr>
          <w:sz w:val="20"/>
          <w:szCs w:val="20"/>
          <w:color w:val="auto"/>
        </w:rPr>
      </w:pPr>
      <w:r>
        <w:rPr>
          <w:rFonts w:ascii="Arial" w:cs="Arial" w:eastAsia="Arial" w:hAnsi="Arial"/>
          <w:sz w:val="17"/>
          <w:szCs w:val="17"/>
          <w:color w:val="auto"/>
        </w:rPr>
        <w:t>Pursuant to the Sarbanes-Oxley Act of 2002, we furnished a report by our management on the effectiveness of our internal control over financial reporting as of December 31, 2024. This assessment is required to include disclosure of any material weaknesses identified by our management in our internal control over financial reporting. Our independent registered public accounting firm attested to the effectiveness of our internal controls as of December 31, 2024.</w:t>
      </w:r>
    </w:p>
    <w:p>
      <w:pPr>
        <w:spacing w:after="0" w:line="160"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color w:val="auto"/>
        </w:rPr>
        <w:t>In future periods, if we identify a material weakness in connection with our ongoing assessment and we fail to remediate the identified material weakness within the prescribed period, we will be unable to assert that our internal control over financial reporting is effective. We cannot be certain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hiring additional personnel.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8" w:lineRule="exact"/>
        <w:rPr>
          <w:sz w:val="20"/>
          <w:szCs w:val="20"/>
          <w:color w:val="auto"/>
        </w:rPr>
      </w:pPr>
    </w:p>
    <w:p>
      <w:pPr>
        <w:ind w:right="240"/>
        <w:spacing w:after="0" w:line="302" w:lineRule="auto"/>
        <w:rPr>
          <w:sz w:val="20"/>
          <w:szCs w:val="20"/>
          <w:color w:val="auto"/>
        </w:rPr>
      </w:pPr>
      <w:r>
        <w:rPr>
          <w:rFonts w:ascii="Arial" w:cs="Arial" w:eastAsia="Arial" w:hAnsi="Arial"/>
          <w:sz w:val="19"/>
          <w:szCs w:val="19"/>
          <w:b w:val="1"/>
          <w:bCs w:val="1"/>
          <w:i w:val="1"/>
          <w:iCs w:val="1"/>
          <w:color w:val="auto"/>
        </w:rPr>
        <w:t>We rely on intellectual property rights to maintain our competitive position and third parties have claimed in the past, and may claim in the future, that we infringe or misappropriate their intellectual property rights.</w:t>
      </w:r>
    </w:p>
    <w:p>
      <w:pPr>
        <w:spacing w:after="0" w:line="163"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as related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may unintentionally or willfully disclose our confidential information to others, and there can be no assurance that our trade secret rights and non-disclosure and confidentiality arrangements will provide meaningful protection of our proprietary technology.</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040"/>
          </w:cols>
          <w:pgMar w:left="920" w:top="534" w:right="920" w:bottom="0" w:gutter="0" w:footer="0" w:header="0"/>
          <w:type w:val="continuous"/>
        </w:sectPr>
      </w:pPr>
    </w:p>
    <w:bookmarkStart w:id="42" w:name="page43"/>
    <w:bookmarkEnd w:id="42"/>
    <w:p>
      <w:pPr>
        <w:ind w:right="60"/>
        <w:spacing w:after="0" w:line="299" w:lineRule="auto"/>
        <w:rPr>
          <w:sz w:val="20"/>
          <w:szCs w:val="20"/>
          <w:color w:val="auto"/>
        </w:rPr>
      </w:pPr>
      <w:r>
        <w:rPr>
          <w:rFonts w:ascii="Arial" w:cs="Arial" w:eastAsia="Arial" w:hAnsi="Arial"/>
          <w:sz w:val="17"/>
          <w:szCs w:val="17"/>
          <w:color w:val="auto"/>
        </w:rPr>
        <w:t>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69"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For example, in December 2024, Sterigenics Petit Rechain (“Sterigenics PR”) was served with Writs of Summons in actions filed in Brussels, Belgium, in which the complainant alleges that the plaintiff’s intellectual property rights in certain products are being infringed by Sterigenics PR and by products of two Sterigenics PR customers.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0" w:lineRule="exact"/>
        <w:rPr>
          <w:sz w:val="20"/>
          <w:szCs w:val="20"/>
          <w:color w:val="auto"/>
        </w:rPr>
      </w:pPr>
    </w:p>
    <w:p>
      <w:pPr>
        <w:jc w:val="both"/>
        <w:ind w:right="120"/>
        <w:spacing w:after="0" w:line="258" w:lineRule="auto"/>
        <w:rPr>
          <w:sz w:val="20"/>
          <w:szCs w:val="20"/>
          <w:color w:val="auto"/>
        </w:rPr>
      </w:pPr>
      <w:r>
        <w:rPr>
          <w:rFonts w:ascii="Arial" w:cs="Arial" w:eastAsia="Arial" w:hAnsi="Arial"/>
          <w:sz w:val="20"/>
          <w:szCs w:val="20"/>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192" w:lineRule="exact"/>
        <w:rPr>
          <w:sz w:val="20"/>
          <w:szCs w:val="20"/>
          <w:color w:val="auto"/>
        </w:rPr>
      </w:pPr>
    </w:p>
    <w:p>
      <w:pPr>
        <w:ind w:right="880"/>
        <w:spacing w:after="0" w:line="366" w:lineRule="auto"/>
        <w:rPr>
          <w:sz w:val="20"/>
          <w:szCs w:val="20"/>
          <w:color w:val="auto"/>
        </w:rPr>
      </w:pPr>
      <w:r>
        <w:rPr>
          <w:rFonts w:ascii="Arial" w:cs="Arial" w:eastAsia="Arial" w:hAnsi="Arial"/>
          <w:sz w:val="17"/>
          <w:szCs w:val="17"/>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We must comply with laws and regulations of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liability, as well as reputational harm. Moreover, these laws are evolving and are generally becoming stricter. For example, activities conducted from our EU facilities or related to products and services that we may offer to EU users or customers are subject to the General Data Protection Regulation (Regulation (EU) 2016/679) (“GDPR”), which provides for enhanced data privacy obligations and fines of up to the higher of 4% of annual worldwide revenues or €20 million. The GDPR was transposed into United Kingdom domestic law following the United Kingdom’s exit from the EU, and the UK GDPR supplements the United Kingdom’s Data Protection Act of 2018. The UK GDPR mirrors the compliance requirements and fine structure of the GDPR. Outside of the United States, United Kingdom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40"/>
          </w:cols>
          <w:pgMar w:left="920" w:top="534" w:right="92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t>We have a history of net losses and may not maintain profitability in the future.</w:t>
      </w:r>
    </w:p>
    <w:p>
      <w:pPr>
        <w:spacing w:after="0" w:line="248"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We have a history of net operating losses, including a net loss attributable to Sotera Health Company of $233.6 million for the year ended December 31, 2022. Although we reported net income attributable to Sotera Health Company of $44.4 million for the year ended December 31, 2024, we may not be able to maintain profitability in future fiscal years. Our ability to maintain profitability depends on a number of factors, including the growth rate of the sterilization and lab services industries, the prices of our products and services, the costs to provide our products and services and the competitiveness of our products and services. We may incur significant losses in the future for a number of reasons, including principal and interest expense related to our indebtedness and the other risks described herein, and we may encounter unforeseen expenses, difficulties, complications and delays and other unknown events. As a result, our operations may not maintain or increase profitability in the future.</w:t>
      </w:r>
    </w:p>
    <w:p>
      <w:pPr>
        <w:spacing w:after="0" w:line="161"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b w:val="1"/>
          <w:bCs w:val="1"/>
          <w:i w:val="1"/>
          <w:iCs w:val="1"/>
          <w:color w:val="auto"/>
        </w:rPr>
        <w:t>We may incur impairment charges on our goodwill and other intangible assets with indefinite lives as well as other long-lived assets and intangible assets with definite lives, which could negatively impact our business, financial condition or results of operations.</w:t>
      </w:r>
    </w:p>
    <w:p>
      <w:pPr>
        <w:spacing w:after="0" w:line="201"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We are subject to Accounting Standards Codification (“ASC”)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we were to determine in the future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171"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color w:val="auto"/>
        </w:rPr>
        <w:t>Similarly, pursuant to ASC Topic 360—Property, Plant, and Equipment, long-lived assets, such as property, plant and equipment and intangible assets subject to amortization, must be reviewed for impairment whenever events or changes in circumstances indicate that the carrying amount of an asset or asset group may not be recoverable. If we were to determine in the future that there has been an impairment of long-lived assets or intangible assets subject to amortization, our financial results for the relevant period would be reduced by the amount of the non-cash impairment charge, net of any income tax effects, which could have an adverse effect on our financial condition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Unionization efforts and labor regulations could materially increase our costs or limit our flexibility.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Efforts have been made from time to time to unionize portions of our workforce and we are likely to experience similar efforts in the future. Certain of our employees are represented by labor unions or works councils and are negotiating or working under collective bargaining or similar agreements, some of which are subject to periodic renegotiation. For example, employees at a gamma irradiation facility in the United States voted to unionize in November 2023 and we may experience similar efforts to unionize portions of our workforce in the future. Unionization efforts, new collective bargaining agreements or work stoppages could materially increase our costs, reduce our net revenues or limit our flexibility. The collective bargaining agreements applicable to our employees in Brazil and Mexico expire annually. The collective bargaining agreement applicable to Nordion’s employees in Kanata, Canada expired on March 31, 2024. Although the Company is currently in contract negotiations and follows a clearly defined process, there is a risk that the parties do not reach a negotiated agreement, which could result in a labor dispute (strike) that would have an adverse effect on business operations. The process of negotiating or renegotiating these collective bargaining agreements could increase our labor costs or lead to labor disruptions, which could negatively affect our business and operations.</w:t>
      </w:r>
    </w:p>
    <w:p>
      <w:pPr>
        <w:spacing w:after="0" w:line="253" w:lineRule="exact"/>
        <w:rPr>
          <w:sz w:val="20"/>
          <w:szCs w:val="20"/>
          <w:color w:val="auto"/>
        </w:rPr>
      </w:pPr>
    </w:p>
    <w:p>
      <w:pPr>
        <w:ind w:right="260"/>
        <w:spacing w:after="0" w:line="254" w:lineRule="auto"/>
        <w:rPr>
          <w:sz w:val="20"/>
          <w:szCs w:val="20"/>
          <w:color w:val="auto"/>
        </w:rPr>
      </w:pPr>
      <w:r>
        <w:rPr>
          <w:rFonts w:ascii="Arial" w:cs="Arial" w:eastAsia="Arial" w:hAnsi="Arial"/>
          <w:sz w:val="20"/>
          <w:szCs w:val="20"/>
          <w:color w:val="auto"/>
        </w:rPr>
        <w:t>Other legal obligations in the markets where we conduct business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w:t>
      </w:r>
    </w:p>
    <w:p>
      <w:pPr>
        <w:spacing w:after="0" w:line="195"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We provide bioburden reduction irradiation services for the processing of cannabis, primarily in Canada and certain European countries. The commercial recreational cannabis industry is a relatively new industry in Canada and Canada’s Cannabis Regulations have been in effect in their current form only in recent years. Likewise, laws and regulations governing cannabis in European countries have evolved rapidly over recent years. In the United States, marijuana (all parts of the cannabis plant other than those parts that are exempt) presently remains a Schedule I controlled substance under federal law. In other countries in</w:t>
      </w:r>
    </w:p>
    <w:p>
      <w:pPr>
        <w:sectPr>
          <w:pgSz w:w="11880" w:h="15480" w:orient="portrait"/>
          <w:cols w:equalWidth="0" w:num="1">
            <w:col w:w="10020"/>
          </w:cols>
          <w:pgMar w:left="920" w:top="527" w:right="94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20"/>
          </w:cols>
          <w:pgMar w:left="920" w:top="527" w:right="940" w:bottom="0" w:gutter="0" w:footer="0" w:header="0"/>
          <w:type w:val="continuous"/>
        </w:sectPr>
      </w:pPr>
    </w:p>
    <w:bookmarkStart w:id="44" w:name="page45"/>
    <w:bookmarkEnd w:id="44"/>
    <w:p>
      <w:pPr>
        <w:jc w:val="both"/>
        <w:ind w:right="120"/>
        <w:spacing w:after="0" w:line="278" w:lineRule="auto"/>
        <w:rPr>
          <w:sz w:val="20"/>
          <w:szCs w:val="20"/>
          <w:color w:val="auto"/>
        </w:rPr>
      </w:pPr>
      <w:r>
        <w:rPr>
          <w:rFonts w:ascii="Arial" w:cs="Arial" w:eastAsia="Arial" w:hAnsi="Arial"/>
          <w:sz w:val="19"/>
          <w:szCs w:val="19"/>
          <w:color w:val="auto"/>
        </w:rPr>
        <w:t>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and it may be costly or burdensome to comply.</w:t>
      </w:r>
    </w:p>
    <w:p>
      <w:pPr>
        <w:spacing w:after="0" w:line="174" w:lineRule="exact"/>
        <w:rPr>
          <w:sz w:val="20"/>
          <w:szCs w:val="20"/>
          <w:color w:val="auto"/>
        </w:rPr>
      </w:pPr>
    </w:p>
    <w:p>
      <w:pPr>
        <w:ind w:right="900" w:firstLine="5"/>
        <w:spacing w:after="0" w:line="275" w:lineRule="auto"/>
        <w:rPr>
          <w:sz w:val="20"/>
          <w:szCs w:val="20"/>
          <w:color w:val="auto"/>
        </w:rPr>
      </w:pPr>
      <w:r>
        <w:rPr>
          <w:rFonts w:ascii="Arial" w:cs="Arial" w:eastAsia="Arial" w:hAnsi="Arial"/>
          <w:sz w:val="20"/>
          <w:szCs w:val="20"/>
          <w:b w:val="1"/>
          <w:bCs w:val="1"/>
          <w:i w:val="1"/>
          <w:iCs w:val="1"/>
          <w:color w:val="auto"/>
        </w:rPr>
        <w:t>Government or private civil antitrust actions could harm our business, prospects, financial condition or results of operations.</w:t>
      </w:r>
    </w:p>
    <w:p>
      <w:pPr>
        <w:spacing w:after="0" w:line="186"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The antitrust laws prohibit a wide variety of conduct that unlawfully suppresses competition, such as conspiracies among competitors not to reduce (or to “fix”) prices. Although our Global Code of Conduct requires our employees to comply with the antitrust laws and we believe that we are doing so, a governmental or private civil action alleging the improper exchange of information, unlawful participation in price maintenance or other unlawful or anticompetitive activity, even if unfounded, could be costly to defend and could harm our business, prospects, financial condition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r>
        <w:rPr>
          <w:rFonts w:ascii="Arial" w:cs="Arial" w:eastAsia="Arial" w:hAnsi="Arial"/>
          <w:sz w:val="21"/>
          <w:szCs w:val="21"/>
          <w:color w:val="auto"/>
        </w:rPr>
        <w:t>.</w:t>
      </w:r>
    </w:p>
    <w:p>
      <w:pPr>
        <w:spacing w:after="0" w:line="288"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other countries, and we are therefore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71"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we have been unable to fully realize the benefit of interest expense as a result of recent tax law changes, and we recognized a valuation allowance on related deferred tax assets, which impacted our annual effective income tax rate.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Any changes in tax law may create uncertainty and our business and financial condition could be adversely affected.</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 and Liquidity</w:t>
      </w:r>
    </w:p>
    <w:p>
      <w:pPr>
        <w:spacing w:after="0" w:line="240" w:lineRule="exact"/>
        <w:rPr>
          <w:sz w:val="20"/>
          <w:szCs w:val="20"/>
          <w:color w:val="auto"/>
        </w:rPr>
      </w:pPr>
    </w:p>
    <w:p>
      <w:pPr>
        <w:jc w:val="both"/>
        <w:spacing w:after="0" w:line="327" w:lineRule="auto"/>
        <w:rPr>
          <w:sz w:val="20"/>
          <w:szCs w:val="20"/>
          <w:color w:val="auto"/>
        </w:rPr>
      </w:pPr>
      <w:r>
        <w:rPr>
          <w:rFonts w:ascii="Arial" w:cs="Arial" w:eastAsia="Arial" w:hAnsi="Arial"/>
          <w:sz w:val="17"/>
          <w:szCs w:val="17"/>
          <w:b w:val="1"/>
          <w:bCs w:val="1"/>
          <w:i w:val="1"/>
          <w:iCs w:val="1"/>
          <w:color w:val="auto"/>
        </w:rPr>
        <w:t>Our significant leverage could adversely affect our ability to raise additional capital to fund our operations, limit our ability to react to challenges facing our Company or broader changes in our industry or the economy, expose us to interest rate risk and prevent us from meeting our obligations under our existing and future indebtedness.</w:t>
      </w:r>
    </w:p>
    <w:p>
      <w:pPr>
        <w:spacing w:after="0" w:line="133" w:lineRule="exact"/>
        <w:rPr>
          <w:sz w:val="20"/>
          <w:szCs w:val="20"/>
          <w:color w:val="auto"/>
        </w:rPr>
      </w:pPr>
    </w:p>
    <w:p>
      <w:pPr>
        <w:ind w:right="40"/>
        <w:spacing w:after="0" w:line="295" w:lineRule="auto"/>
        <w:rPr>
          <w:sz w:val="20"/>
          <w:szCs w:val="20"/>
          <w:color w:val="auto"/>
        </w:rPr>
      </w:pPr>
      <w:r>
        <w:rPr>
          <w:rFonts w:ascii="Arial" w:cs="Arial" w:eastAsia="Arial" w:hAnsi="Arial"/>
          <w:sz w:val="17"/>
          <w:szCs w:val="17"/>
          <w:color w:val="auto"/>
        </w:rPr>
        <w:t>As of December 31, 2024, our total indebtedness was approximately $2,255.6 million, all of which is indebtedness of Sotera Health Holdings, LLC (“SHH”) that is guaranteed by the Company and certain of our other subsidiaries. We also had an additional $409.8 million of unutilized capacity under our Revolving Credit Facility (as defined herein) at that date (without giving effect to $14.0 million of letters of credit that were outstanding). On May 30, 2024, the Company and SHH entered into Amendment No. 4 (“Amendment No. 4”) to the Senior Secured Credit Facilities. Among other changes, Amendment No. 4 provides for term loans (the “Refinancing Term Loans”) to SHH in an aggregate principal amount of $1,509.4 million. On May 30, 2024, SHH, the Company and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2024. The Secured Notes pay interest semiannually in arrears on June 1 and December 1 of each year, beginning on December 1, 2024, at a rate of 7.375% per year, and will mature on June 1, 2031. Please refer to Note 9, “Long-Term Debt” and “Item 7. Management’s Discussion and Analysis of Financial Condition and Results of Operations - Liquidity and Capital Resources” for further information.</w:t>
      </w:r>
    </w:p>
    <w:p>
      <w:pPr>
        <w:spacing w:after="0" w:line="200" w:lineRule="exact"/>
        <w:rPr>
          <w:sz w:val="20"/>
          <w:szCs w:val="20"/>
          <w:color w:val="auto"/>
        </w:rPr>
      </w:pPr>
    </w:p>
    <w:p>
      <w:pPr>
        <w:spacing w:after="0" w:line="210" w:lineRule="exact"/>
        <w:rPr>
          <w:sz w:val="20"/>
          <w:szCs w:val="20"/>
          <w:color w:val="auto"/>
        </w:rPr>
      </w:pPr>
    </w:p>
    <w:p>
      <w:pPr>
        <w:ind w:right="180"/>
        <w:spacing w:after="0" w:line="325" w:lineRule="auto"/>
        <w:rPr>
          <w:sz w:val="20"/>
          <w:szCs w:val="20"/>
          <w:color w:val="auto"/>
        </w:rPr>
      </w:pPr>
      <w:r>
        <w:rPr>
          <w:rFonts w:ascii="Arial" w:cs="Arial" w:eastAsia="Arial" w:hAnsi="Arial"/>
          <w:sz w:val="17"/>
          <w:szCs w:val="17"/>
          <w:color w:val="auto"/>
        </w:rPr>
        <w:t>$1,505.6 million of our $2,255.6 million outstanding principal amount of indebtedness is variable interest rate debt. Our estimated debt service obligations for the next 12 months, which are comprised of principal and interest payments, are $183.7 million, a portion of which are based on Term SOFR benchmark interest rate as of December 31, 2024. For the year ended</w:t>
      </w:r>
    </w:p>
    <w:p>
      <w:pPr>
        <w:sectPr>
          <w:pgSz w:w="11880" w:h="15480" w:orient="portrait"/>
          <w:cols w:equalWidth="0" w:num="1">
            <w:col w:w="10020"/>
          </w:cols>
          <w:pgMar w:left="920" w:top="53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20"/>
          </w:cols>
          <w:pgMar w:left="920" w:top="534" w:right="940" w:bottom="0" w:gutter="0" w:footer="0" w:header="0"/>
          <w:type w:val="continuous"/>
        </w:sectPr>
      </w:pPr>
    </w:p>
    <w:bookmarkStart w:id="45" w:name="page46"/>
    <w:bookmarkEnd w:id="45"/>
    <w:p>
      <w:pPr>
        <w:spacing w:after="0" w:line="361" w:lineRule="auto"/>
        <w:rPr>
          <w:sz w:val="20"/>
          <w:szCs w:val="20"/>
          <w:color w:val="auto"/>
        </w:rPr>
      </w:pPr>
      <w:r>
        <w:rPr>
          <w:rFonts w:ascii="Arial" w:cs="Arial" w:eastAsia="Arial" w:hAnsi="Arial"/>
          <w:sz w:val="17"/>
          <w:szCs w:val="17"/>
          <w:color w:val="auto"/>
        </w:rPr>
        <w:t>December 31, 2024, our cash flow used for debt service totaled $184.9 million, which was comprised of $5.0 million of principal payments on the Term Loan (as defined herein) and interest payments of $179.9 million on all of our outstanding debt.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Our high degree of leverage could have important consequences, including:</w:t>
      </w:r>
    </w:p>
    <w:p>
      <w:pPr>
        <w:spacing w:after="0" w:line="123" w:lineRule="exact"/>
        <w:rPr>
          <w:sz w:val="20"/>
          <w:szCs w:val="20"/>
          <w:color w:val="auto"/>
        </w:rPr>
      </w:pPr>
    </w:p>
    <w:p>
      <w:pPr>
        <w:ind w:left="700" w:hanging="355"/>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making it more difficult for us to satisfy our obligations;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increasing our vulnerability to general economic and industry conditions;</w:t>
      </w:r>
    </w:p>
    <w:p>
      <w:pPr>
        <w:spacing w:after="0" w:line="122" w:lineRule="exact"/>
        <w:rPr>
          <w:rFonts w:ascii="Arial" w:cs="Arial" w:eastAsia="Arial" w:hAnsi="Arial"/>
          <w:sz w:val="20"/>
          <w:szCs w:val="20"/>
          <w:color w:val="auto"/>
        </w:rPr>
      </w:pPr>
    </w:p>
    <w:p>
      <w:pPr>
        <w:ind w:left="700" w:right="120" w:hanging="355"/>
        <w:spacing w:after="0" w:line="258"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81" w:lineRule="exact"/>
        <w:rPr>
          <w:rFonts w:ascii="Arial" w:cs="Arial" w:eastAsia="Arial" w:hAnsi="Arial"/>
          <w:sz w:val="20"/>
          <w:szCs w:val="20"/>
          <w:color w:val="auto"/>
        </w:rPr>
      </w:pPr>
    </w:p>
    <w:p>
      <w:pPr>
        <w:ind w:left="700" w:hanging="355"/>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exposing us to the risk of increased interest rates as our indebtedness is at variable interest rates;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restricting us from making strategic acquisitions or causing us to make non-strategic divestitures;</w:t>
      </w:r>
    </w:p>
    <w:p>
      <w:pPr>
        <w:spacing w:after="0" w:line="122" w:lineRule="exact"/>
        <w:rPr>
          <w:rFonts w:ascii="Arial" w:cs="Arial" w:eastAsia="Arial" w:hAnsi="Arial"/>
          <w:sz w:val="20"/>
          <w:szCs w:val="20"/>
          <w:color w:val="auto"/>
        </w:rPr>
      </w:pPr>
    </w:p>
    <w:p>
      <w:pPr>
        <w:ind w:left="700" w:right="100" w:hanging="355"/>
        <w:spacing w:after="0" w:line="360" w:lineRule="auto"/>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product development, debt service requirements, acquisitions, appellate litigation bonding expenses and general corporate or other purposes;</w:t>
      </w:r>
    </w:p>
    <w:p>
      <w:pPr>
        <w:spacing w:after="0" w:line="1" w:lineRule="exact"/>
        <w:rPr>
          <w:rFonts w:ascii="Arial" w:cs="Arial" w:eastAsia="Arial" w:hAnsi="Arial"/>
          <w:sz w:val="17"/>
          <w:szCs w:val="17"/>
          <w:color w:val="auto"/>
        </w:rPr>
      </w:pPr>
    </w:p>
    <w:p>
      <w:pPr>
        <w:ind w:left="700" w:right="800" w:hanging="355"/>
        <w:spacing w:after="0" w:line="271"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disadvantage compared to our competitors that are less highly leveraged; and</w:t>
      </w:r>
    </w:p>
    <w:p>
      <w:pPr>
        <w:spacing w:after="0" w:line="68" w:lineRule="exact"/>
        <w:rPr>
          <w:rFonts w:ascii="Arial" w:cs="Arial" w:eastAsia="Arial" w:hAnsi="Arial"/>
          <w:sz w:val="20"/>
          <w:szCs w:val="20"/>
          <w:color w:val="auto"/>
        </w:rPr>
      </w:pPr>
    </w:p>
    <w:p>
      <w:pPr>
        <w:ind w:left="700" w:right="140" w:hanging="355"/>
        <w:spacing w:after="0" w:line="271"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causing us to pay higher rates if we need to refinance our indebtedness at a time when prevailing market interest rates are unfavorable.</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We and our subsidiaries may obtain substantial additional indebtedness in the future, subject to the restrictions contained in the Credit Agreement governing our Senior Secured Credit Facilities and the Indenture that governs the Secured Notes (together the “Combined Senior Secured Credit Facilities”). If new indebtedness is added to our current debt levels, the related risks that we now face could intensify.</w:t>
      </w:r>
    </w:p>
    <w:p>
      <w:pPr>
        <w:spacing w:after="0" w:line="202" w:lineRule="exact"/>
        <w:rPr>
          <w:sz w:val="20"/>
          <w:szCs w:val="20"/>
          <w:color w:val="auto"/>
        </w:rPr>
      </w:pPr>
    </w:p>
    <w:p>
      <w:pPr>
        <w:ind w:firstLine="5"/>
        <w:spacing w:after="0" w:line="262" w:lineRule="auto"/>
        <w:rPr>
          <w:sz w:val="20"/>
          <w:szCs w:val="20"/>
          <w:color w:val="auto"/>
        </w:rPr>
      </w:pPr>
      <w:r>
        <w:rPr>
          <w:rFonts w:ascii="Arial" w:cs="Arial" w:eastAsia="Arial" w:hAnsi="Arial"/>
          <w:sz w:val="19"/>
          <w:szCs w:val="19"/>
          <w:color w:val="auto"/>
        </w:rPr>
        <w:t>Because we are exposed to interest rate risk through our variable-rate borrowings, we have entered into and may, in the future, enter into additional interest rate swaps that involve the exchange of floating for fixed rate interest payments to reduce interest rate volatility and interest rate cap agreements. We may not maintain interest rate swaps with respect to any of our variable rate indebtedness, and any swaps we enter into may not fully mitigate our interest rate risk. If interest rates increase, our debt service obligations on any variable rate indebtedness will increase even if the amount borrowed remains the same, and our earnings and cash flows, including cash available for servicing our indebtedness, will correspondingly decrease. Based on our indebtedness outstanding as of December 31, 2024 and the interest rate under our Term Loans that was in effect on December 31, 2024, a 1% increase in the Term SOFR benchmark interest rates would result in an increase of approximately $11.1 million in total annual interest expense under our outstanding debt obligations. Refer to Note 9, “Long-Term Debt” to our consolidated financial statements.</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b w:val="1"/>
          <w:bCs w:val="1"/>
          <w:i w:val="1"/>
          <w:iCs w:val="1"/>
          <w:color w:val="auto"/>
        </w:rPr>
        <w:t>The agreements governing our debt, including the Secured Notes, contain various covenants that impose restrictions on us and limit our flexibility in operating our business.</w:t>
      </w:r>
    </w:p>
    <w:p>
      <w:pPr>
        <w:spacing w:after="0" w:line="186" w:lineRule="exact"/>
        <w:rPr>
          <w:sz w:val="20"/>
          <w:szCs w:val="20"/>
          <w:color w:val="auto"/>
        </w:rPr>
      </w:pPr>
    </w:p>
    <w:p>
      <w:pPr>
        <w:ind w:right="300"/>
        <w:spacing w:after="0" w:line="258" w:lineRule="auto"/>
        <w:rPr>
          <w:sz w:val="20"/>
          <w:szCs w:val="20"/>
          <w:color w:val="auto"/>
        </w:rPr>
      </w:pPr>
      <w:r>
        <w:rPr>
          <w:rFonts w:ascii="Arial" w:cs="Arial" w:eastAsia="Arial" w:hAnsi="Arial"/>
          <w:sz w:val="20"/>
          <w:szCs w:val="20"/>
          <w:color w:val="auto"/>
        </w:rPr>
        <w:t>The Credit Agreement that governs the Senior Secured Credit Facilities and the Indenture that governs the Secured Notes, contain various covenants that limit our ability to engage in specified types of transactions. These covenants limit our ability and our restricted subsidiaries’ ability to, among other things:</w:t>
      </w:r>
    </w:p>
    <w:p>
      <w:pPr>
        <w:spacing w:after="0" w:line="82" w:lineRule="exact"/>
        <w:rPr>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incur additional indebtedness or issue certain shares of preferred stock;</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pay dividends on, repurchase or make distributions in respect of our capital stock or make other restricted payments;</w:t>
      </w:r>
    </w:p>
    <w:p>
      <w:pPr>
        <w:spacing w:after="0" w:line="157" w:lineRule="exact"/>
        <w:rPr>
          <w:rFonts w:ascii="Arial" w:cs="Arial" w:eastAsia="Arial" w:hAnsi="Arial"/>
          <w:sz w:val="17"/>
          <w:szCs w:val="17"/>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make certain investments and acquisitions;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sell or transfer assets;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grant liens on our assets;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consolidate, merge, sell or otherwise dispose of all or substantially all of our assets; and</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enter into certain transactions with our affiliates.</w:t>
      </w:r>
    </w:p>
    <w:p>
      <w:pPr>
        <w:spacing w:after="0" w:line="240" w:lineRule="exact"/>
        <w:rPr>
          <w:sz w:val="20"/>
          <w:szCs w:val="20"/>
          <w:color w:val="auto"/>
        </w:rPr>
      </w:pPr>
    </w:p>
    <w:p>
      <w:pPr>
        <w:ind w:right="260"/>
        <w:spacing w:after="0" w:line="325" w:lineRule="auto"/>
        <w:rPr>
          <w:sz w:val="20"/>
          <w:szCs w:val="20"/>
          <w:color w:val="auto"/>
        </w:rPr>
      </w:pPr>
      <w:r>
        <w:rPr>
          <w:rFonts w:ascii="Arial" w:cs="Arial" w:eastAsia="Arial" w:hAnsi="Arial"/>
          <w:sz w:val="17"/>
          <w:szCs w:val="17"/>
          <w:color w:val="auto"/>
        </w:rPr>
        <w:t>In addition, under certain circumstances we are required to satisfy and maintain specified financial ratios and other financial condition tests under certain covenants in our Combined Senior Secured Credit Facilities. See Item 7, “Management’s Discussion and Analysis of Financial Condition and Results of Operations—Liquidity and Capital Resources.” Our ability to</w:t>
      </w:r>
    </w:p>
    <w:p>
      <w:pPr>
        <w:sectPr>
          <w:pgSz w:w="11880" w:h="15480" w:orient="portrait"/>
          <w:cols w:equalWidth="0" w:num="1">
            <w:col w:w="10040"/>
          </w:cols>
          <w:pgMar w:left="920" w:top="534" w:right="920" w:bottom="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534" w:right="920" w:bottom="0" w:gutter="0" w:footer="0" w:header="0"/>
          <w:type w:val="continuous"/>
        </w:sectPr>
      </w:pPr>
    </w:p>
    <w:bookmarkStart w:id="46" w:name="page47"/>
    <w:bookmarkEnd w:id="46"/>
    <w:p>
      <w:pPr>
        <w:spacing w:after="0" w:line="361" w:lineRule="auto"/>
        <w:rPr>
          <w:sz w:val="20"/>
          <w:szCs w:val="20"/>
          <w:color w:val="auto"/>
        </w:rPr>
      </w:pPr>
      <w:r>
        <w:rPr>
          <w:rFonts w:ascii="Arial" w:cs="Arial" w:eastAsia="Arial" w:hAnsi="Arial"/>
          <w:sz w:val="17"/>
          <w:szCs w:val="17"/>
          <w:color w:val="auto"/>
        </w:rPr>
        <w:t>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18"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color w:val="auto"/>
        </w:rPr>
        <w:t>Further, various risks, uncertainties and events beyond our control could affect our ability to comply with these covenants. Failure to comply with any of the covenants in our existing or future financing agreements could result in a default under those agreements and under other agreements containing cross-default or cross-acceleration provisions (including under each of our Combined Senior Secured Credit Facilities). Upon the occurrence of an event of default, all amounts outstanding under the Combined Senior Secured Credit Facilities could be declared immediately due and payable and all commitments to extend further credit could be terminated. If we were unable to repay those amounts, the collateral granted under the Combined Senior Secured Credit Facilities to secure each such indebtedness could be foreclosed on. We have pledged substantially all of our assets as collateral under the Combined Senior Secured Credit Facilities.</w:t>
      </w:r>
    </w:p>
    <w:p>
      <w:pPr>
        <w:spacing w:after="0" w:line="161" w:lineRule="exact"/>
        <w:rPr>
          <w:sz w:val="20"/>
          <w:szCs w:val="20"/>
          <w:color w:val="auto"/>
        </w:rPr>
      </w:pPr>
    </w:p>
    <w:p>
      <w:pPr>
        <w:ind w:right="220"/>
        <w:spacing w:after="0" w:line="366" w:lineRule="auto"/>
        <w:rPr>
          <w:sz w:val="20"/>
          <w:szCs w:val="20"/>
          <w:color w:val="auto"/>
        </w:rPr>
      </w:pPr>
      <w:r>
        <w:rPr>
          <w:rFonts w:ascii="Arial" w:cs="Arial" w:eastAsia="Arial" w:hAnsi="Arial"/>
          <w:sz w:val="17"/>
          <w:szCs w:val="17"/>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117" w:lineRule="exact"/>
        <w:rPr>
          <w:sz w:val="20"/>
          <w:szCs w:val="20"/>
          <w:color w:val="auto"/>
        </w:rPr>
      </w:pPr>
    </w:p>
    <w:p>
      <w:pPr>
        <w:ind w:right="140"/>
        <w:spacing w:after="0" w:line="295" w:lineRule="auto"/>
        <w:rPr>
          <w:sz w:val="20"/>
          <w:szCs w:val="20"/>
          <w:color w:val="auto"/>
        </w:rPr>
      </w:pPr>
      <w:r>
        <w:rPr>
          <w:rFonts w:ascii="Arial" w:cs="Arial" w:eastAsia="Arial" w:hAnsi="Arial"/>
          <w:sz w:val="17"/>
          <w:szCs w:val="17"/>
          <w:color w:val="auto"/>
        </w:rPr>
        <w:t>Our ability to make timely payments of principal and interest on our debt obligations, including our obligations under the Combined Senior Secured Credit Facilities,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00" w:lineRule="exact"/>
        <w:rPr>
          <w:sz w:val="20"/>
          <w:szCs w:val="20"/>
          <w:color w:val="auto"/>
        </w:rPr>
      </w:pP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20"/>
          <w:szCs w:val="20"/>
          <w:b w:val="1"/>
          <w:bCs w:val="1"/>
          <w:i w:val="1"/>
          <w:iCs w:val="1"/>
          <w:color w:val="auto"/>
        </w:rPr>
        <w:t>A lowering or withdrawal of the ratings assigned to our debt by rating agencies may increase our future borrowing costs and reduce our access to capital.</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would likely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192"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Term SOFR and certain other interest “benchmarks” are subject to regulatory guidance and reform that we expect will cause interest rates under our current or future debt agreements to perform differently than in the past or could cause other unanticipated consequences.</w:t>
      </w:r>
    </w:p>
    <w:p>
      <w:pPr>
        <w:spacing w:after="0" w:line="201"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Because our Senior Secured Credit Facilities bear interest at variable interest rates, based on the Term SOFR and certain other interest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92"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b w:val="1"/>
          <w:bCs w:val="1"/>
          <w:i w:val="1"/>
          <w:iCs w:val="1"/>
          <w:color w:val="auto"/>
        </w:rPr>
        <w:t>SHH is a holding company, and therefore its ability to make any required payment on our credit agreements depends upon the ability of its subsidiaries to pay it dividends or to advance it funds.</w:t>
      </w:r>
    </w:p>
    <w:p>
      <w:pPr>
        <w:spacing w:after="0" w:line="186"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color w:val="auto"/>
        </w:rPr>
        <w:t>SHH, the issuer under our Secured Notes and the borrower under our Senior Secured Credit Facilities, has no direct operations and no significant assets other than the equity interests of its subsidiaries. Because it conducts its operations through its operating subsidiaries, SHH depends on those entities to generate the funds necessary to meet its financial obligations,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534" w:right="920" w:bottom="0" w:gutter="0" w:footer="0" w:header="0"/>
          <w:type w:val="continuous"/>
        </w:sectPr>
      </w:pPr>
    </w:p>
    <w:bookmarkStart w:id="47" w:name="page48"/>
    <w:bookmarkEnd w:id="47"/>
    <w:p>
      <w:pPr>
        <w:ind w:right="100"/>
        <w:spacing w:after="0" w:line="251" w:lineRule="auto"/>
        <w:rPr>
          <w:sz w:val="20"/>
          <w:szCs w:val="20"/>
          <w:color w:val="auto"/>
        </w:rPr>
      </w:pPr>
      <w:r>
        <w:rPr>
          <w:rFonts w:ascii="Arial" w:cs="Arial" w:eastAsia="Arial" w:hAnsi="Arial"/>
          <w:sz w:val="20"/>
          <w:szCs w:val="20"/>
          <w:color w:val="auto"/>
        </w:rPr>
        <w:t>including its required obligations under our Combined Senior Secured Credit Facilities. The ability of our subsidiaries to make transfers and other distributions to SHH will be subject to, among other things, the terms of any debt instruments of such subsidiaries then in effect and applicable law. If transfers or other distributions from our subsidiaries to SHH were eliminated, delayed, reduced or otherwise impaired, our ability to make payments on the obligations under our credit agreements could be substantially impaired.</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and trading volume of our common stock may be volatile, and you could lose all or part of your investment.</w:t>
      </w:r>
    </w:p>
    <w:p>
      <w:pPr>
        <w:spacing w:after="0" w:line="282"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 “—Risks Related to the Company,” “—Risks Related to Our Indebtedness and Liquidity” and the following, some of which are beyond our control:</w:t>
      </w:r>
    </w:p>
    <w:p>
      <w:pPr>
        <w:spacing w:after="0" w:line="85" w:lineRule="exact"/>
        <w:rPr>
          <w:sz w:val="20"/>
          <w:szCs w:val="20"/>
          <w:color w:val="auto"/>
        </w:rPr>
      </w:pPr>
    </w:p>
    <w:p>
      <w:pPr>
        <w:ind w:left="700" w:right="160" w:hanging="355"/>
        <w:spacing w:after="0" w:line="254"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84"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regulatory or legal developments in the jurisdictions in which we operate;</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adverse publicity about us or the industries in which we participate;</w:t>
      </w:r>
    </w:p>
    <w:p>
      <w:pPr>
        <w:spacing w:after="0" w:line="122" w:lineRule="exact"/>
        <w:rPr>
          <w:rFonts w:ascii="Arial" w:cs="Arial" w:eastAsia="Arial" w:hAnsi="Arial"/>
          <w:sz w:val="20"/>
          <w:szCs w:val="20"/>
          <w:color w:val="auto"/>
        </w:rPr>
      </w:pPr>
    </w:p>
    <w:p>
      <w:pPr>
        <w:ind w:left="700" w:right="640" w:hanging="355"/>
        <w:spacing w:after="0" w:line="271"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variations in our quarterly or annual results of operations, or in those of our competitors or of companies in the medical device and pharmaceutical industries;</w:t>
      </w:r>
    </w:p>
    <w:p>
      <w:pPr>
        <w:spacing w:after="0" w:line="68" w:lineRule="exact"/>
        <w:rPr>
          <w:rFonts w:ascii="Arial" w:cs="Arial" w:eastAsia="Arial" w:hAnsi="Arial"/>
          <w:sz w:val="20"/>
          <w:szCs w:val="20"/>
          <w:color w:val="auto"/>
        </w:rPr>
      </w:pPr>
    </w:p>
    <w:p>
      <w:pPr>
        <w:ind w:left="700" w:right="300" w:hanging="355"/>
        <w:spacing w:after="0" w:line="271"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financial projections we may provide to the public, any changes in these projections or our failure to meet these projections;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sales of our common stock by us or our stockholders in the future or the perception that such sales may occur;</w:t>
      </w:r>
    </w:p>
    <w:p>
      <w:pPr>
        <w:spacing w:after="0" w:line="134" w:lineRule="exact"/>
        <w:rPr>
          <w:rFonts w:ascii="Arial" w:cs="Arial" w:eastAsia="Arial" w:hAnsi="Arial"/>
          <w:sz w:val="19"/>
          <w:szCs w:val="19"/>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publication of research reports about the industries in which we participate;</w:t>
      </w:r>
    </w:p>
    <w:p>
      <w:pPr>
        <w:spacing w:after="0" w:line="122" w:lineRule="exact"/>
        <w:rPr>
          <w:rFonts w:ascii="Arial" w:cs="Arial" w:eastAsia="Arial" w:hAnsi="Arial"/>
          <w:sz w:val="20"/>
          <w:szCs w:val="20"/>
          <w:color w:val="auto"/>
        </w:rPr>
      </w:pPr>
    </w:p>
    <w:p>
      <w:pPr>
        <w:ind w:left="700" w:right="180" w:hanging="355"/>
        <w:spacing w:after="0" w:line="271"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analysts’ estimates, investors’ perceptions, recommendations by securities analysts, our failure to achieve analysts’ estimates or failure of analysts to maintain coverage of us;</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companies similar to us;</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companies in our industry;</w:t>
      </w:r>
    </w:p>
    <w:p>
      <w:pPr>
        <w:spacing w:after="0" w:line="122"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changes in accounting principles, policies, guidance, interpretations or standards;</w:t>
      </w:r>
    </w:p>
    <w:p>
      <w:pPr>
        <w:spacing w:after="0" w:line="122" w:lineRule="exact"/>
        <w:rPr>
          <w:rFonts w:ascii="Arial" w:cs="Arial" w:eastAsia="Arial" w:hAnsi="Arial"/>
          <w:sz w:val="20"/>
          <w:szCs w:val="20"/>
          <w:color w:val="auto"/>
        </w:rPr>
      </w:pPr>
    </w:p>
    <w:p>
      <w:pPr>
        <w:ind w:left="700" w:right="100" w:hanging="355"/>
        <w:spacing w:after="0" w:line="258"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spacing w:after="0" w:line="81" w:lineRule="exact"/>
        <w:rPr>
          <w:rFonts w:ascii="Arial" w:cs="Arial" w:eastAsia="Arial" w:hAnsi="Arial"/>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time and costs associated with potential shareholder activism campaigns and outreach efforts; and</w:t>
      </w:r>
    </w:p>
    <w:p>
      <w:pPr>
        <w:spacing w:after="0" w:line="122" w:lineRule="exact"/>
        <w:rPr>
          <w:rFonts w:ascii="Arial" w:cs="Arial" w:eastAsia="Arial" w:hAnsi="Arial"/>
          <w:sz w:val="20"/>
          <w:szCs w:val="20"/>
          <w:color w:val="auto"/>
        </w:rPr>
      </w:pPr>
    </w:p>
    <w:p>
      <w:pPr>
        <w:ind w:left="700" w:right="260" w:hanging="355"/>
        <w:spacing w:after="0" w:line="271" w:lineRule="auto"/>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general market conditions and other factors unrelated to our operating performance or the operating performance of our competitors.</w:t>
      </w:r>
    </w:p>
    <w:p>
      <w:pPr>
        <w:spacing w:after="0" w:line="186"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19, “Commitments and Contingencies” to our consolidated financial statements under the heading “Sotera Health Company Securities Litigation and Related Matters.” Such litigation could result in substantial costs and a diversion of our management’s attention and resources.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b w:val="1"/>
          <w:bCs w:val="1"/>
          <w:i w:val="1"/>
          <w:iCs w:val="1"/>
          <w:color w:val="auto"/>
        </w:rPr>
        <w:t>The future issuance of additional common stock in connection with our incentive plans, acquisitions or otherwise will dilute all other stockholdings.</w:t>
      </w:r>
    </w:p>
    <w:p>
      <w:pPr>
        <w:spacing w:after="0" w:line="186" w:lineRule="exact"/>
        <w:rPr>
          <w:sz w:val="20"/>
          <w:szCs w:val="20"/>
          <w:color w:val="auto"/>
        </w:rPr>
      </w:pPr>
    </w:p>
    <w:p>
      <w:pPr>
        <w:ind w:right="20"/>
        <w:spacing w:after="0" w:line="361" w:lineRule="auto"/>
        <w:rPr>
          <w:sz w:val="20"/>
          <w:szCs w:val="20"/>
          <w:color w:val="auto"/>
        </w:rPr>
      </w:pPr>
      <w:r>
        <w:rPr>
          <w:rFonts w:ascii="Arial" w:cs="Arial" w:eastAsia="Arial" w:hAnsi="Arial"/>
          <w:sz w:val="17"/>
          <w:szCs w:val="17"/>
          <w:color w:val="auto"/>
        </w:rPr>
        <w:t>As of February 20, 2025, we had an aggregate of 886,109,800 shares of common stock that are not currently reserved for issuance under our 2020 Omnibus Incentive Plan (“2020 Plan”), as well as 2,563,810 treasury shares. We may issue all of these</w:t>
      </w:r>
    </w:p>
    <w:p>
      <w:pPr>
        <w:sectPr>
          <w:pgSz w:w="11880" w:h="15480" w:orient="portrait"/>
          <w:cols w:equalWidth="0" w:num="1">
            <w:col w:w="10020"/>
          </w:cols>
          <w:pgMar w:left="920" w:top="534" w:right="94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20"/>
          </w:cols>
          <w:pgMar w:left="920" w:top="534" w:right="940" w:bottom="0" w:gutter="0" w:footer="0" w:header="0"/>
          <w:type w:val="continuous"/>
        </w:sectPr>
      </w:pPr>
    </w:p>
    <w:bookmarkStart w:id="48" w:name="page49"/>
    <w:bookmarkEnd w:id="48"/>
    <w:p>
      <w:pPr>
        <w:spacing w:after="0" w:line="254" w:lineRule="auto"/>
        <w:rPr>
          <w:sz w:val="20"/>
          <w:szCs w:val="20"/>
          <w:color w:val="auto"/>
        </w:rPr>
      </w:pPr>
      <w:r>
        <w:rPr>
          <w:rFonts w:ascii="Arial" w:cs="Arial" w:eastAsia="Arial" w:hAnsi="Arial"/>
          <w:sz w:val="20"/>
          <w:szCs w:val="20"/>
          <w:color w:val="auto"/>
        </w:rPr>
        <w:t>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Future offerings of debt or equity securities by us may adversely affect the market price of our common stock.</w:t>
      </w:r>
    </w:p>
    <w:p>
      <w:pPr>
        <w:spacing w:after="0" w:line="259"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209"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69" w:lineRule="exact"/>
        <w:rPr>
          <w:sz w:val="20"/>
          <w:szCs w:val="20"/>
          <w:color w:val="auto"/>
        </w:rPr>
      </w:pPr>
    </w:p>
    <w:p>
      <w:pPr>
        <w:ind w:right="60"/>
        <w:spacing w:after="0" w:line="275" w:lineRule="auto"/>
        <w:rPr>
          <w:sz w:val="20"/>
          <w:szCs w:val="20"/>
          <w:color w:val="auto"/>
        </w:rPr>
      </w:pPr>
      <w:r>
        <w:rPr>
          <w:rFonts w:ascii="Arial" w:cs="Arial" w:eastAsia="Arial" w:hAnsi="Arial"/>
          <w:sz w:val="20"/>
          <w:szCs w:val="20"/>
          <w:b w:val="1"/>
          <w:bCs w:val="1"/>
          <w:i w:val="1"/>
          <w:iCs w:val="1"/>
          <w:color w:val="auto"/>
        </w:rPr>
        <w:t>A sale of a substantial number of shares of our common stock, or the perception that such sales might occur, may cause the price of our common stock to decline.</w:t>
      </w:r>
    </w:p>
    <w:p>
      <w:pPr>
        <w:spacing w:after="0" w:line="186" w:lineRule="exact"/>
        <w:rPr>
          <w:sz w:val="20"/>
          <w:szCs w:val="20"/>
          <w:color w:val="auto"/>
        </w:rPr>
      </w:pPr>
    </w:p>
    <w:p>
      <w:pPr>
        <w:jc w:val="both"/>
        <w:ind w:right="300"/>
        <w:spacing w:after="0" w:line="325" w:lineRule="auto"/>
        <w:rPr>
          <w:sz w:val="20"/>
          <w:szCs w:val="20"/>
          <w:color w:val="auto"/>
        </w:rPr>
      </w:pPr>
      <w:r>
        <w:rPr>
          <w:rFonts w:ascii="Arial" w:cs="Arial" w:eastAsia="Arial" w:hAnsi="Arial"/>
          <w:sz w:val="17"/>
          <w:szCs w:val="17"/>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47"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19,042,394 shares as of February 20, 2025, but may be waived at any time by a majority of the members of the leadership development and compensation committee of the board of directors.</w:t>
      </w:r>
    </w:p>
    <w:p>
      <w:pPr>
        <w:spacing w:after="0" w:line="171" w:lineRule="exact"/>
        <w:rPr>
          <w:sz w:val="20"/>
          <w:szCs w:val="20"/>
          <w:color w:val="auto"/>
        </w:rPr>
      </w:pPr>
    </w:p>
    <w:p>
      <w:pPr>
        <w:jc w:val="both"/>
        <w:ind w:right="20"/>
        <w:spacing w:after="0" w:line="251" w:lineRule="auto"/>
        <w:rPr>
          <w:sz w:val="20"/>
          <w:szCs w:val="20"/>
          <w:color w:val="auto"/>
        </w:rPr>
      </w:pPr>
      <w:r>
        <w:rPr>
          <w:rFonts w:ascii="Arial" w:cs="Arial" w:eastAsia="Arial" w:hAnsi="Arial"/>
          <w:sz w:val="20"/>
          <w:szCs w:val="20"/>
          <w:color w:val="auto"/>
        </w:rPr>
        <w:t>As of February 20, 2025, Warburg Pincus and GTCR together own approximately 43.4% of our outstanding common stock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w:t>
      </w:r>
    </w:p>
    <w:p>
      <w:pPr>
        <w:spacing w:after="0" w:line="209"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Any sales of securities by any of our stockholders described above could have a material adverse effect on the market price of our common stock.</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interests of our Sponsors may differ from the interests of other stockholders of the Company.</w:t>
      </w:r>
    </w:p>
    <w:p>
      <w:pPr>
        <w:spacing w:after="0" w:line="295" w:lineRule="exact"/>
        <w:rPr>
          <w:sz w:val="20"/>
          <w:szCs w:val="20"/>
          <w:color w:val="auto"/>
        </w:rPr>
      </w:pPr>
    </w:p>
    <w:p>
      <w:pPr>
        <w:ind w:right="260"/>
        <w:spacing w:after="0" w:line="325" w:lineRule="auto"/>
        <w:rPr>
          <w:sz w:val="20"/>
          <w:szCs w:val="20"/>
          <w:color w:val="auto"/>
        </w:rPr>
      </w:pPr>
      <w:r>
        <w:rPr>
          <w:rFonts w:ascii="Arial" w:cs="Arial" w:eastAsia="Arial" w:hAnsi="Arial"/>
          <w:sz w:val="17"/>
          <w:szCs w:val="17"/>
          <w:color w:val="auto"/>
        </w:rPr>
        <w:t>As of February 20, 2025, the Sponsors own approximately 43.4% of our outstanding common stock and retain the right to designate over a majority of our directors. The Stockholders Agreement contains agreements with respect to certain other matters, including the election of directors; mergers, consolidations and acquisitions; the sale of all or substantially all of our</w:t>
      </w:r>
    </w:p>
    <w:p>
      <w:pPr>
        <w:sectPr>
          <w:pgSz w:w="11880" w:h="15480" w:orient="portrait"/>
          <w:cols w:equalWidth="0" w:num="1">
            <w:col w:w="10020"/>
          </w:cols>
          <w:pgMar w:left="920" w:top="534" w:right="94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20"/>
          </w:cols>
          <w:pgMar w:left="920" w:top="534" w:right="940" w:bottom="0" w:gutter="0" w:footer="0" w:header="0"/>
          <w:type w:val="continuous"/>
        </w:sectPr>
      </w:pPr>
    </w:p>
    <w:bookmarkStart w:id="49" w:name="page50"/>
    <w:bookmarkEnd w:id="49"/>
    <w:p>
      <w:pPr>
        <w:ind w:right="20"/>
        <w:spacing w:after="0" w:line="294" w:lineRule="auto"/>
        <w:rPr>
          <w:sz w:val="20"/>
          <w:szCs w:val="20"/>
          <w:color w:val="auto"/>
        </w:rPr>
      </w:pPr>
      <w:r>
        <w:rPr>
          <w:rFonts w:ascii="Arial" w:cs="Arial" w:eastAsia="Arial" w:hAnsi="Arial"/>
          <w:sz w:val="17"/>
          <w:szCs w:val="17"/>
          <w:color w:val="auto"/>
        </w:rPr>
        <w:t>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80"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Certain of our stockholders have the right to engage or invest in the same or similar businesses as us.</w:t>
      </w:r>
    </w:p>
    <w:p>
      <w:pPr>
        <w:spacing w:after="0" w:line="248"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9"/>
          <w:szCs w:val="19"/>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184" w:lineRule="exact"/>
        <w:rPr>
          <w:sz w:val="20"/>
          <w:szCs w:val="20"/>
          <w:color w:val="auto"/>
        </w:rPr>
      </w:pPr>
    </w:p>
    <w:p>
      <w:pPr>
        <w:jc w:val="both"/>
        <w:ind w:right="80"/>
        <w:spacing w:after="0" w:line="260" w:lineRule="auto"/>
        <w:rPr>
          <w:sz w:val="20"/>
          <w:szCs w:val="20"/>
          <w:color w:val="auto"/>
        </w:rPr>
      </w:pPr>
      <w:r>
        <w:rPr>
          <w:rFonts w:ascii="Arial" w:cs="Arial" w:eastAsia="Arial" w:hAnsi="Arial"/>
          <w:sz w:val="20"/>
          <w:szCs w:val="20"/>
          <w:b w:val="1"/>
          <w:bCs w:val="1"/>
          <w:i w:val="1"/>
          <w:iCs w:val="1"/>
          <w:color w:val="auto"/>
        </w:rPr>
        <w:t>Anti-takeover provisions in our Amended and Restated Certificate of Incorporation, Amended and Restated Bylaws and the Stockholders Agreement, as well as Delaware law, could discourage a change in control of our company or a change in our management.</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color w:val="auto"/>
        </w:rPr>
        <w:t>Our Amended and Restated Certificate of Incorporation,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74" w:lineRule="exact"/>
        <w:rPr>
          <w:sz w:val="20"/>
          <w:szCs w:val="20"/>
          <w:color w:val="auto"/>
        </w:rPr>
      </w:pPr>
    </w:p>
    <w:p>
      <w:pPr>
        <w:ind w:left="700" w:hanging="355"/>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122" w:lineRule="exact"/>
        <w:rPr>
          <w:rFonts w:ascii="Arial" w:cs="Arial" w:eastAsia="Arial" w:hAnsi="Arial"/>
          <w:sz w:val="20"/>
          <w:szCs w:val="20"/>
          <w:color w:val="auto"/>
        </w:rPr>
      </w:pPr>
    </w:p>
    <w:p>
      <w:pPr>
        <w:ind w:left="700" w:right="940" w:hanging="355"/>
        <w:spacing w:after="0" w:line="271"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establishing a classified board of directors with three-year staggered terms, which could delay the ability of stockholders to change the membership of a majority of our board of directors;</w:t>
      </w:r>
    </w:p>
    <w:p>
      <w:pPr>
        <w:spacing w:after="0" w:line="68" w:lineRule="exact"/>
        <w:rPr>
          <w:rFonts w:ascii="Arial" w:cs="Arial" w:eastAsia="Arial" w:hAnsi="Arial"/>
          <w:sz w:val="20"/>
          <w:szCs w:val="20"/>
          <w:color w:val="auto"/>
        </w:rPr>
      </w:pPr>
    </w:p>
    <w:p>
      <w:pPr>
        <w:ind w:left="700" w:right="300" w:hanging="355"/>
        <w:spacing w:after="0" w:line="271" w:lineRule="auto"/>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providing that directors may be removed only for cause by the affirmative vote of the holders of at least 75% of the voting power of our outstanding common stock;</w:t>
      </w:r>
    </w:p>
    <w:p>
      <w:pPr>
        <w:spacing w:after="0" w:line="68" w:lineRule="exact"/>
        <w:rPr>
          <w:rFonts w:ascii="Arial" w:cs="Arial" w:eastAsia="Arial" w:hAnsi="Arial"/>
          <w:sz w:val="20"/>
          <w:szCs w:val="20"/>
          <w:color w:val="auto"/>
        </w:rPr>
      </w:pPr>
    </w:p>
    <w:p>
      <w:pPr>
        <w:ind w:left="700" w:right="180" w:hanging="355"/>
        <w:spacing w:after="0" w:line="312"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534" w:right="920" w:bottom="0" w:gutter="0" w:footer="0" w:header="0"/>
          <w:type w:val="continuous"/>
        </w:sectPr>
      </w:pPr>
    </w:p>
    <w:bookmarkStart w:id="50" w:name="page51"/>
    <w:bookmarkEnd w:id="50"/>
    <w:p>
      <w:pPr>
        <w:ind w:left="700" w:right="480"/>
        <w:spacing w:after="0" w:line="271" w:lineRule="auto"/>
        <w:rPr>
          <w:sz w:val="20"/>
          <w:szCs w:val="20"/>
          <w:color w:val="auto"/>
        </w:rPr>
      </w:pPr>
      <w:r>
        <w:rPr>
          <w:rFonts w:ascii="Arial" w:cs="Arial" w:eastAsia="Arial" w:hAnsi="Arial"/>
          <w:sz w:val="20"/>
          <w:szCs w:val="20"/>
          <w:color w:val="auto"/>
        </w:rPr>
        <w:t>Stockholders Agreement and (ii) the number of directors shall not exceed eleven without the consent of Warburg Pincus or GTCR;</w:t>
      </w:r>
    </w:p>
    <w:p>
      <w:pPr>
        <w:spacing w:after="0" w:line="69" w:lineRule="exact"/>
        <w:rPr>
          <w:sz w:val="20"/>
          <w:szCs w:val="20"/>
          <w:color w:val="auto"/>
        </w:rPr>
      </w:pPr>
    </w:p>
    <w:p>
      <w:pPr>
        <w:jc w:val="both"/>
        <w:ind w:left="700" w:right="20" w:hanging="355"/>
        <w:spacing w:after="0" w:line="325"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29" w:lineRule="exact"/>
        <w:rPr>
          <w:rFonts w:ascii="Arial" w:cs="Arial" w:eastAsia="Arial" w:hAnsi="Arial"/>
          <w:sz w:val="17"/>
          <w:szCs w:val="17"/>
          <w:color w:val="auto"/>
        </w:rPr>
      </w:pPr>
    </w:p>
    <w:p>
      <w:pPr>
        <w:jc w:val="both"/>
        <w:ind w:left="700" w:right="460" w:hanging="355"/>
        <w:spacing w:after="0" w:line="360"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the affirmative vote of at least 66 2/3% of the voting power of our outstanding common stock to amend certain provisions of our Amended and Restated Certificate of Incorporation and Amended and Restated Bylaws;</w:t>
      </w:r>
    </w:p>
    <w:p>
      <w:pPr>
        <w:spacing w:after="0" w:line="1" w:lineRule="exact"/>
        <w:rPr>
          <w:rFonts w:ascii="Arial" w:cs="Arial" w:eastAsia="Arial" w:hAnsi="Arial"/>
          <w:sz w:val="17"/>
          <w:szCs w:val="17"/>
          <w:color w:val="auto"/>
        </w:rPr>
      </w:pPr>
    </w:p>
    <w:p>
      <w:pPr>
        <w:ind w:left="700" w:right="200" w:hanging="355"/>
        <w:spacing w:after="0" w:line="266"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75" w:lineRule="exact"/>
        <w:rPr>
          <w:rFonts w:ascii="Arial" w:cs="Arial" w:eastAsia="Arial" w:hAnsi="Arial"/>
          <w:sz w:val="19"/>
          <w:szCs w:val="19"/>
          <w:color w:val="auto"/>
        </w:rPr>
      </w:pPr>
    </w:p>
    <w:p>
      <w:pPr>
        <w:ind w:left="700" w:right="20" w:hanging="355"/>
        <w:spacing w:after="0" w:line="297"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57" w:lineRule="exact"/>
        <w:rPr>
          <w:rFonts w:ascii="Arial" w:cs="Arial" w:eastAsia="Arial" w:hAnsi="Arial"/>
          <w:sz w:val="17"/>
          <w:szCs w:val="17"/>
          <w:color w:val="auto"/>
        </w:rPr>
      </w:pPr>
    </w:p>
    <w:p>
      <w:pPr>
        <w:ind w:left="700" w:right="320" w:hanging="355"/>
        <w:spacing w:after="0" w:line="27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right to issue blank check preferred stock without stockholder approval, which could be used to dilute the stock ownership of a potential hostile acquirer or adopt a stockholder rights plan;</w:t>
      </w:r>
    </w:p>
    <w:p>
      <w:pPr>
        <w:spacing w:after="0" w:line="68" w:lineRule="exact"/>
        <w:rPr>
          <w:rFonts w:ascii="Arial" w:cs="Arial" w:eastAsia="Arial" w:hAnsi="Arial"/>
          <w:sz w:val="20"/>
          <w:szCs w:val="20"/>
          <w:color w:val="auto"/>
        </w:rPr>
      </w:pPr>
    </w:p>
    <w:p>
      <w:pPr>
        <w:ind w:left="700" w:right="280" w:hanging="355"/>
        <w:spacing w:after="0" w:line="271" w:lineRule="auto"/>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requirement that our stockholders may only take action at annual or special meetings of our stockholders and may not act by written consent;</w:t>
      </w:r>
    </w:p>
    <w:p>
      <w:pPr>
        <w:spacing w:after="0" w:line="68" w:lineRule="exact"/>
        <w:rPr>
          <w:rFonts w:ascii="Arial" w:cs="Arial" w:eastAsia="Arial" w:hAnsi="Arial"/>
          <w:sz w:val="20"/>
          <w:szCs w:val="20"/>
          <w:color w:val="auto"/>
        </w:rPr>
      </w:pPr>
    </w:p>
    <w:p>
      <w:pPr>
        <w:ind w:left="700" w:hanging="355"/>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limiting the ability of stockholders to call and bring business before special meetings; and</w:t>
      </w:r>
    </w:p>
    <w:p>
      <w:pPr>
        <w:spacing w:after="0" w:line="122" w:lineRule="exact"/>
        <w:rPr>
          <w:rFonts w:ascii="Arial" w:cs="Arial" w:eastAsia="Arial" w:hAnsi="Arial"/>
          <w:sz w:val="20"/>
          <w:szCs w:val="20"/>
          <w:color w:val="auto"/>
        </w:rPr>
      </w:pPr>
    </w:p>
    <w:p>
      <w:pPr>
        <w:ind w:left="700" w:right="600" w:hanging="355"/>
        <w:spacing w:after="0" w:line="361"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18"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186" w:lineRule="exact"/>
        <w:rPr>
          <w:sz w:val="20"/>
          <w:szCs w:val="20"/>
          <w:color w:val="auto"/>
        </w:rPr>
      </w:pPr>
    </w:p>
    <w:p>
      <w:pPr>
        <w:jc w:val="both"/>
        <w:ind w:right="640"/>
        <w:spacing w:after="0" w:line="327"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149"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534" w:right="920" w:bottom="0" w:gutter="0" w:footer="0" w:header="0"/>
          <w:type w:val="continuous"/>
        </w:sectPr>
      </w:pPr>
    </w:p>
    <w:bookmarkStart w:id="51" w:name="page52"/>
    <w:bookmarkEnd w:id="51"/>
    <w:p>
      <w:pPr>
        <w:spacing w:after="0" w:line="297" w:lineRule="auto"/>
        <w:rPr>
          <w:sz w:val="20"/>
          <w:szCs w:val="20"/>
          <w:color w:val="auto"/>
        </w:rPr>
      </w:pPr>
      <w:r>
        <w:rPr>
          <w:rFonts w:ascii="Arial" w:cs="Arial" w:eastAsia="Arial" w:hAnsi="Arial"/>
          <w:sz w:val="17"/>
          <w:szCs w:val="17"/>
          <w:color w:val="auto"/>
        </w:rPr>
        <w:t>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shall, to the fullest extent permitted by law, be the sole and exclusive forum for resolving any complaint asserting a cause of action arising under the Securities Act (the “Federal Forum Provision”).</w:t>
      </w:r>
    </w:p>
    <w:p>
      <w:pPr>
        <w:spacing w:after="0" w:line="175"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161" w:lineRule="exact"/>
        <w:rPr>
          <w:sz w:val="20"/>
          <w:szCs w:val="20"/>
          <w:color w:val="auto"/>
        </w:rPr>
      </w:pPr>
    </w:p>
    <w:p>
      <w:pPr>
        <w:ind w:right="460"/>
        <w:spacing w:after="0" w:line="404" w:lineRule="auto"/>
        <w:rPr>
          <w:sz w:val="20"/>
          <w:szCs w:val="20"/>
          <w:color w:val="auto"/>
        </w:rPr>
      </w:pPr>
      <w:r>
        <w:rPr>
          <w:rFonts w:ascii="Arial" w:cs="Arial" w:eastAsia="Arial" w:hAnsi="Arial"/>
          <w:sz w:val="16"/>
          <w:szCs w:val="16"/>
          <w:b w:val="1"/>
          <w:bCs w:val="1"/>
          <w:i w:val="1"/>
          <w:iCs w:val="1"/>
          <w:color w:val="auto"/>
        </w:rPr>
        <w:t>We do not anticipate paying any dividends on our common stock in the foreseeable future, and, consequently, our stockholders’ ability to achieve a return on their investment depends on appreciation in the price of our common stock.</w:t>
      </w:r>
    </w:p>
    <w:p>
      <w:pPr>
        <w:spacing w:after="0" w:line="93"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auto"/>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Combined Senior Secured Credit Facilities. As a result, capital appreciation, if any, of our common stock will be the sole source of potential gain for the foreseeable future, and our stockholders will have to sell some or all of their common stock holdings to generate cash flow from their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48" w:lineRule="exact"/>
        <w:rPr>
          <w:sz w:val="20"/>
          <w:szCs w:val="20"/>
          <w:color w:val="auto"/>
        </w:rPr>
      </w:pPr>
    </w:p>
    <w:p>
      <w:pPr>
        <w:ind w:right="20"/>
        <w:spacing w:after="0" w:line="299" w:lineRule="auto"/>
        <w:rPr>
          <w:sz w:val="20"/>
          <w:szCs w:val="20"/>
          <w:color w:val="auto"/>
        </w:rPr>
      </w:pPr>
      <w:r>
        <w:rPr>
          <w:rFonts w:ascii="Arial" w:cs="Arial" w:eastAsia="Arial" w:hAnsi="Arial"/>
          <w:sz w:val="17"/>
          <w:szCs w:val="17"/>
          <w:color w:val="auto"/>
        </w:rPr>
        <w:t>We rely on IT systems to conduct business, including but not limited to, interacting with customers and suppliers, fulfilling orders, generating invoices, collecting and making payments, fulfilling contractual obligations, communicating with internal and external stakeholders, and maintaining our business and financial records. In addition, we rely on networks and services, including internet sites, cloud and software-as-a-service solutions, data hosting and processing facilities and tools and other hardware, software and technical applications and platforms, some of which are managed, hosted, provided and/or used by third-parties or their vendors. As a result, the Company is subject to various risks related to vulnerabilities, threats and attacks on these IT systems. See Item 1A, “Risks Related to the Company–“Our business may be subject to system interruptions, cybersecurity incidents and unauthorized data disclosures.” under Item 1A. Risk Factors for additional discussion of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125"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Company has an enterprise risk management (“ERM”) program that includes the processes used to identify assess, and manage our most significant enterprise risks and uncertainties that could materially impact the long-term health of the Company or prevent the achievement of strategic objectives. These risks are identified, measured, monitored, and managed across key risk categories, which include the consideration of cybersecurity risks. The Company develops and maintains cybersecurity processes that protect the confidentiality, integrity and availability of Company, employee, customer and partner information against a growing number of cybersecurity threats and threat actors. Our cybersecurity program is designed to protect our infrastructure from potential threats, including threats associated with our third party business partners, to allow us to assess, identify and manage material risks from cybersecurity threats and to endeavor to secure the integrity of our data and IT systems using techniques, hardware, and software typical of companies of our size and scope, which are described further below. For example, we leverage the National Institute of Standards and Technology Cybersecurity Framework’s (“NIST CSF”) principles in developing our cybersecurity program to monitor our security environment and manage risk. However, this does not mean</w:t>
      </w:r>
    </w:p>
    <w:p>
      <w:pPr>
        <w:sectPr>
          <w:pgSz w:w="11880" w:h="15480" w:orient="portrait"/>
          <w:cols w:equalWidth="0" w:num="1">
            <w:col w:w="10040"/>
          </w:cols>
          <w:pgMar w:left="920" w:top="534" w:right="92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40"/>
          </w:cols>
          <w:pgMar w:left="920" w:top="534" w:right="920" w:bottom="0" w:gutter="0" w:footer="0" w:header="0"/>
          <w:type w:val="continuous"/>
        </w:sectPr>
      </w:pPr>
    </w:p>
    <w:bookmarkStart w:id="52" w:name="page53"/>
    <w:bookmarkEnd w:id="52"/>
    <w:p>
      <w:pPr>
        <w:ind w:right="80"/>
        <w:spacing w:after="0" w:line="271" w:lineRule="auto"/>
        <w:rPr>
          <w:sz w:val="20"/>
          <w:szCs w:val="20"/>
          <w:color w:val="auto"/>
        </w:rPr>
      </w:pPr>
      <w:r>
        <w:rPr>
          <w:rFonts w:ascii="Arial" w:cs="Arial" w:eastAsia="Arial" w:hAnsi="Arial"/>
          <w:sz w:val="20"/>
          <w:szCs w:val="20"/>
          <w:color w:val="auto"/>
        </w:rPr>
        <w:t>that we meet any particular technical standards, specifications, or requirements, but rather that we use the NIST CSF as a guide to help us identify, assess, and manage cybersecurity risks and threats relevant to our business.</w:t>
      </w:r>
    </w:p>
    <w:p>
      <w:pPr>
        <w:spacing w:after="0" w:line="186" w:lineRule="exact"/>
        <w:rPr>
          <w:sz w:val="20"/>
          <w:szCs w:val="20"/>
          <w:color w:val="auto"/>
        </w:rPr>
      </w:pPr>
    </w:p>
    <w:p>
      <w:pPr>
        <w:ind w:right="140"/>
        <w:spacing w:after="0" w:line="295" w:lineRule="auto"/>
        <w:rPr>
          <w:sz w:val="20"/>
          <w:szCs w:val="20"/>
          <w:color w:val="auto"/>
        </w:rPr>
      </w:pPr>
      <w:r>
        <w:rPr>
          <w:rFonts w:ascii="Arial" w:cs="Arial" w:eastAsia="Arial" w:hAnsi="Arial"/>
          <w:sz w:val="17"/>
          <w:szCs w:val="17"/>
          <w:color w:val="auto"/>
        </w:rPr>
        <w:t>The Company has adopted a risk-based strategy designed to achieve a targeted and cost-effective approach to managing cybersecurity risks that strengthens our abilities to prevent, detect, and respond to cybersecurity incidents. The Company has configured its IT environment, where possible, to restrict access using a least privileged methodology. We use various technologies and monitoring capabilities to detect anomalies and track information and assets. We have implemented a cybersecurity awareness program consisting of frequent training, phishing exercises, and bulletins regarding pertinent cybersecurity developments. We maintain and regularly update incident response, disaster recovery and business continuity plans and procedures. Our IT specialists subscribe to threat intelligence feeds and are members of cybersecurity-related associations such as the Information Systems Audit and Control Association, the Computing Technology Industry Association and the Cloud Security Alliance. We also maintain insurance coverage for cyber and data security risks of an amount and subject to conditions and exceptions that we believe are customary for companies like ours, but there can be no assurance that our levels of coverage are adequate or that we will be able to continue to maintain our existing insurance or obtain comparable insurance at a reasonable cost or at all.</w:t>
      </w:r>
    </w:p>
    <w:p>
      <w:pPr>
        <w:spacing w:after="0" w:line="200" w:lineRule="exact"/>
        <w:rPr>
          <w:sz w:val="20"/>
          <w:szCs w:val="20"/>
          <w:color w:val="auto"/>
        </w:rPr>
      </w:pPr>
    </w:p>
    <w:p>
      <w:pPr>
        <w:spacing w:after="0" w:line="215"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color w:val="auto"/>
        </w:rPr>
        <w:t>As of the date of this filing, we do not believe that any risks from cybersecurity threats, including as a result of past cybersecurity incidents have had, or are reasonably likely to have, a material effect on our business strategy, results of operations or financial condition, but we cannot assure that our business strategy, results of operations and financial condition will not be materially affected in the future by cybersecurity risks or future cybersecurity incidents. Although we have taken and will continue to take significant steps to protect the security and integrity of our information and although we have implemented policies and procedures to enhance data privacy and security, there can be no assurance that our efforts will prevent breakdowns, system failures, breaches of our systems or other cybersecurity incidents or otherwise be fully effective. Any such breakdown, breach or cybersecurity incident could adversely affect our business strategy, prospects, financial condition or results of operations, and any insurance that we may have for cybersecurity incidents may not cover such risks or be sufficient to compensate us for losses that may occur.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Governance</w:t>
      </w:r>
    </w:p>
    <w:p>
      <w:pPr>
        <w:spacing w:after="0" w:line="125"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Our Chief Information Officer (“CIO”) is responsible for assessing and managing cybersecurity risks. The CIO is supported by the Senior Director of IT Governance, Security, and Service Delivery and the Senior Director of Global Infrastructure, and Senior Information Security Architect, who manage our day-to-day cybersecurity-related matters and keep abreast of cybersecurity news, events and incidents through regular course monitoring and updates. Our CIO has over 12 years of professional experience in various roles involving managing information security, developing cybersecurity strategy, implementing cybersecurity programs, and managing multiple industry and regulatory compliance environments. Our CIO also holds a certificate in Cyber-Risk Oversight issued by the National Association of Corporate Directors. Our Senior Director of IT Governance, Security, and Service Delivery has over 15 years of professional experience in various roles involving managing information security, developing cybersecurity strategy, implementing cybersecurity programs, and managing industry and regulatory compliance environments. Our Senior Information Security Architect has over 20 years of professional experience designing secure architecture, conducting threat and risk assessments, incident response, cyber forensics, and teaching college and university level cybersecurity program courses. Our Senior Information Security Architect also holds a diverse set of certifications, including CISSP, CISCO Security +, CISA, CEH, CompTIA Sec +, and others.</w:t>
      </w:r>
    </w:p>
    <w:p>
      <w:pPr>
        <w:spacing w:after="0" w:line="180"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color w:val="auto"/>
        </w:rPr>
        <w:t>When detected, suspected cybersecurity threats are escalated to the CIO and incident response team. The CIO then creates a Cybersecurity Incident Response Team (“CSIRT”) which, depending on the incident, comprises the incident coordinator, cybersecurity staff, legal counsel and other stakeholders as appropriate. The CSIRT investigates and manages the impact of cybersecurity incidents in accordance with our security incident response procedures.</w:t>
      </w:r>
    </w:p>
    <w:p>
      <w:pPr>
        <w:spacing w:after="0" w:line="160"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Our board of directors and its audit committee oversee the Company’s ERM program, and the steps management has taken to monitor and mitigate such risks, including the Company’s procedures and any related policies with respect to enterprise risk assessment and risk management. The board of directors bears principal responsibility for overseeing the Company’s principal current and future risk exposures, and, on an annual basis, the board of directors reviews them, including cybersecurity risks and exposures. The board of directors’ review includes an annual session with our CIO on the Company’s procedures and policies for assessing and managing cybersecurity risks and disclosing any material cybersecurity incidents. In performing these oversight functions, the board of directors relies on advice, reports and opinions of management, counsel and our internal and external auditors, including mid-year and year-end cybersecurity inquiries by our external auditors on various aspects of the Company’s cybersecurity program, processes and training.</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40"/>
          </w:cols>
          <w:pgMar w:left="920" w:top="534" w:right="920" w:bottom="0" w:gutter="0" w:footer="0" w:header="0"/>
          <w:type w:val="continuous"/>
        </w:sectPr>
      </w:pPr>
    </w:p>
    <w:bookmarkStart w:id="53" w:name="page54"/>
    <w:bookmarkEnd w:id="53"/>
    <w:p>
      <w:pPr>
        <w:ind w:left="7"/>
        <w:spacing w:after="0"/>
        <w:rPr>
          <w:sz w:val="20"/>
          <w:szCs w:val="20"/>
          <w:color w:val="auto"/>
        </w:rPr>
      </w:pPr>
      <w:r>
        <w:rPr>
          <w:rFonts w:ascii="Arial" w:cs="Arial" w:eastAsia="Arial" w:hAnsi="Arial"/>
          <w:sz w:val="20"/>
          <w:szCs w:val="20"/>
          <w:b w:val="1"/>
          <w:bCs w:val="1"/>
          <w:i w:val="1"/>
          <w:iCs w:val="1"/>
          <w:color w:val="auto"/>
        </w:rPr>
        <w:t>Use of Independent Experts</w:t>
      </w:r>
    </w:p>
    <w:p>
      <w:pPr>
        <w:spacing w:after="0" w:line="125" w:lineRule="exact"/>
        <w:rPr>
          <w:sz w:val="20"/>
          <w:szCs w:val="20"/>
          <w:color w:val="auto"/>
        </w:rPr>
      </w:pPr>
    </w:p>
    <w:p>
      <w:pPr>
        <w:ind w:left="7" w:right="220"/>
        <w:spacing w:after="0" w:line="271" w:lineRule="auto"/>
        <w:rPr>
          <w:sz w:val="20"/>
          <w:szCs w:val="20"/>
          <w:color w:val="auto"/>
        </w:rPr>
      </w:pPr>
      <w:r>
        <w:rPr>
          <w:rFonts w:ascii="Arial" w:cs="Arial" w:eastAsia="Arial" w:hAnsi="Arial"/>
          <w:sz w:val="19"/>
          <w:szCs w:val="19"/>
          <w:color w:val="auto"/>
        </w:rPr>
        <w:t>The Company engages external resources in connection with our processes for assessing, identifying and managing material risks from cybersecurity threats. These resources include, but are not limited to, regular internal and external penetration tests and assessments of our cybersecurity program by third-party experts. We plan to continue to engage independent experts to periodically test our cybersecurity policies for their effectiveness.</w:t>
      </w:r>
    </w:p>
    <w:p>
      <w:pPr>
        <w:spacing w:after="0" w:line="18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2. Properties</w:t>
      </w:r>
    </w:p>
    <w:p>
      <w:pPr>
        <w:spacing w:after="0" w:line="248" w:lineRule="exact"/>
        <w:rPr>
          <w:sz w:val="20"/>
          <w:szCs w:val="20"/>
          <w:color w:val="auto"/>
        </w:rPr>
      </w:pPr>
    </w:p>
    <w:p>
      <w:pPr>
        <w:ind w:left="7" w:right="140"/>
        <w:spacing w:after="0" w:line="306" w:lineRule="auto"/>
        <w:rPr>
          <w:sz w:val="20"/>
          <w:szCs w:val="20"/>
          <w:color w:val="auto"/>
        </w:rPr>
      </w:pPr>
      <w:r>
        <w:rPr>
          <w:rFonts w:ascii="Arial" w:cs="Arial" w:eastAsia="Arial" w:hAnsi="Arial"/>
          <w:sz w:val="17"/>
          <w:szCs w:val="17"/>
          <w:color w:val="auto"/>
        </w:rPr>
        <w:t>Our corporate headquarters is in Broadview Heights, Ohio, our Sterigenics headquarters is in Oakbrook, Illinois, our Nelson Labs headquarters is in Taylorsville, Utah and our Nordion headquarters is in Kanata, Ontario. As of December 31, 2024, we operated 62 facilities in North America, South America, Europe and Asia. The following table identified the number of owned and leased facilities, other than our headquarters listed above. We believe that our facilities are adequate for our current needs and that suitable additional or substitute space will be available as needed to accommodate our operations.</w:t>
      </w:r>
    </w:p>
    <w:p>
      <w:pPr>
        <w:spacing w:after="0" w:line="179"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Owned/Leased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720" w:type="dxa"/>
            <w:vAlign w:val="bottom"/>
            <w:gridSpan w:val="2"/>
          </w:tcPr>
          <w:p>
            <w:pPr>
              <w:spacing w:after="0" w:line="186" w:lineRule="exact"/>
              <w:rPr>
                <w:sz w:val="20"/>
                <w:szCs w:val="20"/>
                <w:color w:val="auto"/>
              </w:rPr>
            </w:pPr>
            <w:r>
              <w:rPr>
                <w:rFonts w:ascii="Arial" w:cs="Arial" w:eastAsia="Arial" w:hAnsi="Arial"/>
                <w:sz w:val="16"/>
                <w:szCs w:val="16"/>
                <w:b w:val="1"/>
                <w:bCs w:val="1"/>
                <w:color w:val="auto"/>
              </w:rPr>
              <w:t>Segment</w:t>
            </w:r>
            <w:r>
              <w:rPr>
                <w:rFonts w:ascii="Arial" w:cs="Arial" w:eastAsia="Arial" w:hAnsi="Arial"/>
                <w:sz w:val="17"/>
                <w:szCs w:val="17"/>
                <w:b w:val="1"/>
                <w:bCs w:val="1"/>
                <w:color w:val="auto"/>
                <w:vertAlign w:val="superscript"/>
              </w:rPr>
              <w:t>(1)</w:t>
            </w: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w w:val="91"/>
              </w:rPr>
              <w:t>Owned Facilities</w:t>
            </w:r>
          </w:p>
        </w:tc>
        <w:tc>
          <w:tcPr>
            <w:tcW w:w="220" w:type="dxa"/>
            <w:vAlign w:val="bottom"/>
          </w:tcPr>
          <w:p>
            <w:pPr>
              <w:spacing w:after="0"/>
              <w:rPr>
                <w:sz w:val="16"/>
                <w:szCs w:val="16"/>
                <w:color w:val="auto"/>
              </w:rPr>
            </w:pPr>
          </w:p>
        </w:tc>
        <w:tc>
          <w:tcPr>
            <w:tcW w:w="1280" w:type="dxa"/>
            <w:vAlign w:val="bottom"/>
          </w:tcPr>
          <w:p>
            <w:pPr>
              <w:jc w:val="center"/>
              <w:spacing w:after="0" w:line="185" w:lineRule="exact"/>
              <w:rPr>
                <w:sz w:val="20"/>
                <w:szCs w:val="20"/>
                <w:color w:val="auto"/>
              </w:rPr>
            </w:pPr>
            <w:r>
              <w:rPr>
                <w:rFonts w:ascii="Arial" w:cs="Arial" w:eastAsia="Arial" w:hAnsi="Arial"/>
                <w:sz w:val="16"/>
                <w:szCs w:val="16"/>
                <w:b w:val="1"/>
                <w:bCs w:val="1"/>
                <w:color w:val="auto"/>
                <w:w w:val="84"/>
              </w:rPr>
              <w:t>Facilities</w:t>
            </w:r>
            <w:r>
              <w:rPr>
                <w:rFonts w:ascii="Arial" w:cs="Arial" w:eastAsia="Arial" w:hAnsi="Arial"/>
                <w:sz w:val="20"/>
                <w:szCs w:val="20"/>
                <w:b w:val="1"/>
                <w:bCs w:val="1"/>
                <w:color w:val="auto"/>
                <w:w w:val="84"/>
                <w:vertAlign w:val="superscript"/>
              </w:rPr>
              <w:t>(2)</w:t>
            </w:r>
          </w:p>
        </w:tc>
        <w:tc>
          <w:tcPr>
            <w:tcW w:w="22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w w:val="90"/>
              </w:rPr>
              <w:t>Leased Facilities</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20"/>
                <w:szCs w:val="20"/>
                <w:color w:val="auto"/>
              </w:rPr>
              <w:t>Sterigenics</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5720" w:type="dxa"/>
            <w:vAlign w:val="bottom"/>
            <w:gridSpan w:val="2"/>
            <w:vMerge w:val="continue"/>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89"/>
              </w:rPr>
              <w:t>30</w:t>
            </w:r>
          </w:p>
        </w:tc>
        <w:tc>
          <w:tcPr>
            <w:tcW w:w="1500" w:type="dxa"/>
            <w:vAlign w:val="bottom"/>
            <w:gridSpan w:val="2"/>
          </w:tcPr>
          <w:p>
            <w:pPr>
              <w:jc w:val="center"/>
              <w:ind w:left="182"/>
              <w:spacing w:after="0"/>
              <w:rPr>
                <w:sz w:val="20"/>
                <w:szCs w:val="20"/>
                <w:color w:val="auto"/>
              </w:rPr>
            </w:pPr>
            <w:r>
              <w:rPr>
                <w:rFonts w:ascii="Arial" w:cs="Arial" w:eastAsia="Arial" w:hAnsi="Arial"/>
                <w:sz w:val="20"/>
                <w:szCs w:val="20"/>
                <w:color w:val="auto"/>
                <w:w w:val="89"/>
              </w:rPr>
              <w:t>3</w:t>
            </w:r>
          </w:p>
        </w:tc>
        <w:tc>
          <w:tcPr>
            <w:tcW w:w="1500" w:type="dxa"/>
            <w:vAlign w:val="bottom"/>
            <w:gridSpan w:val="2"/>
          </w:tcPr>
          <w:p>
            <w:pPr>
              <w:jc w:val="center"/>
              <w:ind w:left="162"/>
              <w:spacing w:after="0"/>
              <w:rPr>
                <w:sz w:val="20"/>
                <w:szCs w:val="20"/>
                <w:color w:val="auto"/>
              </w:rPr>
            </w:pPr>
            <w:r>
              <w:rPr>
                <w:rFonts w:ascii="Arial" w:cs="Arial" w:eastAsia="Arial" w:hAnsi="Arial"/>
                <w:sz w:val="20"/>
                <w:szCs w:val="20"/>
                <w:color w:val="auto"/>
                <w:w w:val="89"/>
              </w:rPr>
              <w:t>15</w:t>
            </w:r>
          </w:p>
        </w:tc>
        <w:tc>
          <w:tcPr>
            <w:tcW w:w="0" w:type="dxa"/>
            <w:vAlign w:val="bottom"/>
          </w:tcPr>
          <w:p>
            <w:pPr>
              <w:spacing w:after="0"/>
              <w:rPr>
                <w:sz w:val="1"/>
                <w:szCs w:val="1"/>
                <w:color w:val="auto"/>
              </w:rPr>
            </w:pPr>
          </w:p>
        </w:tc>
      </w:tr>
      <w:tr>
        <w:trPr>
          <w:trHeight w:val="279"/>
        </w:trPr>
        <w:tc>
          <w:tcPr>
            <w:tcW w:w="5720" w:type="dxa"/>
            <w:vAlign w:val="bottom"/>
            <w:gridSpan w:val="2"/>
          </w:tcPr>
          <w:p>
            <w:pPr>
              <w:spacing w:after="0"/>
              <w:rPr>
                <w:sz w:val="20"/>
                <w:szCs w:val="20"/>
                <w:color w:val="auto"/>
              </w:rPr>
            </w:pPr>
            <w:r>
              <w:rPr>
                <w:rFonts w:ascii="Arial" w:cs="Arial" w:eastAsia="Arial" w:hAnsi="Arial"/>
                <w:sz w:val="20"/>
                <w:szCs w:val="20"/>
                <w:color w:val="auto"/>
              </w:rPr>
              <w:t>Nelson Labs</w:t>
            </w:r>
          </w:p>
        </w:tc>
        <w:tc>
          <w:tcPr>
            <w:tcW w:w="1280" w:type="dxa"/>
            <w:vAlign w:val="bottom"/>
          </w:tcPr>
          <w:p>
            <w:pPr>
              <w:jc w:val="center"/>
              <w:spacing w:after="0"/>
              <w:rPr>
                <w:sz w:val="20"/>
                <w:szCs w:val="20"/>
                <w:color w:val="auto"/>
              </w:rPr>
            </w:pPr>
            <w:r>
              <w:rPr>
                <w:rFonts w:ascii="Arial" w:cs="Arial" w:eastAsia="Arial" w:hAnsi="Arial"/>
                <w:sz w:val="20"/>
                <w:szCs w:val="20"/>
                <w:color w:val="auto"/>
                <w:w w:val="89"/>
              </w:rPr>
              <w:t>5</w:t>
            </w:r>
          </w:p>
        </w:tc>
        <w:tc>
          <w:tcPr>
            <w:tcW w:w="1500" w:type="dxa"/>
            <w:vAlign w:val="bottom"/>
            <w:gridSpan w:val="2"/>
          </w:tcPr>
          <w:p>
            <w:pPr>
              <w:jc w:val="center"/>
              <w:ind w:left="182"/>
              <w:spacing w:after="0"/>
              <w:rPr>
                <w:sz w:val="20"/>
                <w:szCs w:val="20"/>
                <w:color w:val="auto"/>
              </w:rPr>
            </w:pPr>
            <w:r>
              <w:rPr>
                <w:rFonts w:ascii="Arial" w:cs="Arial" w:eastAsia="Arial" w:hAnsi="Arial"/>
                <w:sz w:val="20"/>
                <w:szCs w:val="20"/>
                <w:color w:val="auto"/>
                <w:w w:val="89"/>
              </w:rPr>
              <w:t>1</w:t>
            </w:r>
          </w:p>
        </w:tc>
        <w:tc>
          <w:tcPr>
            <w:tcW w:w="1500" w:type="dxa"/>
            <w:vAlign w:val="bottom"/>
            <w:gridSpan w:val="2"/>
          </w:tcPr>
          <w:p>
            <w:pPr>
              <w:jc w:val="center"/>
              <w:ind w:left="182"/>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279"/>
        </w:trPr>
        <w:tc>
          <w:tcPr>
            <w:tcW w:w="5720" w:type="dxa"/>
            <w:vAlign w:val="bottom"/>
            <w:gridSpan w:val="2"/>
          </w:tcPr>
          <w:p>
            <w:pPr>
              <w:spacing w:after="0"/>
              <w:rPr>
                <w:sz w:val="20"/>
                <w:szCs w:val="20"/>
                <w:color w:val="auto"/>
              </w:rPr>
            </w:pPr>
            <w:r>
              <w:rPr>
                <w:rFonts w:ascii="Arial" w:cs="Arial" w:eastAsia="Arial" w:hAnsi="Arial"/>
                <w:sz w:val="20"/>
                <w:szCs w:val="20"/>
                <w:color w:val="auto"/>
              </w:rPr>
              <w:t>Nordion</w:t>
            </w:r>
          </w:p>
        </w:tc>
        <w:tc>
          <w:tcPr>
            <w:tcW w:w="12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20"/>
                <w:szCs w:val="20"/>
                <w:color w:val="auto"/>
                <w:w w:val="99"/>
              </w:rPr>
              <w:t>—</w:t>
            </w:r>
          </w:p>
        </w:tc>
        <w:tc>
          <w:tcPr>
            <w:tcW w:w="1500" w:type="dxa"/>
            <w:vAlign w:val="bottom"/>
            <w:gridSpan w:val="2"/>
          </w:tcPr>
          <w:p>
            <w:pPr>
              <w:jc w:val="center"/>
              <w:ind w:left="182"/>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6410325" cy="55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50" w:lineRule="exact"/>
        <w:rPr>
          <w:sz w:val="20"/>
          <w:szCs w:val="20"/>
          <w:color w:val="auto"/>
        </w:rPr>
      </w:pPr>
    </w:p>
    <w:p>
      <w:pPr>
        <w:ind w:left="447" w:right="240" w:hanging="447"/>
        <w:spacing w:after="0" w:line="296" w:lineRule="auto"/>
        <w:tabs>
          <w:tab w:leader="none" w:pos="447"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Seven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1" w:lineRule="exact"/>
        <w:rPr>
          <w:rFonts w:ascii="Arial" w:cs="Arial" w:eastAsia="Arial" w:hAnsi="Arial"/>
          <w:sz w:val="17"/>
          <w:szCs w:val="17"/>
          <w:color w:val="auto"/>
        </w:rPr>
      </w:pPr>
    </w:p>
    <w:p>
      <w:pPr>
        <w:ind w:left="447" w:hanging="447"/>
        <w:spacing w:after="0"/>
        <w:tabs>
          <w:tab w:leader="none" w:pos="447" w:val="left"/>
        </w:tabs>
        <w:numPr>
          <w:ilvl w:val="0"/>
          <w:numId w:val="24"/>
        </w:numPr>
        <w:rPr>
          <w:rFonts w:ascii="Arial" w:cs="Arial" w:eastAsia="Arial" w:hAnsi="Arial"/>
          <w:sz w:val="20"/>
          <w:szCs w:val="20"/>
          <w:color w:val="auto"/>
        </w:rPr>
      </w:pPr>
      <w:r>
        <w:rPr>
          <w:rFonts w:ascii="Arial" w:cs="Arial" w:eastAsia="Arial" w:hAnsi="Arial"/>
          <w:sz w:val="20"/>
          <w:szCs w:val="20"/>
          <w:color w:val="auto"/>
        </w:rPr>
        <w:t>Owned/leased facilities are comprised of multiple buildings, with some leased and some owned.</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3. Legal Proceedings</w:t>
      </w:r>
    </w:p>
    <w:p>
      <w:pPr>
        <w:spacing w:after="0" w:line="248" w:lineRule="exact"/>
        <w:rPr>
          <w:sz w:val="20"/>
          <w:szCs w:val="20"/>
          <w:color w:val="auto"/>
        </w:rPr>
      </w:pPr>
    </w:p>
    <w:p>
      <w:pPr>
        <w:ind w:left="7" w:right="120"/>
        <w:spacing w:after="0" w:line="264" w:lineRule="auto"/>
        <w:rPr>
          <w:sz w:val="20"/>
          <w:szCs w:val="20"/>
          <w:color w:val="auto"/>
        </w:rPr>
      </w:pPr>
      <w:r>
        <w:rPr>
          <w:rFonts w:ascii="Arial" w:cs="Arial" w:eastAsia="Arial" w:hAnsi="Arial"/>
          <w:sz w:val="19"/>
          <w:szCs w:val="19"/>
          <w:color w:val="auto"/>
        </w:rPr>
        <w:t>From time to time, we may be subject to various legal proceedings arising in the ordinary course of our business, including claims relating to personal injury, property damage, workers’ compensation, employee safety and our disclosures as a Nasdaq-listed, publicly-traded company. In addition, from time to time, we receive communications from government or regulatory agencies concerning investigations or allegations of noncompliance with laws or regulations in jurisdictions in which we operate. At this time, and except as disclosed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Legal Proceedings Described in Note 19, “Commitments and Contingencies,” of Our Consolidated Financial Statements</w:t>
      </w:r>
    </w:p>
    <w:p>
      <w:pPr>
        <w:spacing w:after="0" w:line="283" w:lineRule="exact"/>
        <w:rPr>
          <w:sz w:val="20"/>
          <w:szCs w:val="20"/>
          <w:color w:val="auto"/>
        </w:rPr>
      </w:pPr>
    </w:p>
    <w:p>
      <w:pPr>
        <w:ind w:left="7" w:right="60"/>
        <w:spacing w:after="0" w:line="285" w:lineRule="auto"/>
        <w:rPr>
          <w:sz w:val="20"/>
          <w:szCs w:val="20"/>
          <w:color w:val="auto"/>
        </w:rPr>
      </w:pPr>
      <w:r>
        <w:rPr>
          <w:rFonts w:ascii="Arial" w:cs="Arial" w:eastAsia="Arial" w:hAnsi="Arial"/>
          <w:sz w:val="19"/>
          <w:szCs w:val="19"/>
          <w:color w:val="auto"/>
        </w:rPr>
        <w:t xml:space="preserve">Note 19, “Commitments and Contingencies,” </w:t>
      </w:r>
      <w:r>
        <w:rPr>
          <w:rFonts w:ascii="Arial" w:cs="Arial" w:eastAsia="Arial" w:hAnsi="Arial"/>
          <w:sz w:val="20"/>
          <w:szCs w:val="20"/>
          <w:color w:val="auto"/>
        </w:rPr>
        <w:t>t</w:t>
      </w:r>
      <w:r>
        <w:rPr>
          <w:rFonts w:ascii="Arial" w:cs="Arial" w:eastAsia="Arial" w:hAnsi="Arial"/>
          <w:sz w:val="19"/>
          <w:szCs w:val="19"/>
          <w:color w:val="auto"/>
        </w:rPr>
        <w:t>o our consolidated financial statements for the year ended December 31, 2024 contained in this Annual Report on Form 10-K includes information on legal proceedings that constitute material contingencies for financial reporting purposes that could have a material effect on our financial condition or results of operations. This Item should be read in conjunction with Note 19, “Commitments and Contingencies,” for information regarding the following legal proceedings, which information is incorporated into this Item 3 by reference:</w:t>
      </w:r>
    </w:p>
    <w:p>
      <w:pPr>
        <w:spacing w:after="0" w:line="191" w:lineRule="exact"/>
        <w:rPr>
          <w:sz w:val="20"/>
          <w:szCs w:val="20"/>
          <w:color w:val="auto"/>
        </w:rPr>
      </w:pPr>
    </w:p>
    <w:p>
      <w:pPr>
        <w:ind w:left="707" w:hanging="355"/>
        <w:spacing w:after="0"/>
        <w:tabs>
          <w:tab w:leader="none" w:pos="707" w:val="left"/>
        </w:tabs>
        <w:numPr>
          <w:ilvl w:val="0"/>
          <w:numId w:val="25"/>
        </w:numPr>
        <w:rPr>
          <w:rFonts w:ascii="Arial" w:cs="Arial" w:eastAsia="Arial" w:hAnsi="Arial"/>
          <w:sz w:val="24"/>
          <w:szCs w:val="24"/>
          <w:b w:val="1"/>
          <w:bCs w:val="1"/>
          <w:color w:val="auto"/>
        </w:rPr>
      </w:pPr>
      <w:r>
        <w:rPr>
          <w:rFonts w:ascii="Arial" w:cs="Arial" w:eastAsia="Arial" w:hAnsi="Arial"/>
          <w:sz w:val="20"/>
          <w:szCs w:val="20"/>
          <w:color w:val="auto"/>
        </w:rPr>
        <w:t>Ethylene Oxide Tort Litigation – California, Georgia, Illinois and New Mexico;</w:t>
      </w:r>
    </w:p>
    <w:p>
      <w:pPr>
        <w:spacing w:after="0" w:line="18" w:lineRule="exact"/>
        <w:rPr>
          <w:rFonts w:ascii="Arial" w:cs="Arial" w:eastAsia="Arial" w:hAnsi="Arial"/>
          <w:sz w:val="24"/>
          <w:szCs w:val="24"/>
          <w:b w:val="1"/>
          <w:bCs w:val="1"/>
          <w:color w:val="auto"/>
        </w:rPr>
      </w:pPr>
    </w:p>
    <w:p>
      <w:pPr>
        <w:ind w:left="707" w:hanging="355"/>
        <w:spacing w:after="0" w:line="222" w:lineRule="auto"/>
        <w:tabs>
          <w:tab w:leader="none" w:pos="707" w:val="left"/>
        </w:tabs>
        <w:numPr>
          <w:ilvl w:val="0"/>
          <w:numId w:val="25"/>
        </w:numPr>
        <w:rPr>
          <w:rFonts w:ascii="Arial" w:cs="Arial" w:eastAsia="Arial" w:hAnsi="Arial"/>
          <w:sz w:val="24"/>
          <w:szCs w:val="24"/>
          <w:color w:val="auto"/>
        </w:rPr>
      </w:pPr>
      <w:r>
        <w:rPr>
          <w:rFonts w:ascii="Arial" w:cs="Arial" w:eastAsia="Arial" w:hAnsi="Arial"/>
          <w:sz w:val="20"/>
          <w:szCs w:val="20"/>
          <w:color w:val="auto"/>
        </w:rPr>
        <w:t>Insurance Coverage for Environmental Liabilities; and</w:t>
      </w:r>
    </w:p>
    <w:p>
      <w:pPr>
        <w:spacing w:after="0" w:line="15" w:lineRule="exact"/>
        <w:rPr>
          <w:rFonts w:ascii="Arial" w:cs="Arial" w:eastAsia="Arial" w:hAnsi="Arial"/>
          <w:sz w:val="24"/>
          <w:szCs w:val="24"/>
          <w:color w:val="auto"/>
        </w:rPr>
      </w:pPr>
    </w:p>
    <w:p>
      <w:pPr>
        <w:ind w:left="707" w:hanging="355"/>
        <w:spacing w:after="0"/>
        <w:tabs>
          <w:tab w:leader="none" w:pos="707" w:val="left"/>
        </w:tabs>
        <w:numPr>
          <w:ilvl w:val="0"/>
          <w:numId w:val="25"/>
        </w:numPr>
        <w:rPr>
          <w:rFonts w:ascii="Arial" w:cs="Arial" w:eastAsia="Arial" w:hAnsi="Arial"/>
          <w:sz w:val="24"/>
          <w:szCs w:val="24"/>
          <w:b w:val="1"/>
          <w:bCs w:val="1"/>
          <w:color w:val="auto"/>
        </w:rPr>
      </w:pPr>
      <w:r>
        <w:rPr>
          <w:rFonts w:ascii="Arial" w:cs="Arial" w:eastAsia="Arial" w:hAnsi="Arial"/>
          <w:sz w:val="20"/>
          <w:szCs w:val="20"/>
          <w:color w:val="auto"/>
        </w:rPr>
        <w:t>Sotera Health Company Securities Litigation and Related Matters.</w:t>
      </w:r>
    </w:p>
    <w:p>
      <w:pPr>
        <w:spacing w:after="0" w:line="237" w:lineRule="exact"/>
        <w:rPr>
          <w:sz w:val="20"/>
          <w:szCs w:val="20"/>
          <w:color w:val="auto"/>
        </w:rPr>
      </w:pPr>
    </w:p>
    <w:p>
      <w:pPr>
        <w:ind w:left="7" w:right="660"/>
        <w:spacing w:after="0" w:line="282" w:lineRule="auto"/>
        <w:rPr>
          <w:sz w:val="20"/>
          <w:szCs w:val="20"/>
          <w:color w:val="auto"/>
        </w:rPr>
      </w:pPr>
      <w:r>
        <w:rPr>
          <w:rFonts w:ascii="Arial" w:cs="Arial" w:eastAsia="Arial" w:hAnsi="Arial"/>
          <w:sz w:val="20"/>
          <w:szCs w:val="20"/>
          <w:b w:val="1"/>
          <w:bCs w:val="1"/>
          <w:color w:val="auto"/>
        </w:rPr>
        <w:t>Legal Proceedings Not Described in Note 19, “Commitments and Contingencies,” to Our Consolidated Financial Statements</w:t>
      </w:r>
    </w:p>
    <w:p>
      <w:pPr>
        <w:spacing w:after="0" w:line="193" w:lineRule="exact"/>
        <w:rPr>
          <w:sz w:val="20"/>
          <w:szCs w:val="20"/>
          <w:color w:val="auto"/>
        </w:rPr>
      </w:pPr>
    </w:p>
    <w:p>
      <w:pPr>
        <w:ind w:left="7" w:right="20"/>
        <w:spacing w:after="0" w:line="310" w:lineRule="auto"/>
        <w:rPr>
          <w:sz w:val="20"/>
          <w:szCs w:val="20"/>
          <w:color w:val="auto"/>
        </w:rPr>
      </w:pPr>
      <w:r>
        <w:rPr>
          <w:rFonts w:ascii="Arial" w:cs="Arial" w:eastAsia="Arial" w:hAnsi="Arial"/>
          <w:sz w:val="17"/>
          <w:szCs w:val="17"/>
          <w:color w:val="auto"/>
        </w:rPr>
        <w:t>In addition to the matters identified in Note 19, “Commitments and Contingencies,” to our consolidated financial statements for the year ended December 31, 2024 contained in this Annual Report on Form 10-K, and incorporated into this item by reference, we report matters, if any, that constitute material pending legal proceedings, other than ordinary course litigation incidental to our business, to which we are or any of our subsidiaries is a party. SEC regulations require disclosure of environmental proceedings that involve a government authority and potential monetary sanctions that the Company reasonably believes will</w:t>
      </w:r>
    </w:p>
    <w:p>
      <w:pPr>
        <w:sectPr>
          <w:pgSz w:w="11880" w:h="15480" w:orient="portrait"/>
          <w:cols w:equalWidth="0" w:num="1">
            <w:col w:w="10047"/>
          </w:cols>
          <w:pgMar w:left="913" w:top="533" w:right="92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47"/>
          </w:cols>
          <w:pgMar w:left="913" w:top="533" w:right="920" w:bottom="0" w:gutter="0" w:footer="0" w:header="0"/>
          <w:type w:val="continuous"/>
        </w:sectPr>
      </w:pPr>
    </w:p>
    <w:bookmarkStart w:id="54" w:name="page55"/>
    <w:bookmarkEnd w:id="54"/>
    <w:p>
      <w:pPr>
        <w:spacing w:after="0" w:line="298" w:lineRule="auto"/>
        <w:rPr>
          <w:sz w:val="20"/>
          <w:szCs w:val="20"/>
          <w:color w:val="auto"/>
        </w:rPr>
      </w:pPr>
      <w:r>
        <w:rPr>
          <w:rFonts w:ascii="Arial" w:cs="Arial" w:eastAsia="Arial" w:hAnsi="Arial"/>
          <w:sz w:val="19"/>
          <w:szCs w:val="19"/>
          <w:color w:val="auto"/>
        </w:rPr>
        <w:t>exceed a specified threshold. The Company uses a threshold of $1.0 million to determine whether the disclosure of any such proceedings is required because we believe matters under this threshold are not material to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740"/>
          </w:cols>
          <w:pgMar w:left="920" w:top="534"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740"/>
          </w:cols>
          <w:pgMar w:left="920" w:top="534" w:right="1220"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Part II</w:t>
      </w:r>
    </w:p>
    <w:p>
      <w:pPr>
        <w:spacing w:after="0" w:line="267" w:lineRule="exact"/>
        <w:rPr>
          <w:sz w:val="20"/>
          <w:szCs w:val="20"/>
          <w:color w:val="auto"/>
        </w:rPr>
      </w:pPr>
    </w:p>
    <w:p>
      <w:pPr>
        <w:ind w:right="760"/>
        <w:spacing w:after="0" w:line="272"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common stock is listed on the Nasdaq under the ticker symbol “SHC.”</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w:t>
      </w:r>
    </w:p>
    <w:p>
      <w:pPr>
        <w:spacing w:after="0" w:line="248" w:lineRule="exact"/>
        <w:rPr>
          <w:sz w:val="20"/>
          <w:szCs w:val="20"/>
          <w:color w:val="auto"/>
        </w:rPr>
      </w:pPr>
    </w:p>
    <w:p>
      <w:pPr>
        <w:ind w:right="220"/>
        <w:spacing w:after="0" w:line="361" w:lineRule="auto"/>
        <w:rPr>
          <w:sz w:val="20"/>
          <w:szCs w:val="20"/>
          <w:color w:val="auto"/>
        </w:rPr>
      </w:pPr>
      <w:r>
        <w:rPr>
          <w:rFonts w:ascii="Arial" w:cs="Arial" w:eastAsia="Arial" w:hAnsi="Arial"/>
          <w:sz w:val="17"/>
          <w:szCs w:val="17"/>
          <w:color w:val="auto"/>
        </w:rPr>
        <w:t>As of February 20, 2025, we had approximately 77 holders of record of our common stock. This number does not include the beneficial owners of our common stock who hold their shares through banks, brokers or other financial institutions.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48" w:lineRule="exact"/>
        <w:rPr>
          <w:sz w:val="20"/>
          <w:szCs w:val="20"/>
          <w:color w:val="auto"/>
        </w:rPr>
      </w:pPr>
    </w:p>
    <w:p>
      <w:pPr>
        <w:jc w:val="both"/>
        <w:ind w:right="320"/>
        <w:spacing w:after="0" w:line="271" w:lineRule="auto"/>
        <w:rPr>
          <w:sz w:val="20"/>
          <w:szCs w:val="20"/>
          <w:color w:val="auto"/>
        </w:rPr>
      </w:pPr>
      <w:r>
        <w:rPr>
          <w:rFonts w:ascii="Arial" w:cs="Arial" w:eastAsia="Arial" w:hAnsi="Arial"/>
          <w:sz w:val="20"/>
          <w:szCs w:val="20"/>
          <w:color w:val="auto"/>
        </w:rPr>
        <w:t>We do not currently expect to pay any dividends on our common stock. Instead, we intend to use any future earnings for the operation and growth of our business and the repayment of indebtedness.</w:t>
      </w:r>
    </w:p>
    <w:p>
      <w:pPr>
        <w:spacing w:after="0" w:line="186" w:lineRule="exact"/>
        <w:rPr>
          <w:sz w:val="20"/>
          <w:szCs w:val="20"/>
          <w:color w:val="auto"/>
        </w:rPr>
      </w:pPr>
    </w:p>
    <w:p>
      <w:pPr>
        <w:jc w:val="both"/>
        <w:ind w:right="340"/>
        <w:spacing w:after="0" w:line="325" w:lineRule="auto"/>
        <w:rPr>
          <w:sz w:val="20"/>
          <w:szCs w:val="20"/>
          <w:color w:val="auto"/>
        </w:rPr>
      </w:pPr>
      <w:r>
        <w:rPr>
          <w:rFonts w:ascii="Arial" w:cs="Arial" w:eastAsia="Arial" w:hAnsi="Arial"/>
          <w:sz w:val="17"/>
          <w:szCs w:val="17"/>
          <w:color w:val="auto"/>
        </w:rPr>
        <w:t>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48"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following performance graph compares the cumulative total return to stockholders on our common stock relative to the cumulative total returns of the Nasdaq Composite Index and the Standard and Poor’s (“S&amp;P”) 500 Health Care Index. An investment of $100 (with reinvestment of all dividends) is assumed to have been made in our common stock and in each index on November 20, 2020, the date our common stock began trading on the Nasdaq, and its relative performance is tracked through December 31, 2024. The returns shown are based on historical results and are not intended to suggest future performance.</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10040"/>
          </w:cols>
          <w:pgMar w:left="920" w:top="527" w:right="920" w:bottom="0" w:gutter="0" w:footer="0" w:header="0"/>
          <w:type w:val="continuous"/>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579120</wp:posOffset>
            </wp:positionH>
            <wp:positionV relativeFrom="page">
              <wp:posOffset>378460</wp:posOffset>
            </wp:positionV>
            <wp:extent cx="6385560" cy="4641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385560"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color w:val="auto"/>
        </w:rPr>
        <w:t>The performance graph and other information furnished under this Part II Item 5 of this Annual Report on Form 10-K shall not be deemed to be “soliciting material” or to be “filed” with the SEC or subject to Regulation 14A or 14C under, or to the liabilities of Section 18 of,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6"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b w:val="1"/>
          <w:bCs w:val="1"/>
          <w:i w:val="1"/>
          <w:iCs w:val="1"/>
          <w:color w:val="auto"/>
        </w:rPr>
        <w:t>You should read this Management’s Discussion and Analysis (“MD&amp;A”) in conjunction with our consolidated financial statements and related notes included elsewhere in this Annual Report on Form 10-K. This MD&amp;A contains forward-looking statements that are based on management’s current expectations, estimates and projections about our business and operations. Our actual results may differ materially from those currently anticipated and expressed in such forward-looking statements as</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i w:val="1"/>
          <w:iCs w:val="1"/>
          <w:color w:val="auto"/>
        </w:rPr>
        <w:t xml:space="preserve">a result of various factors, including the factors we describe in Item 1A, </w:t>
      </w:r>
      <w:r>
        <w:rPr>
          <w:rFonts w:ascii="Arial" w:cs="Arial" w:eastAsia="Arial" w:hAnsi="Arial"/>
          <w:sz w:val="23"/>
          <w:szCs w:val="23"/>
          <w:b w:val="1"/>
          <w:bCs w:val="1"/>
          <w:i w:val="1"/>
          <w:iCs w:val="1"/>
          <w:color w:val="auto"/>
        </w:rPr>
        <w:t>“</w:t>
      </w:r>
      <w:r>
        <w:rPr>
          <w:rFonts w:ascii="Arial" w:cs="Arial" w:eastAsia="Arial" w:hAnsi="Arial"/>
          <w:sz w:val="20"/>
          <w:szCs w:val="20"/>
          <w:b w:val="1"/>
          <w:bCs w:val="1"/>
          <w:i w:val="1"/>
          <w:iCs w:val="1"/>
          <w:color w:val="auto"/>
        </w:rPr>
        <w:t>Risk Factors</w:t>
      </w:r>
      <w:r>
        <w:rPr>
          <w:rFonts w:ascii="Arial" w:cs="Arial" w:eastAsia="Arial" w:hAnsi="Arial"/>
          <w:sz w:val="23"/>
          <w:szCs w:val="23"/>
          <w:b w:val="1"/>
          <w:bCs w:val="1"/>
          <w:i w:val="1"/>
          <w:iCs w:val="1"/>
          <w:color w:val="auto"/>
        </w:rPr>
        <w:t>”</w:t>
      </w:r>
      <w:r>
        <w:rPr>
          <w:rFonts w:ascii="Arial" w:cs="Arial" w:eastAsia="Arial" w:hAnsi="Arial"/>
          <w:sz w:val="20"/>
          <w:szCs w:val="20"/>
          <w:b w:val="1"/>
          <w:bCs w:val="1"/>
          <w:i w:val="1"/>
          <w:iCs w:val="1"/>
          <w:color w:val="auto"/>
        </w:rPr>
        <w:t xml:space="preserve"> and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10"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10"/>
          <w:szCs w:val="10"/>
          <w:color w:val="auto"/>
        </w:rPr>
        <w:t>®</w:t>
      </w:r>
      <w:r>
        <w:rPr>
          <w:rFonts w:ascii="Arial" w:cs="Arial" w:eastAsia="Arial" w:hAnsi="Arial"/>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these services are necessary for our customers to satisfy applicable government requirements.</w:t>
      </w:r>
    </w:p>
    <w:p>
      <w:pPr>
        <w:sectPr>
          <w:pgSz w:w="11880" w:h="15480" w:orient="portrait"/>
          <w:cols w:equalWidth="0" w:num="1">
            <w:col w:w="10020"/>
          </w:cols>
          <w:pgMar w:left="920" w:top="144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20"/>
          </w:cols>
          <w:pgMar w:left="920" w:top="1440" w:right="940" w:bottom="0" w:gutter="0" w:footer="0" w:header="0"/>
          <w:type w:val="continuous"/>
        </w:sectPr>
      </w:pPr>
    </w:p>
    <w:bookmarkStart w:id="57" w:name="page58"/>
    <w:bookmarkEnd w:id="57"/>
    <w:p>
      <w:pPr>
        <w:jc w:val="both"/>
        <w:spacing w:after="0" w:line="312" w:lineRule="auto"/>
        <w:rPr>
          <w:sz w:val="20"/>
          <w:szCs w:val="20"/>
          <w:color w:val="auto"/>
        </w:rPr>
      </w:pPr>
      <w:r>
        <w:rPr>
          <w:rFonts w:ascii="Arial" w:cs="Arial" w:eastAsia="Arial" w:hAnsi="Arial"/>
          <w:sz w:val="17"/>
          <w:szCs w:val="17"/>
          <w:color w:val="auto"/>
        </w:rPr>
        <w:t>We are a trusted partner to approximately 5,000 customers in over 50 countries. We strive to give our customers confidence that their products meet regulatory, safety and effectiveness requirements. With our industry-recognized scientific and technological expertise, we help to promote the safety of millions of patients and healthcare practitioners around the world every year. Across our 62 facilities worldwide, we have over 3,000 employees who are dedicated to safety and quality.</w:t>
      </w:r>
    </w:p>
    <w:p>
      <w:pPr>
        <w:spacing w:after="0" w:line="22"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We serve our customers throughout their product lifecycles, from product design to manufacturing and delivery, helping to promote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breaks out into two reportable segments, Sterigenics and Nordion, and our lab services business constitutes a third reportable segment, Nelson Labs.</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For the year ended December 31, 2024, we recorded net revenues of $1,100.4 million, net income of $44.4 million, Adjusted Net Income of $198.5 million and Adjusted EBITDA of $548.6 million. Adjusted Net Income and Adjusted EBITDA are financial measures not based on any standardized methodology prescribed by U.S. Generally Accepted Accounting Principles (“GAAP”). For the definition of Adjusted Net Income and Adjusted EBITDA and the reconciliation of these non-GAAP measures from net income (loss), please see “Non-GAAP Financial Measures.”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TRENDS AND KEY FACTORS AFFECTING OUR RESULTS OF OPERATIONS</w:t>
      </w:r>
    </w:p>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We expect that our performance and financial condition will continue to be driven by the key trends impacting our industries, customers and their end markets as outlined in Item 1, “Business.” In addition, we believe the following trends and key factors have underpinned our recent operating results and may continue to affect our performance and financial condition in future periods.</w:t>
      </w:r>
    </w:p>
    <w:p>
      <w:pPr>
        <w:spacing w:after="0" w:line="81" w:lineRule="exact"/>
        <w:rPr>
          <w:sz w:val="20"/>
          <w:szCs w:val="20"/>
          <w:color w:val="auto"/>
        </w:rPr>
      </w:pPr>
    </w:p>
    <w:p>
      <w:pPr>
        <w:ind w:left="700" w:right="60" w:hanging="355"/>
        <w:spacing w:after="0" w:line="255" w:lineRule="auto"/>
        <w:tabs>
          <w:tab w:leader="none" w:pos="700" w:val="left"/>
        </w:tabs>
        <w:numPr>
          <w:ilvl w:val="0"/>
          <w:numId w:val="26"/>
        </w:numPr>
        <w:rPr>
          <w:rFonts w:ascii="Arial" w:cs="Arial" w:eastAsia="Arial" w:hAnsi="Arial"/>
          <w:sz w:val="20"/>
          <w:szCs w:val="20"/>
          <w:color w:val="auto"/>
        </w:rPr>
      </w:pPr>
      <w:r>
        <w:rPr>
          <w:rFonts w:ascii="Arial" w:cs="Arial" w:eastAsia="Arial" w:hAnsi="Arial"/>
          <w:sz w:val="20"/>
          <w:szCs w:val="20"/>
          <w:b w:val="1"/>
          <w:bCs w:val="1"/>
          <w:color w:val="auto"/>
        </w:rPr>
        <w:t xml:space="preserve">Business and market conditions. </w:t>
      </w:r>
      <w:r>
        <w:rPr>
          <w:rFonts w:ascii="Arial" w:cs="Arial" w:eastAsia="Arial" w:hAnsi="Arial"/>
          <w:sz w:val="20"/>
          <w:szCs w:val="20"/>
          <w:color w:val="auto"/>
        </w:rPr>
        <w:t>Consolidated net revenues and Adjusted EBITDA for the year ended December 31,</w:t>
      </w:r>
      <w:r>
        <w:rPr>
          <w:rFonts w:ascii="Arial" w:cs="Arial" w:eastAsia="Arial" w:hAnsi="Arial"/>
          <w:sz w:val="20"/>
          <w:szCs w:val="20"/>
          <w:b w:val="1"/>
          <w:bCs w:val="1"/>
          <w:color w:val="auto"/>
        </w:rPr>
        <w:t xml:space="preserve"> </w:t>
      </w:r>
      <w:r>
        <w:rPr>
          <w:rFonts w:ascii="Arial" w:cs="Arial" w:eastAsia="Arial" w:hAnsi="Arial"/>
          <w:sz w:val="20"/>
          <w:szCs w:val="20"/>
          <w:color w:val="auto"/>
        </w:rPr>
        <w:t>2024 increased from the year ended December 31, 2023, which was primarily a result of favorable pricing and improvements in volume and mix across all three reportable segments, partially offset by unfavorable changes in foreign currency exchanges rates.</w:t>
      </w:r>
    </w:p>
    <w:p>
      <w:pPr>
        <w:spacing w:after="0" w:line="73" w:lineRule="exact"/>
        <w:rPr>
          <w:rFonts w:ascii="Arial" w:cs="Arial" w:eastAsia="Arial" w:hAnsi="Arial"/>
          <w:sz w:val="20"/>
          <w:szCs w:val="20"/>
          <w:color w:val="auto"/>
        </w:rPr>
      </w:pPr>
    </w:p>
    <w:p>
      <w:pPr>
        <w:jc w:val="both"/>
        <w:ind w:left="700" w:right="220"/>
        <w:spacing w:after="0" w:line="287" w:lineRule="auto"/>
        <w:rPr>
          <w:rFonts w:ascii="Arial" w:cs="Arial" w:eastAsia="Arial" w:hAnsi="Arial"/>
          <w:sz w:val="20"/>
          <w:szCs w:val="20"/>
          <w:color w:val="auto"/>
        </w:rPr>
      </w:pPr>
      <w:r>
        <w:rPr>
          <w:rFonts w:ascii="Arial" w:cs="Arial" w:eastAsia="Arial" w:hAnsi="Arial"/>
          <w:sz w:val="19"/>
          <w:szCs w:val="19"/>
          <w:color w:val="auto"/>
        </w:rPr>
        <w:t xml:space="preserve">As discussed in Item 1A, </w:t>
      </w:r>
      <w:r>
        <w:rPr>
          <w:rFonts w:ascii="Arial" w:cs="Arial" w:eastAsia="Arial" w:hAnsi="Arial"/>
          <w:sz w:val="22"/>
          <w:szCs w:val="22"/>
          <w:color w:val="auto"/>
        </w:rPr>
        <w:t>“</w:t>
      </w:r>
      <w:r>
        <w:rPr>
          <w:rFonts w:ascii="Arial" w:cs="Arial" w:eastAsia="Arial" w:hAnsi="Arial"/>
          <w:sz w:val="19"/>
          <w:szCs w:val="19"/>
          <w:color w:val="auto"/>
        </w:rPr>
        <w:t>Risk Factors</w:t>
      </w:r>
      <w:r>
        <w:rPr>
          <w:rFonts w:ascii="Arial" w:cs="Arial" w:eastAsia="Arial" w:hAnsi="Arial"/>
          <w:sz w:val="22"/>
          <w:szCs w:val="22"/>
          <w:color w:val="auto"/>
        </w:rPr>
        <w:t>”</w:t>
      </w:r>
      <w:r>
        <w:rPr>
          <w:rFonts w:ascii="Arial" w:cs="Arial" w:eastAsia="Arial" w:hAnsi="Arial"/>
          <w:sz w:val="19"/>
          <w:szCs w:val="19"/>
          <w:color w:val="auto"/>
        </w:rPr>
        <w:t>, a portion of our supply of Co-60 is generated by Russian nuclear reactors. We continue to monitor the potential for disruption in the supply of Co-60 from Russian nuclear reactors. There was no impact to our supply or revenue in the year ended December 31, 2024.</w:t>
      </w:r>
    </w:p>
    <w:p>
      <w:pPr>
        <w:spacing w:after="0" w:line="52" w:lineRule="exact"/>
        <w:rPr>
          <w:rFonts w:ascii="Arial" w:cs="Arial" w:eastAsia="Arial" w:hAnsi="Arial"/>
          <w:sz w:val="20"/>
          <w:szCs w:val="20"/>
          <w:color w:val="auto"/>
        </w:rPr>
      </w:pPr>
    </w:p>
    <w:p>
      <w:pPr>
        <w:ind w:left="700" w:right="360" w:hanging="355"/>
        <w:spacing w:after="0" w:line="280" w:lineRule="auto"/>
        <w:tabs>
          <w:tab w:leader="none" w:pos="700" w:val="left"/>
        </w:tabs>
        <w:numPr>
          <w:ilvl w:val="0"/>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Investment initiatives. </w:t>
      </w:r>
      <w:r>
        <w:rPr>
          <w:rFonts w:ascii="Arial" w:cs="Arial" w:eastAsia="Arial" w:hAnsi="Arial"/>
          <w:sz w:val="19"/>
          <w:szCs w:val="19"/>
          <w:color w:val="auto"/>
        </w:rPr>
        <w:t>We continue to advance our growth-related investments, including our two active capacity</w:t>
      </w:r>
      <w:r>
        <w:rPr>
          <w:rFonts w:ascii="Arial" w:cs="Arial" w:eastAsia="Arial" w:hAnsi="Arial"/>
          <w:sz w:val="19"/>
          <w:szCs w:val="19"/>
          <w:b w:val="1"/>
          <w:bCs w:val="1"/>
          <w:color w:val="auto"/>
        </w:rPr>
        <w:t xml:space="preserve"> </w:t>
      </w:r>
      <w:r>
        <w:rPr>
          <w:rFonts w:ascii="Arial" w:cs="Arial" w:eastAsia="Arial" w:hAnsi="Arial"/>
          <w:sz w:val="19"/>
          <w:szCs w:val="19"/>
          <w:color w:val="auto"/>
        </w:rPr>
        <w:t>expansion projects within the Sterigenics segment, Co-60 development projects in the Nordion segment and lab expansion efforts to support pharma testing services in the Nelson Labs segment.</w:t>
      </w:r>
    </w:p>
    <w:p>
      <w:pPr>
        <w:spacing w:after="0" w:line="58" w:lineRule="exact"/>
        <w:rPr>
          <w:rFonts w:ascii="Arial" w:cs="Arial" w:eastAsia="Arial" w:hAnsi="Arial"/>
          <w:sz w:val="19"/>
          <w:szCs w:val="19"/>
          <w:color w:val="auto"/>
        </w:rPr>
      </w:pPr>
    </w:p>
    <w:p>
      <w:pPr>
        <w:ind w:left="700" w:right="340" w:hanging="355"/>
        <w:spacing w:after="0" w:line="275" w:lineRule="auto"/>
        <w:tabs>
          <w:tab w:leader="none" w:pos="700" w:val="left"/>
        </w:tabs>
        <w:numPr>
          <w:ilvl w:val="0"/>
          <w:numId w:val="26"/>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Disciplined and strategic M&amp;A activity</w:t>
      </w:r>
      <w:r>
        <w:rPr>
          <w:rFonts w:ascii="Arial" w:cs="Arial" w:eastAsia="Arial" w:hAnsi="Arial"/>
          <w:sz w:val="20"/>
          <w:szCs w:val="20"/>
          <w:color w:val="auto"/>
        </w:rPr>
        <w:t>. We remain committed to our highly disciplined acquisition strategy and</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to seek suitable acquisition targets.</w:t>
      </w:r>
    </w:p>
    <w:p>
      <w:pPr>
        <w:spacing w:after="0" w:line="60" w:lineRule="exact"/>
        <w:rPr>
          <w:rFonts w:ascii="Arial" w:cs="Arial" w:eastAsia="Arial" w:hAnsi="Arial"/>
          <w:sz w:val="20"/>
          <w:szCs w:val="20"/>
          <w:b w:val="1"/>
          <w:bCs w:val="1"/>
          <w:i w:val="1"/>
          <w:iCs w:val="1"/>
          <w:color w:val="auto"/>
        </w:rPr>
      </w:pPr>
    </w:p>
    <w:p>
      <w:pPr>
        <w:ind w:left="700" w:right="60" w:hanging="355"/>
        <w:spacing w:after="0" w:line="296"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Litigation costs</w:t>
      </w:r>
      <w:r>
        <w:rPr>
          <w:rFonts w:ascii="Arial" w:cs="Arial" w:eastAsia="Arial" w:hAnsi="Arial"/>
          <w:sz w:val="17"/>
          <w:szCs w:val="17"/>
          <w:color w:val="auto"/>
        </w:rPr>
        <w:t>. We are currently the subject of tort lawsuits alleging injury by purported exposure to EO used,</w:t>
      </w:r>
      <w:r>
        <w:rPr>
          <w:rFonts w:ascii="Arial" w:cs="Arial" w:eastAsia="Arial" w:hAnsi="Arial"/>
          <w:sz w:val="17"/>
          <w:szCs w:val="17"/>
          <w:b w:val="1"/>
          <w:bCs w:val="1"/>
          <w:color w:val="auto"/>
        </w:rPr>
        <w:t xml:space="preserve"> </w:t>
      </w:r>
      <w:r>
        <w:rPr>
          <w:rFonts w:ascii="Arial" w:cs="Arial" w:eastAsia="Arial" w:hAnsi="Arial"/>
          <w:sz w:val="17"/>
          <w:szCs w:val="17"/>
          <w:color w:val="auto"/>
        </w:rPr>
        <w:t>emitted or released by current facilities in Atlanta, Georgia and Vernon, California and our former facility in Willowbrook, Illinois. 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 similarly been made against other companies within our industry. In addition, we are defendants in a lawsuit brought by the State of New Mexico Attorney General alleging that emissions of EO from our Santa Teresa facility negatively impacted Santa Teresa and surrounding communities. We maintain that these facilities did not pose and do not pose any safety risk to their surrounding communities. We deny the allegations in these lawsuits and are vigorously defending against these claims. See Item 3, “Legal Proceedings” and Note 19, “Commitments and Contingencies,” to our consolidated financial statements.</w:t>
      </w:r>
    </w:p>
    <w:p>
      <w:pPr>
        <w:spacing w:after="0" w:line="56" w:lineRule="exact"/>
        <w:rPr>
          <w:rFonts w:ascii="Arial" w:cs="Arial" w:eastAsia="Arial" w:hAnsi="Arial"/>
          <w:sz w:val="17"/>
          <w:szCs w:val="17"/>
          <w:color w:val="auto"/>
        </w:rPr>
      </w:pPr>
    </w:p>
    <w:p>
      <w:pPr>
        <w:ind w:left="700" w:right="160"/>
        <w:spacing w:after="0" w:line="258" w:lineRule="auto"/>
        <w:rPr>
          <w:rFonts w:ascii="Arial" w:cs="Arial" w:eastAsia="Arial" w:hAnsi="Arial"/>
          <w:sz w:val="17"/>
          <w:szCs w:val="17"/>
          <w:color w:val="auto"/>
        </w:rPr>
      </w:pPr>
      <w:r>
        <w:rPr>
          <w:rFonts w:ascii="Arial" w:cs="Arial" w:eastAsia="Arial" w:hAnsi="Arial"/>
          <w:sz w:val="20"/>
          <w:szCs w:val="20"/>
          <w:color w:val="auto"/>
        </w:rPr>
        <w:t>For the years ended December 31, 2024, 2023 and 2022, we recorded costs of $32.7 million, $45.3 million and $72.6 million, respectively, representing professional fees and other expenses related to litigation associated with our EO sterilization facilities.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534" w:right="920" w:bottom="0" w:gutter="0" w:footer="0" w:header="0"/>
          <w:type w:val="continuous"/>
        </w:sectPr>
      </w:pPr>
    </w:p>
    <w:bookmarkStart w:id="58" w:name="page59"/>
    <w:bookmarkEnd w:id="58"/>
    <w:p>
      <w:pPr>
        <w:ind w:left="700" w:right="240" w:hanging="355"/>
        <w:spacing w:after="0" w:line="265" w:lineRule="auto"/>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Borrowings, financing costs and financial leverage</w:t>
      </w:r>
      <w:r>
        <w:rPr>
          <w:rFonts w:ascii="Arial" w:cs="Arial" w:eastAsia="Arial" w:hAnsi="Arial"/>
          <w:sz w:val="19"/>
          <w:szCs w:val="19"/>
          <w:color w:val="auto"/>
        </w:rPr>
        <w:t>. On May 30, 2024, the Company and SHH entered into</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No. 4 to the Senior Secured Credit Facilities, which provided for the issuance of term loans to the Company in an aggregate principal amount of $1,509.4 million maturing on May 30, 2031. On the same date, the Company issued Secured Notes in an aggregate principal amount of $750.0 million, which bear interest at an annual rate of 7.375% and mature on June 1, 2031. The proceeds from the Refinancing Term Loans and the issuance of the Secured Notes, along with cash on the balance sheet, were used to refinance all of the Company’s previously outstanding term loans due December 2026.</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Revenues</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Service revenues primarily consist of revenue generated from contract sterilization and lab testing and advisory services within our Sterigenics and Nelson Labs segments, respectively. Service revenues also primarily consist of Co-60 installation and disposal revenues and gamma irradiation system refurbishments and installation services within our Nordion segment. Product revenues primarily consist of revenues generated from sales of Co-60 radiation sources and gamma irradiation systems. Provisions for discounts, rebates to customers, and other adjustments may be provided for as reductions in net revenues. Refunds, returns, warranties and other related obligations are not material to any of our business units, nor do we intend to incur material incremental costs to secure customer contracts.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Revenues</w:t>
      </w:r>
    </w:p>
    <w:p>
      <w:pPr>
        <w:spacing w:after="0" w:line="130"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maintaining gamma irradiation systems.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SG&amp;A Expenses</w:t>
      </w:r>
    </w:p>
    <w:p>
      <w:pPr>
        <w:spacing w:after="0" w:line="130"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Selling, general and administrative expenses (“SG&amp;A”)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Amortization of Intangible Assets</w:t>
      </w:r>
    </w:p>
    <w:p>
      <w:pPr>
        <w:spacing w:after="0" w:line="295"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Amortization of intangible assets primarily consists of expense associated with customer relationship intangible assets, the majority of which relate to the fair values attributed to these assets upon the recapitalization of the Company in connection with the acquisition by the Sponsors in 2015. These customer relationship intangible assets were initially assigned a weighted average useful life of ten years and have a remaining useful life of approximately one year. These customer relationship intangible assets accounted for approximately $48.4 million of our current annual amortization expense and are expected to be fully amortized in 2025. Amortization expense fluctuates when we have an acquisition, disposition, impairment charge, or as their useful lives expire.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Operating income represents gross profit, less SG&amp;A and amortization of intangible assets.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 Net</w:t>
      </w:r>
    </w:p>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Interest expense, net, represents interest paid or accruing on our outstanding indebtedness and the amortization of debt discount and debt issuance costs. Interest expense, net is primarily affected by changes in average outstanding indebtedness (including finance lease obligations) and variable interest rates. We present interest expense net of interest income, which primarily consists of interest earned on cash on hand.</w:t>
      </w:r>
    </w:p>
    <w:p>
      <w:pPr>
        <w:sectPr>
          <w:pgSz w:w="11880" w:h="15480" w:orient="portrait"/>
          <w:cols w:equalWidth="0" w:num="1">
            <w:col w:w="10040"/>
          </w:cols>
          <w:pgMar w:left="920" w:top="53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530" w:right="92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i w:val="1"/>
          <w:iCs w:val="1"/>
          <w:color w:val="auto"/>
        </w:rPr>
        <w:t>Loss on Refinancing of Debt</w:t>
      </w:r>
    </w:p>
    <w:p>
      <w:pPr>
        <w:spacing w:after="0" w:line="248" w:lineRule="exact"/>
        <w:rPr>
          <w:sz w:val="20"/>
          <w:szCs w:val="20"/>
          <w:color w:val="auto"/>
        </w:rPr>
      </w:pPr>
    </w:p>
    <w:p>
      <w:pPr>
        <w:ind w:right="260"/>
        <w:spacing w:after="0" w:line="251" w:lineRule="auto"/>
        <w:rPr>
          <w:sz w:val="20"/>
          <w:szCs w:val="20"/>
          <w:color w:val="auto"/>
        </w:rPr>
      </w:pPr>
      <w:r>
        <w:rPr>
          <w:rFonts w:ascii="Arial" w:cs="Arial" w:eastAsia="Arial" w:hAnsi="Arial"/>
          <w:sz w:val="20"/>
          <w:szCs w:val="20"/>
          <w:color w:val="auto"/>
        </w:rPr>
        <w:t>Loss on refinancing of debt for the year ended December 31, 2024 occurred in connection with the refinancing of our capital structure in May 2024 and Amendment No. 3 (as defined below) to Revolving Credit Facility. The refinancing activity primarily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Georgia EO litigation settlement</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On October 16, 2023, the Company reached an agreement to resolve 79 EO claims in the State of Georgia. Under the terms of the agreements, the Company paid $35.0 million to settle the claims.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Illinois EO litigation settlement</w:t>
      </w:r>
    </w:p>
    <w:p>
      <w:pPr>
        <w:spacing w:after="0" w:line="248" w:lineRule="exact"/>
        <w:rPr>
          <w:sz w:val="20"/>
          <w:szCs w:val="20"/>
          <w:color w:val="auto"/>
        </w:rPr>
      </w:pPr>
    </w:p>
    <w:p>
      <w:pPr>
        <w:ind w:right="640"/>
        <w:spacing w:after="0" w:line="298" w:lineRule="auto"/>
        <w:rPr>
          <w:sz w:val="20"/>
          <w:szCs w:val="20"/>
          <w:color w:val="auto"/>
        </w:rPr>
      </w:pPr>
      <w:r>
        <w:rPr>
          <w:rFonts w:ascii="Arial" w:cs="Arial" w:eastAsia="Arial" w:hAnsi="Arial"/>
          <w:sz w:val="19"/>
          <w:szCs w:val="19"/>
          <w:color w:val="auto"/>
        </w:rPr>
        <w:t>On January 9, 2023, the Company reached agreements to settle approximately 880 pending and threatened EO claims in Illinois. Under the terms of the agreements, the Company paid $407.7 million to settle the claims.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investment in unconsolidated affiliate</w:t>
      </w:r>
    </w:p>
    <w:p>
      <w:pPr>
        <w:spacing w:after="0" w:line="248" w:lineRule="exact"/>
        <w:rPr>
          <w:sz w:val="20"/>
          <w:szCs w:val="20"/>
          <w:color w:val="auto"/>
        </w:rPr>
      </w:pPr>
    </w:p>
    <w:p>
      <w:pPr>
        <w:ind w:right="460"/>
        <w:spacing w:after="0" w:line="254" w:lineRule="auto"/>
        <w:rPr>
          <w:sz w:val="20"/>
          <w:szCs w:val="20"/>
          <w:color w:val="auto"/>
        </w:rPr>
      </w:pPr>
      <w:r>
        <w:rPr>
          <w:rFonts w:ascii="Arial" w:cs="Arial" w:eastAsia="Arial" w:hAnsi="Arial"/>
          <w:sz w:val="20"/>
          <w:szCs w:val="20"/>
          <w:color w:val="auto"/>
        </w:rPr>
        <w:t>During the year ended December 31, 2022, we recorded an impairment charge of $9.6 million related to a joint venture investment, which was acquired as part of the 2020 acquisition of Iotron Industries Canada, Inc.. Due to a shift in business strategy, the joint venture did not proceed. Based on these facts and circumstances, we concluded that the investment was impaired as of June 30, 2022.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130"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Other income, net primarily consists of changes in the fair value of the embedded derivatives in Nordion’s contracts, the net impact of pension related benefits and the income related to deferred income on a lease associated with the 2018 divestiture of the Medical Isotopes business.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(Benefit) for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primarily consists of income taxes in foreign jurisdictions and U.S. federal and state income taxes.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Constant Currency Sales Growth (Non-GAAP)</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U.S. GAAP.</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Net Income and Adjusted EBITDA (Non-GAAP)</w:t>
      </w:r>
    </w:p>
    <w:p>
      <w:pPr>
        <w:spacing w:after="0" w:line="130"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10040"/>
          </w:cols>
          <w:pgMar w:left="920" w:top="527" w:right="920" w:bottom="0" w:gutter="0" w:footer="0" w:header="0"/>
          <w:type w:val="continuous"/>
        </w:sectPr>
      </w:pPr>
    </w:p>
    <w:bookmarkStart w:id="60" w:name="page61"/>
    <w:bookmarkEnd w:id="60"/>
    <w:p>
      <w:pPr>
        <w:ind w:right="360"/>
        <w:spacing w:after="0" w:line="325" w:lineRule="auto"/>
        <w:rPr>
          <w:sz w:val="20"/>
          <w:szCs w:val="20"/>
          <w:color w:val="auto"/>
        </w:rPr>
      </w:pPr>
      <w:r>
        <w:rPr>
          <w:rFonts w:ascii="Arial" w:cs="Arial" w:eastAsia="Arial" w:hAnsi="Arial"/>
          <w:sz w:val="17"/>
          <w:szCs w:val="17"/>
          <w:color w:val="auto"/>
        </w:rPr>
        <w:t>For more information regarding our definition and calculation of Adjusted Net Income and Adjusted EBITDA, including information about its limitations as a tool for analysis and reconciliation to the most directly comparable financial measures calculated in accordance with GAAP, please see “Non-GAAP Financial Measures” within this Item 7.</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Income</w:t>
      </w:r>
    </w:p>
    <w:p>
      <w:pPr>
        <w:spacing w:after="0" w:line="130" w:lineRule="exact"/>
        <w:rPr>
          <w:sz w:val="20"/>
          <w:szCs w:val="20"/>
          <w:color w:val="auto"/>
        </w:rPr>
      </w:pPr>
    </w:p>
    <w:p>
      <w:pPr>
        <w:ind w:right="40"/>
        <w:spacing w:after="0" w:line="264" w:lineRule="auto"/>
        <w:rPr>
          <w:sz w:val="20"/>
          <w:szCs w:val="20"/>
          <w:color w:val="auto"/>
        </w:rPr>
      </w:pPr>
      <w:r>
        <w:rPr>
          <w:rFonts w:ascii="Arial" w:cs="Arial" w:eastAsia="Arial" w:hAnsi="Arial"/>
          <w:sz w:val="19"/>
          <w:szCs w:val="19"/>
          <w:color w:val="auto"/>
        </w:rPr>
        <w:t>Segment income is the primary earnings measure we use to evaluate the performance of our reportable segments, as disclosed in Note 21, “Segment and Geographic Information” to our consolidated financial statements. Costs associated with support functions that are not directly associated with one of the three reportable segments, such as corporate operating expenses for executive management, accounting, information technology, legal, human resources, treasury, investor relations, corporate development, tax, purchasing, and marketing, are allocated to the segments based on net revenue. Corporate operating expenses that are directly incurred by a segment are reflected in each segment’s income. Segment income excludes certain items which are included in “Income (loss) before taxes” as determined in our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46"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i w:val="1"/>
          <w:iCs w:val="1"/>
          <w:color w:val="auto"/>
        </w:rPr>
        <w:t>The following section summarizes the consolidated results of operations for the years ended December 31, 2024 and 2023. The discussion of the consolidated results of operation for the years ended December 31, 2023 and 2022 are presented within our Annual Report on Form 10-K for the year ended December 31, 2023 under “Item 7. Management’s Discussion and Analysis of Financial Condition and Results of Operations - Consolidated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 2024 as compared to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our results of operations for the years ended December 31, 2024 and 2023.</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2840" w:type="dxa"/>
            <w:vAlign w:val="bottom"/>
          </w:tcPr>
          <w:p>
            <w:pPr>
              <w:spacing w:after="0"/>
              <w:rPr>
                <w:sz w:val="16"/>
                <w:szCs w:val="16"/>
                <w:color w:val="auto"/>
              </w:rPr>
            </w:pPr>
          </w:p>
        </w:tc>
        <w:tc>
          <w:tcPr>
            <w:tcW w:w="1280" w:type="dxa"/>
            <w:vAlign w:val="bottom"/>
          </w:tcPr>
          <w:p>
            <w:pPr>
              <w:jc w:val="right"/>
              <w:ind w:right="38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8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64"/>
              <w:spacing w:after="0"/>
              <w:rPr>
                <w:sz w:val="20"/>
                <w:szCs w:val="20"/>
                <w:color w:val="auto"/>
              </w:rPr>
            </w:pPr>
            <w:r>
              <w:rPr>
                <w:rFonts w:ascii="Arial" w:cs="Arial" w:eastAsia="Arial" w:hAnsi="Arial"/>
                <w:sz w:val="16"/>
                <w:szCs w:val="16"/>
                <w:color w:val="auto"/>
                <w:w w:val="95"/>
              </w:rPr>
              <w:t>$ Change</w:t>
            </w:r>
          </w:p>
        </w:tc>
        <w:tc>
          <w:tcPr>
            <w:tcW w:w="1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Arial" w:cs="Arial" w:eastAsia="Arial" w:hAnsi="Arial"/>
                <w:sz w:val="16"/>
                <w:szCs w:val="16"/>
                <w:color w:val="auto"/>
              </w:rPr>
              <w:t>% Change</w:t>
            </w:r>
          </w:p>
        </w:tc>
      </w:tr>
      <w:tr>
        <w:trPr>
          <w:trHeight w:val="20"/>
        </w:trPr>
        <w:tc>
          <w:tcPr>
            <w:tcW w:w="454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1"/>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Total net revenues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   1,100,441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1,049,288</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51,153</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4.9 %</w:t>
            </w:r>
          </w:p>
        </w:tc>
      </w:tr>
      <w:tr>
        <w:trPr>
          <w:trHeight w:val="279"/>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Total cost of revenues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498,146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472,130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26,016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5.5 %</w:t>
            </w:r>
          </w:p>
        </w:tc>
      </w:tr>
      <w:tr>
        <w:trPr>
          <w:trHeight w:val="279"/>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Total operating expenses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304,669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300,466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4,203</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79"/>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Operating income</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297,626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276,692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20,934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7.6 %</w:t>
            </w:r>
          </w:p>
        </w:tc>
      </w:tr>
      <w:tr>
        <w:trPr>
          <w:trHeight w:val="276"/>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Net income</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44,398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51,376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(6,978)</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(13.6%)</w:t>
            </w:r>
          </w:p>
        </w:tc>
      </w:tr>
      <w:tr>
        <w:trPr>
          <w:trHeight w:val="282"/>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Adjusted Net Income</w:t>
            </w:r>
            <w:r>
              <w:rPr>
                <w:rFonts w:ascii="Arial" w:cs="Arial" w:eastAsia="Arial" w:hAnsi="Arial"/>
                <w:sz w:val="10"/>
                <w:szCs w:val="10"/>
                <w:b w:val="1"/>
                <w:bCs w:val="1"/>
                <w:color w:val="auto"/>
              </w:rPr>
              <w:t>(1)</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198,500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204,326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(5,826)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Adjusted EBITDA</w:t>
            </w:r>
            <w:r>
              <w:rPr>
                <w:rFonts w:ascii="Arial" w:cs="Arial" w:eastAsia="Arial" w:hAnsi="Arial"/>
                <w:sz w:val="10"/>
                <w:szCs w:val="10"/>
                <w:b w:val="1"/>
                <w:bCs w:val="1"/>
                <w:color w:val="auto"/>
              </w:rPr>
              <w:t>(1)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548,574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528,029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20,545</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-1259840</wp:posOffset>
            </wp:positionV>
            <wp:extent cx="6410325" cy="1266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410325" cy="1266825"/>
                    </a:xfrm>
                    <a:prstGeom prst="rect">
                      <a:avLst/>
                    </a:prstGeom>
                    <a:noFill/>
                  </pic:spPr>
                </pic:pic>
              </a:graphicData>
            </a:graphic>
          </wp:anchor>
        </w:drawing>
      </w:r>
    </w:p>
    <w:p>
      <w:pPr>
        <w:spacing w:after="0" w:line="242" w:lineRule="exact"/>
        <w:rPr>
          <w:sz w:val="20"/>
          <w:szCs w:val="20"/>
          <w:color w:val="auto"/>
        </w:rPr>
      </w:pPr>
    </w:p>
    <w:p>
      <w:pPr>
        <w:ind w:left="880" w:right="120" w:hanging="446"/>
        <w:spacing w:after="0" w:line="237" w:lineRule="auto"/>
        <w:tabs>
          <w:tab w:leader="none" w:pos="880" w:val="left"/>
        </w:tabs>
        <w:numPr>
          <w:ilvl w:val="0"/>
          <w:numId w:val="28"/>
        </w:numPr>
        <w:rPr>
          <w:rFonts w:ascii="Arial" w:cs="Arial" w:eastAsia="Arial" w:hAnsi="Arial"/>
          <w:sz w:val="25"/>
          <w:szCs w:val="25"/>
          <w:color w:val="auto"/>
          <w:vertAlign w:val="superscript"/>
        </w:rPr>
      </w:pPr>
      <w:r>
        <w:rPr>
          <w:rFonts w:ascii="Arial" w:cs="Arial" w:eastAsia="Arial" w:hAnsi="Arial"/>
          <w:sz w:val="20"/>
          <w:szCs w:val="20"/>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Net Revenues</w:t>
      </w:r>
    </w:p>
    <w:p>
      <w:pPr>
        <w:spacing w:after="0" w:line="130" w:lineRule="exact"/>
        <w:rPr>
          <w:sz w:val="20"/>
          <w:szCs w:val="20"/>
          <w:color w:val="auto"/>
        </w:rPr>
      </w:pPr>
    </w:p>
    <w:p>
      <w:pPr>
        <w:ind w:right="420"/>
        <w:spacing w:after="0" w:line="271" w:lineRule="auto"/>
        <w:rPr>
          <w:sz w:val="20"/>
          <w:szCs w:val="20"/>
          <w:color w:val="auto"/>
        </w:rPr>
      </w:pPr>
      <w:r>
        <w:rPr>
          <w:rFonts w:ascii="Arial" w:cs="Arial" w:eastAsia="Arial" w:hAnsi="Arial"/>
          <w:sz w:val="20"/>
          <w:szCs w:val="20"/>
          <w:color w:val="auto"/>
        </w:rPr>
        <w:t>The following table compares our revenues by type for the year ended December 31, 2024 to the year ended December 31, 2023.</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3"/>
        </w:trPr>
        <w:tc>
          <w:tcPr>
            <w:tcW w:w="454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Net revenues for the year ended December 31,</w:t>
            </w:r>
          </w:p>
        </w:tc>
        <w:tc>
          <w:tcPr>
            <w:tcW w:w="280" w:type="dxa"/>
            <w:vAlign w:val="bottom"/>
          </w:tcPr>
          <w:p>
            <w:pPr>
              <w:spacing w:after="0"/>
              <w:rPr>
                <w:sz w:val="15"/>
                <w:szCs w:val="15"/>
                <w:color w:val="auto"/>
              </w:rPr>
            </w:pPr>
          </w:p>
        </w:tc>
        <w:tc>
          <w:tcPr>
            <w:tcW w:w="1000" w:type="dxa"/>
            <w:vAlign w:val="bottom"/>
          </w:tcPr>
          <w:p>
            <w:pPr>
              <w:jc w:val="right"/>
              <w:ind w:right="387"/>
              <w:spacing w:after="0" w:line="17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87"/>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67"/>
              <w:spacing w:after="0" w:line="173" w:lineRule="exact"/>
              <w:rPr>
                <w:sz w:val="20"/>
                <w:szCs w:val="20"/>
                <w:color w:val="auto"/>
              </w:rPr>
            </w:pPr>
            <w:r>
              <w:rPr>
                <w:rFonts w:ascii="Arial" w:cs="Arial" w:eastAsia="Arial" w:hAnsi="Arial"/>
                <w:sz w:val="16"/>
                <w:szCs w:val="16"/>
                <w:color w:val="auto"/>
                <w:w w:val="95"/>
              </w:rPr>
              <w:t>$ Change</w:t>
            </w:r>
          </w:p>
        </w:tc>
        <w:tc>
          <w:tcPr>
            <w:tcW w:w="100" w:type="dxa"/>
            <w:vAlign w:val="bottom"/>
          </w:tcPr>
          <w:p>
            <w:pPr>
              <w:spacing w:after="0"/>
              <w:rPr>
                <w:sz w:val="15"/>
                <w:szCs w:val="15"/>
                <w:color w:val="auto"/>
              </w:rPr>
            </w:pPr>
          </w:p>
        </w:tc>
        <w:tc>
          <w:tcPr>
            <w:tcW w:w="1280" w:type="dxa"/>
            <w:vAlign w:val="bottom"/>
          </w:tcPr>
          <w:p>
            <w:pPr>
              <w:jc w:val="right"/>
              <w:ind w:right="212"/>
              <w:spacing w:after="0" w:line="173" w:lineRule="exact"/>
              <w:rPr>
                <w:sz w:val="20"/>
                <w:szCs w:val="20"/>
                <w:color w:val="auto"/>
              </w:rPr>
            </w:pPr>
            <w:r>
              <w:rPr>
                <w:rFonts w:ascii="Arial" w:cs="Arial" w:eastAsia="Arial" w:hAnsi="Arial"/>
                <w:sz w:val="16"/>
                <w:szCs w:val="16"/>
                <w:color w:val="auto"/>
              </w:rPr>
              <w:t>% Change</w:t>
            </w:r>
          </w:p>
        </w:tc>
      </w:tr>
      <w:tr>
        <w:trPr>
          <w:trHeight w:val="20"/>
        </w:trPr>
        <w:tc>
          <w:tcPr>
            <w:tcW w:w="308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1"/>
        </w:trPr>
        <w:tc>
          <w:tcPr>
            <w:tcW w:w="4540" w:type="dxa"/>
            <w:vAlign w:val="bottom"/>
            <w:gridSpan w:val="2"/>
          </w:tcPr>
          <w:p>
            <w:pPr>
              <w:spacing w:after="0"/>
              <w:rPr>
                <w:sz w:val="20"/>
                <w:szCs w:val="20"/>
                <w:color w:val="auto"/>
              </w:rPr>
            </w:pPr>
            <w:r>
              <w:rPr>
                <w:rFonts w:ascii="Arial" w:cs="Arial" w:eastAsia="Arial" w:hAnsi="Arial"/>
                <w:sz w:val="20"/>
                <w:szCs w:val="20"/>
                <w:color w:val="auto"/>
              </w:rPr>
              <w:t>Service</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941,822</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905,598</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36,224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4.0 %</w:t>
            </w:r>
          </w:p>
        </w:tc>
      </w:tr>
      <w:tr>
        <w:trPr>
          <w:trHeight w:val="283"/>
        </w:trPr>
        <w:tc>
          <w:tcPr>
            <w:tcW w:w="4540" w:type="dxa"/>
            <w:vAlign w:val="bottom"/>
            <w:gridSpan w:val="2"/>
          </w:tcPr>
          <w:p>
            <w:pPr>
              <w:spacing w:after="0"/>
              <w:rPr>
                <w:sz w:val="20"/>
                <w:szCs w:val="20"/>
                <w:color w:val="auto"/>
              </w:rPr>
            </w:pPr>
            <w:r>
              <w:rPr>
                <w:rFonts w:ascii="Arial" w:cs="Arial" w:eastAsia="Arial" w:hAnsi="Arial"/>
                <w:sz w:val="20"/>
                <w:szCs w:val="20"/>
                <w:color w:val="auto"/>
              </w:rPr>
              <w:t>Product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158,619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143,690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14,929</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10.4 %</w:t>
            </w:r>
          </w:p>
        </w:tc>
      </w:tr>
      <w:tr>
        <w:trPr>
          <w:trHeight w:val="269"/>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Total net revenues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1,100,441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1,049,288</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51,153</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4.9 %</w:t>
            </w:r>
          </w:p>
        </w:tc>
      </w:tr>
      <w:tr>
        <w:trPr>
          <w:trHeight w:val="20"/>
        </w:trPr>
        <w:tc>
          <w:tcPr>
            <w:tcW w:w="3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-581660</wp:posOffset>
            </wp:positionV>
            <wp:extent cx="6410325" cy="588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6410325" cy="588645"/>
                    </a:xfrm>
                    <a:prstGeom prst="rect">
                      <a:avLst/>
                    </a:prstGeom>
                    <a:noFill/>
                  </pic:spPr>
                </pic:pic>
              </a:graphicData>
            </a:graphic>
          </wp:anchor>
        </w:drawing>
      </w:r>
    </w:p>
    <w:p>
      <w:pPr>
        <w:spacing w:after="0" w:line="223" w:lineRule="exact"/>
        <w:rPr>
          <w:sz w:val="20"/>
          <w:szCs w:val="20"/>
          <w:color w:val="auto"/>
        </w:rPr>
      </w:pPr>
    </w:p>
    <w:p>
      <w:pPr>
        <w:jc w:val="both"/>
        <w:ind w:right="100"/>
        <w:spacing w:after="0" w:line="258" w:lineRule="auto"/>
        <w:rPr>
          <w:sz w:val="20"/>
          <w:szCs w:val="20"/>
          <w:color w:val="auto"/>
        </w:rPr>
      </w:pPr>
      <w:r>
        <w:rPr>
          <w:rFonts w:ascii="Arial" w:cs="Arial" w:eastAsia="Arial" w:hAnsi="Arial"/>
          <w:sz w:val="20"/>
          <w:szCs w:val="20"/>
          <w:color w:val="auto"/>
        </w:rPr>
        <w:t>Net revenues were $1,100.4 million in the year ended December 31, 2024, an increase of $51.2 million, or 4.9%, as compared with the prior year. Net revenues in the year ended December 31, 2024 increased approximately 5.4% compared with the same period in 2023 on a constant currency basis.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10040"/>
          </w:cols>
          <w:pgMar w:left="920" w:top="534" w:right="92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i w:val="1"/>
          <w:iCs w:val="1"/>
          <w:color w:val="auto"/>
        </w:rPr>
        <w:t>Service revenues</w:t>
      </w:r>
    </w:p>
    <w:p>
      <w:pPr>
        <w:spacing w:after="0" w:line="242"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Service revenues increased $36.2 million, or 4.0%, to $941.8 million in 2024 as compared to $905.6 million in 2023. Favorable pricing of $30.6 million and $6.7 million in the Sterigenics and Nelson Labs segments, respectively, coupled with an increase in service revenue volume and mix of $2.2 million and $1.0 million in the Sterigenics and Nelson Labs segments, respectively, were the primary drivers of service revenue growth. Partially offsetting these growth factors was a $2.2 million unfavorable impact from changes in foreign currency exchange rates across all segments as well as a decline in service revenue of $2.1 million in the Nordion segment.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Product revenues</w:t>
      </w:r>
    </w:p>
    <w:p>
      <w:pPr>
        <w:spacing w:after="0" w:line="242"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Product revenues increased $14.9 million, or 10.4%, to $158.6 million in the year ended December 31, 2024 as compared to $143.7 million in the year ended December 31, 2023. Volume and mix growth of $10.3 million coupled with favorable pricing of $7.3 million were the primary drivers of the increase in product revenues. Partially offsetting these growth factors was an unfavorable change in foreign currency exchange rates of $2.7 million.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Total Cost of Revenues</w:t>
      </w:r>
    </w:p>
    <w:p>
      <w:pPr>
        <w:spacing w:after="0" w:line="248"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The following table compares our cost of revenues by type for the year ended December 31, 2024 to the year ended December 31, 2023.</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3"/>
        </w:trPr>
        <w:tc>
          <w:tcPr>
            <w:tcW w:w="454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Cost of revenues for the year ended December 31,</w:t>
            </w:r>
          </w:p>
        </w:tc>
        <w:tc>
          <w:tcPr>
            <w:tcW w:w="320" w:type="dxa"/>
            <w:vAlign w:val="bottom"/>
          </w:tcPr>
          <w:p>
            <w:pPr>
              <w:spacing w:after="0"/>
              <w:rPr>
                <w:sz w:val="15"/>
                <w:szCs w:val="15"/>
                <w:color w:val="auto"/>
              </w:rPr>
            </w:pPr>
          </w:p>
        </w:tc>
        <w:tc>
          <w:tcPr>
            <w:tcW w:w="960" w:type="dxa"/>
            <w:vAlign w:val="bottom"/>
          </w:tcPr>
          <w:p>
            <w:pPr>
              <w:jc w:val="right"/>
              <w:ind w:right="387"/>
              <w:spacing w:after="0" w:line="17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387"/>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67"/>
              <w:spacing w:after="0" w:line="173" w:lineRule="exact"/>
              <w:rPr>
                <w:sz w:val="20"/>
                <w:szCs w:val="20"/>
                <w:color w:val="auto"/>
              </w:rPr>
            </w:pPr>
            <w:r>
              <w:rPr>
                <w:rFonts w:ascii="Arial" w:cs="Arial" w:eastAsia="Arial" w:hAnsi="Arial"/>
                <w:sz w:val="16"/>
                <w:szCs w:val="16"/>
                <w:color w:val="auto"/>
                <w:w w:val="95"/>
              </w:rPr>
              <w:t>$ Change</w:t>
            </w:r>
          </w:p>
        </w:tc>
        <w:tc>
          <w:tcPr>
            <w:tcW w:w="100" w:type="dxa"/>
            <w:vAlign w:val="bottom"/>
          </w:tcPr>
          <w:p>
            <w:pPr>
              <w:spacing w:after="0"/>
              <w:rPr>
                <w:sz w:val="15"/>
                <w:szCs w:val="15"/>
                <w:color w:val="auto"/>
              </w:rPr>
            </w:pPr>
          </w:p>
        </w:tc>
        <w:tc>
          <w:tcPr>
            <w:tcW w:w="1280" w:type="dxa"/>
            <w:vAlign w:val="bottom"/>
          </w:tcPr>
          <w:p>
            <w:pPr>
              <w:jc w:val="right"/>
              <w:ind w:right="212"/>
              <w:spacing w:after="0" w:line="173" w:lineRule="exact"/>
              <w:rPr>
                <w:sz w:val="20"/>
                <w:szCs w:val="20"/>
                <w:color w:val="auto"/>
              </w:rPr>
            </w:pPr>
            <w:r>
              <w:rPr>
                <w:rFonts w:ascii="Arial" w:cs="Arial" w:eastAsia="Arial" w:hAnsi="Arial"/>
                <w:sz w:val="16"/>
                <w:szCs w:val="16"/>
                <w:color w:val="auto"/>
              </w:rPr>
              <w:t>% Change</w:t>
            </w:r>
          </w:p>
        </w:tc>
      </w:tr>
      <w:tr>
        <w:trPr>
          <w:trHeight w:val="20"/>
        </w:trPr>
        <w:tc>
          <w:tcPr>
            <w:tcW w:w="332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1"/>
        </w:trPr>
        <w:tc>
          <w:tcPr>
            <w:tcW w:w="4540" w:type="dxa"/>
            <w:vAlign w:val="bottom"/>
            <w:gridSpan w:val="2"/>
          </w:tcPr>
          <w:p>
            <w:pPr>
              <w:spacing w:after="0"/>
              <w:rPr>
                <w:sz w:val="20"/>
                <w:szCs w:val="20"/>
                <w:color w:val="auto"/>
              </w:rPr>
            </w:pPr>
            <w:r>
              <w:rPr>
                <w:rFonts w:ascii="Arial" w:cs="Arial" w:eastAsia="Arial" w:hAnsi="Arial"/>
                <w:sz w:val="20"/>
                <w:szCs w:val="20"/>
                <w:color w:val="auto"/>
              </w:rPr>
              <w:t>Service</w:t>
            </w:r>
          </w:p>
        </w:tc>
        <w:tc>
          <w:tcPr>
            <w:tcW w:w="32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439,543</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418,611</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20,932</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5.0 %</w:t>
            </w:r>
          </w:p>
        </w:tc>
      </w:tr>
      <w:tr>
        <w:trPr>
          <w:trHeight w:val="283"/>
        </w:trPr>
        <w:tc>
          <w:tcPr>
            <w:tcW w:w="4540" w:type="dxa"/>
            <w:vAlign w:val="bottom"/>
            <w:gridSpan w:val="2"/>
          </w:tcPr>
          <w:p>
            <w:pPr>
              <w:spacing w:after="0"/>
              <w:rPr>
                <w:sz w:val="20"/>
                <w:szCs w:val="20"/>
                <w:color w:val="auto"/>
              </w:rPr>
            </w:pPr>
            <w:r>
              <w:rPr>
                <w:rFonts w:ascii="Arial" w:cs="Arial" w:eastAsia="Arial" w:hAnsi="Arial"/>
                <w:sz w:val="20"/>
                <w:szCs w:val="20"/>
                <w:color w:val="auto"/>
              </w:rPr>
              <w:t>Product</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58,603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53,519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5,084</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9.5 %</w:t>
            </w:r>
          </w:p>
        </w:tc>
      </w:tr>
      <w:tr>
        <w:trPr>
          <w:trHeight w:val="269"/>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Total cost of revenues</w:t>
            </w:r>
          </w:p>
        </w:tc>
        <w:tc>
          <w:tcPr>
            <w:tcW w:w="32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498,146</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472,130</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26,016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5.5 %</w:t>
            </w:r>
          </w:p>
        </w:tc>
      </w:tr>
      <w:tr>
        <w:trPr>
          <w:trHeight w:val="20"/>
        </w:trPr>
        <w:tc>
          <w:tcPr>
            <w:tcW w:w="3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-581660</wp:posOffset>
            </wp:positionV>
            <wp:extent cx="6410325" cy="588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6410325" cy="588645"/>
                    </a:xfrm>
                    <a:prstGeom prst="rect">
                      <a:avLst/>
                    </a:prstGeom>
                    <a:noFill/>
                  </pic:spPr>
                </pic:pic>
              </a:graphicData>
            </a:graphic>
          </wp:anchor>
        </w:drawing>
      </w:r>
    </w:p>
    <w:p>
      <w:pPr>
        <w:spacing w:after="0" w:line="223" w:lineRule="exact"/>
        <w:rPr>
          <w:sz w:val="20"/>
          <w:szCs w:val="20"/>
          <w:color w:val="auto"/>
        </w:rPr>
      </w:pPr>
    </w:p>
    <w:p>
      <w:pPr>
        <w:ind w:right="440"/>
        <w:spacing w:after="0" w:line="271" w:lineRule="auto"/>
        <w:rPr>
          <w:sz w:val="20"/>
          <w:szCs w:val="20"/>
          <w:color w:val="auto"/>
        </w:rPr>
      </w:pPr>
      <w:r>
        <w:rPr>
          <w:rFonts w:ascii="Arial" w:cs="Arial" w:eastAsia="Arial" w:hAnsi="Arial"/>
          <w:sz w:val="20"/>
          <w:szCs w:val="20"/>
          <w:color w:val="auto"/>
        </w:rPr>
        <w:t>Total cost of revenues accounted for approximately 45.3% and 45.0% of our consolidated net revenues for the years ended December 31, 2024 and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 revenues</w:t>
      </w:r>
    </w:p>
    <w:p>
      <w:pPr>
        <w:spacing w:after="0" w:line="242"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Cost of service revenues increased $20.9 million for the year ended December 31, 2024 as compared to the prior year. The primary drivers of the increase in cost of service revenues were higher employee compensation costs of $10.1 million, a $5.1 million increase in depreciation related to capital assets recently placed in service and an increase in certain facility repairs and maintenance costs of $3.3 million. The remaining difference was primarily driven by other inflationary pressures. This was partially offset by favorable changes in foreign currency exchange rates of $1.2 million.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product revenues</w:t>
      </w:r>
    </w:p>
    <w:p>
      <w:pPr>
        <w:spacing w:after="0" w:line="242"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Cost of product revenues increased $5.1 million, or 9.5%, for the year ended December 31, 2024 as compared to the prior year. The increase was primarily a result of higher volumes of Co-60 shipments and supplier mix, which resulted in increases in direct material and material transportation costs of $4.8 million. Changes in foreign currency exchange rates resulted in a $0.8 million favorable impact to cost of product revenues.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48" w:lineRule="exact"/>
        <w:rPr>
          <w:sz w:val="20"/>
          <w:szCs w:val="20"/>
          <w:color w:val="auto"/>
        </w:rPr>
      </w:pPr>
    </w:p>
    <w:p>
      <w:pPr>
        <w:ind w:right="260"/>
        <w:spacing w:after="0" w:line="271" w:lineRule="auto"/>
        <w:rPr>
          <w:sz w:val="20"/>
          <w:szCs w:val="20"/>
          <w:color w:val="auto"/>
        </w:rPr>
      </w:pPr>
      <w:r>
        <w:rPr>
          <w:rFonts w:ascii="Arial" w:cs="Arial" w:eastAsia="Arial" w:hAnsi="Arial"/>
          <w:sz w:val="20"/>
          <w:szCs w:val="20"/>
          <w:color w:val="auto"/>
        </w:rPr>
        <w:t>The following table compares our operating expenses for the year ended December 31, 2024 to the year ended December 31, 2023:</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3"/>
        </w:trPr>
        <w:tc>
          <w:tcPr>
            <w:tcW w:w="454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Operating expenses for the year ended December 31,</w:t>
            </w:r>
          </w:p>
        </w:tc>
        <w:tc>
          <w:tcPr>
            <w:tcW w:w="320" w:type="dxa"/>
            <w:vAlign w:val="bottom"/>
          </w:tcPr>
          <w:p>
            <w:pPr>
              <w:spacing w:after="0"/>
              <w:rPr>
                <w:sz w:val="15"/>
                <w:szCs w:val="15"/>
                <w:color w:val="auto"/>
              </w:rPr>
            </w:pPr>
          </w:p>
        </w:tc>
        <w:tc>
          <w:tcPr>
            <w:tcW w:w="960" w:type="dxa"/>
            <w:vAlign w:val="bottom"/>
          </w:tcPr>
          <w:p>
            <w:pPr>
              <w:jc w:val="right"/>
              <w:ind w:right="387"/>
              <w:spacing w:after="0" w:line="173" w:lineRule="exact"/>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right"/>
              <w:ind w:right="387"/>
              <w:spacing w:after="0" w:line="173"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67"/>
              <w:spacing w:after="0" w:line="173" w:lineRule="exact"/>
              <w:rPr>
                <w:sz w:val="20"/>
                <w:szCs w:val="20"/>
                <w:color w:val="auto"/>
              </w:rPr>
            </w:pPr>
            <w:r>
              <w:rPr>
                <w:rFonts w:ascii="Arial" w:cs="Arial" w:eastAsia="Arial" w:hAnsi="Arial"/>
                <w:sz w:val="16"/>
                <w:szCs w:val="16"/>
                <w:color w:val="auto"/>
                <w:w w:val="95"/>
              </w:rPr>
              <w:t>$ Change</w:t>
            </w:r>
          </w:p>
        </w:tc>
        <w:tc>
          <w:tcPr>
            <w:tcW w:w="100" w:type="dxa"/>
            <w:vAlign w:val="bottom"/>
          </w:tcPr>
          <w:p>
            <w:pPr>
              <w:spacing w:after="0"/>
              <w:rPr>
                <w:sz w:val="15"/>
                <w:szCs w:val="15"/>
                <w:color w:val="auto"/>
              </w:rPr>
            </w:pPr>
          </w:p>
        </w:tc>
        <w:tc>
          <w:tcPr>
            <w:tcW w:w="1280" w:type="dxa"/>
            <w:vAlign w:val="bottom"/>
          </w:tcPr>
          <w:p>
            <w:pPr>
              <w:jc w:val="right"/>
              <w:ind w:right="209"/>
              <w:spacing w:after="0" w:line="173" w:lineRule="exact"/>
              <w:rPr>
                <w:sz w:val="20"/>
                <w:szCs w:val="20"/>
                <w:color w:val="auto"/>
              </w:rPr>
            </w:pPr>
            <w:r>
              <w:rPr>
                <w:rFonts w:ascii="Arial" w:cs="Arial" w:eastAsia="Arial" w:hAnsi="Arial"/>
                <w:sz w:val="16"/>
                <w:szCs w:val="16"/>
                <w:color w:val="auto"/>
              </w:rPr>
              <w:t>% Change</w:t>
            </w:r>
          </w:p>
        </w:tc>
      </w:tr>
      <w:tr>
        <w:trPr>
          <w:trHeight w:val="20"/>
        </w:trPr>
        <w:tc>
          <w:tcPr>
            <w:tcW w:w="35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1"/>
        </w:trPr>
        <w:tc>
          <w:tcPr>
            <w:tcW w:w="4540" w:type="dxa"/>
            <w:vAlign w:val="bottom"/>
            <w:gridSpan w:val="2"/>
          </w:tcPr>
          <w:p>
            <w:pPr>
              <w:spacing w:after="0"/>
              <w:rPr>
                <w:sz w:val="20"/>
                <w:szCs w:val="20"/>
                <w:color w:val="auto"/>
              </w:rPr>
            </w:pPr>
            <w:r>
              <w:rPr>
                <w:rFonts w:ascii="Arial" w:cs="Arial" w:eastAsia="Arial" w:hAnsi="Arial"/>
                <w:sz w:val="20"/>
                <w:szCs w:val="20"/>
                <w:color w:val="auto"/>
              </w:rPr>
              <w:t>Selling, general and administrative expenses</w:t>
            </w:r>
          </w:p>
        </w:tc>
        <w:tc>
          <w:tcPr>
            <w:tcW w:w="32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242,630</w:t>
            </w:r>
          </w:p>
        </w:tc>
        <w:tc>
          <w:tcPr>
            <w:tcW w:w="440" w:type="dxa"/>
            <w:vAlign w:val="bottom"/>
            <w:gridSpan w:val="2"/>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236,667</w:t>
            </w:r>
          </w:p>
        </w:tc>
        <w:tc>
          <w:tcPr>
            <w:tcW w:w="36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5,963</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2.5 %</w:t>
            </w:r>
          </w:p>
        </w:tc>
      </w:tr>
      <w:tr>
        <w:trPr>
          <w:trHeight w:val="283"/>
        </w:trPr>
        <w:tc>
          <w:tcPr>
            <w:tcW w:w="4540" w:type="dxa"/>
            <w:vAlign w:val="bottom"/>
            <w:gridSpan w:val="2"/>
          </w:tcPr>
          <w:p>
            <w:pPr>
              <w:spacing w:after="0"/>
              <w:rPr>
                <w:sz w:val="20"/>
                <w:szCs w:val="20"/>
                <w:color w:val="auto"/>
              </w:rPr>
            </w:pPr>
            <w:r>
              <w:rPr>
                <w:rFonts w:ascii="Arial" w:cs="Arial" w:eastAsia="Arial" w:hAnsi="Arial"/>
                <w:sz w:val="20"/>
                <w:szCs w:val="20"/>
                <w:color w:val="auto"/>
              </w:rPr>
              <w:t>Amortization of intangible assets</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62,039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63,799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(1,760)</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 %</w:t>
            </w:r>
          </w:p>
        </w:tc>
      </w:tr>
      <w:tr>
        <w:trPr>
          <w:trHeight w:val="309"/>
        </w:trPr>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Total operating expenses</w:t>
            </w: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304,669</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300,466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4,203</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-581660</wp:posOffset>
            </wp:positionV>
            <wp:extent cx="6410325" cy="588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6410325" cy="588645"/>
                    </a:xfrm>
                    <a:prstGeom prst="rect">
                      <a:avLst/>
                    </a:prstGeom>
                    <a:noFill/>
                  </pic:spPr>
                </pic:pic>
              </a:graphicData>
            </a:graphic>
          </wp:anchor>
        </w:drawing>
      </w:r>
    </w:p>
    <w:p>
      <w:pPr>
        <w:sectPr>
          <w:pgSz w:w="11880" w:h="15480" w:orient="portrait"/>
          <w:cols w:equalWidth="0" w:num="1">
            <w:col w:w="10040"/>
          </w:cols>
          <w:pgMar w:left="920" w:top="533" w:right="92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10040"/>
          </w:cols>
          <w:pgMar w:left="920" w:top="533" w:right="920" w:bottom="0" w:gutter="0" w:footer="0" w:header="0"/>
          <w:type w:val="continuous"/>
        </w:sectPr>
      </w:pPr>
    </w:p>
    <w:bookmarkStart w:id="62" w:name="page63"/>
    <w:bookmarkEnd w:id="62"/>
    <w:p>
      <w:pPr>
        <w:ind w:right="620"/>
        <w:spacing w:after="0" w:line="271" w:lineRule="auto"/>
        <w:rPr>
          <w:sz w:val="20"/>
          <w:szCs w:val="20"/>
          <w:color w:val="auto"/>
        </w:rPr>
      </w:pPr>
      <w:r>
        <w:rPr>
          <w:rFonts w:ascii="Arial" w:cs="Arial" w:eastAsia="Arial" w:hAnsi="Arial"/>
          <w:sz w:val="20"/>
          <w:szCs w:val="20"/>
          <w:color w:val="auto"/>
        </w:rPr>
        <w:t>Operating expenses accounted for approximately 27.7% and 28.6% of our consolidated net revenues for the years ended December 31, 2024 and 2023,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SG&amp;A</w:t>
      </w:r>
    </w:p>
    <w:p>
      <w:pPr>
        <w:spacing w:after="0" w:line="242" w:lineRule="exact"/>
        <w:rPr>
          <w:sz w:val="20"/>
          <w:szCs w:val="20"/>
          <w:color w:val="auto"/>
        </w:rPr>
      </w:pPr>
    </w:p>
    <w:p>
      <w:pPr>
        <w:ind w:right="100"/>
        <w:spacing w:after="0" w:line="325" w:lineRule="auto"/>
        <w:rPr>
          <w:sz w:val="20"/>
          <w:szCs w:val="20"/>
          <w:color w:val="auto"/>
        </w:rPr>
      </w:pPr>
      <w:r>
        <w:rPr>
          <w:rFonts w:ascii="Arial" w:cs="Arial" w:eastAsia="Arial" w:hAnsi="Arial"/>
          <w:sz w:val="17"/>
          <w:szCs w:val="17"/>
          <w:color w:val="auto"/>
        </w:rPr>
        <w:t>SG&amp;A increased $6.0 million, or 2.5%, for the year ended December 31, 2024 as compared to the prior year. The increase was driven primarily by $9.9 million of incremental SG&amp;A compensation related costs and a $4.5 million increase in share-based compensation expense, partially offset by a $9.5 million decrease in legal and other professional services expenses.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Amortization of intangible assets</w:t>
      </w:r>
    </w:p>
    <w:p>
      <w:pPr>
        <w:spacing w:after="0" w:line="24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Amortization of intangible assets decreased $1.8 million, or 2.8%, for the year ended December 31, 2024, compared to the prior year, due primarily to changes in foreign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 Net</w:t>
      </w:r>
    </w:p>
    <w:p>
      <w:pPr>
        <w:spacing w:after="0" w:line="248" w:lineRule="exact"/>
        <w:rPr>
          <w:sz w:val="20"/>
          <w:szCs w:val="20"/>
          <w:color w:val="auto"/>
        </w:rPr>
      </w:pPr>
    </w:p>
    <w:p>
      <w:pPr>
        <w:ind w:right="20"/>
        <w:spacing w:after="0" w:line="325" w:lineRule="auto"/>
        <w:rPr>
          <w:sz w:val="20"/>
          <w:szCs w:val="20"/>
          <w:color w:val="auto"/>
        </w:rPr>
      </w:pPr>
      <w:r>
        <w:rPr>
          <w:rFonts w:ascii="Arial" w:cs="Arial" w:eastAsia="Arial" w:hAnsi="Arial"/>
          <w:sz w:val="17"/>
          <w:szCs w:val="17"/>
          <w:color w:val="auto"/>
        </w:rPr>
        <w:t>Interest expense, net increased $21.8 million, or 15.3%, for the year ended December 31, 2024 as compared to the prior year. Lower favorability from interest rate derivative activity of $15.0 million coupled with an $8.4 million decline in interest income on cash and cash equivalents on deposit at financial institutions were the primary drivers of the increase in interest expense, net.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Refinancing of Debt</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Loss on refinancing of debt for the year ended December 31, 2024 was $24.2 million and primarily occurred in connection with the refinancing of our capital structure in May 2024 and Amendment No. 3 to Revolving Credit Facility. The refinancing activity resulted in the write off of certain unamortized debt issuance costs and discounts on the Term Loans due 2026. In addition, certain new debt issuance costs and discounts were expensed upon the issuance of the Refinancing Term Loans and Secured Notes.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Georgia EO litigation settlement</w:t>
      </w:r>
    </w:p>
    <w:p>
      <w:pPr>
        <w:spacing w:after="0" w:line="248" w:lineRule="exact"/>
        <w:rPr>
          <w:sz w:val="20"/>
          <w:szCs w:val="20"/>
          <w:color w:val="auto"/>
        </w:rPr>
      </w:pPr>
    </w:p>
    <w:p>
      <w:pPr>
        <w:ind w:right="180"/>
        <w:spacing w:after="0" w:line="298" w:lineRule="auto"/>
        <w:rPr>
          <w:sz w:val="20"/>
          <w:szCs w:val="20"/>
          <w:color w:val="auto"/>
        </w:rPr>
      </w:pPr>
      <w:r>
        <w:rPr>
          <w:rFonts w:ascii="Arial" w:cs="Arial" w:eastAsia="Arial" w:hAnsi="Arial"/>
          <w:sz w:val="19"/>
          <w:szCs w:val="19"/>
          <w:color w:val="auto"/>
        </w:rPr>
        <w:t>On October 16, 2023, the Company reached an agreement to resolve 79 pending EO claims in the State of Georgia. Under the terms of the agreement, the Company paid $35.0 million in January 2024 to settle the claims.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Exchange Loss</w:t>
      </w:r>
    </w:p>
    <w:p>
      <w:pPr>
        <w:spacing w:after="0" w:line="248"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Foreign exchange loss was $0.2 million for the year ended December 31, 2024 and 2023. Foreign exchange gains and losses in our Consolidated Statements of Operations and Comprehensive Income (Loss) mainly relates to short-term gains and losses on transactions denominated in currencies other than the functional currency of our operating entities. As described in Note 20, “Financial Instruments and Financial Risk”, we enter into monthly U.S. dollar-denominated foreign currency forward contracts to manage foreign currency exchange rate risk related to our international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Other income, net was $5.3 million for the year ended December 31, 2024, a decrease of $2.1 million, or 28.0%, as compared to the prior year. The fluctuation was primarily driven by a $3.9 million unfavorable change in the fair value of embedded derivatives in Nordion’s purchase and sales contracts, partially offset by $1.1 million of other income related to a tax credit incentive.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Provision for Income Taxes</w:t>
      </w:r>
    </w:p>
    <w:p>
      <w:pPr>
        <w:spacing w:after="0" w:line="248"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Provision for income taxes was $69.5 million for the year ended December 31, 2024 as compared to $54.7 million in the prior year. The change was primarily attributable to higher pre-tax income of $113.9 million in the year ended December 31, 2024 compared to $106.0 million for the year ended December 31, 2023, and an incremental increase in the valuation allowance attributable to the limitation on the deductibility of interest expense, partially offset by a decrease in Global Intangible Low Taxed Income (“GILTI”).</w:t>
      </w:r>
    </w:p>
    <w:p>
      <w:pPr>
        <w:spacing w:after="0" w:line="209" w:lineRule="exact"/>
        <w:rPr>
          <w:sz w:val="20"/>
          <w:szCs w:val="20"/>
          <w:color w:val="auto"/>
        </w:rPr>
      </w:pPr>
    </w:p>
    <w:p>
      <w:pPr>
        <w:ind w:right="60"/>
        <w:spacing w:after="0" w:line="361" w:lineRule="auto"/>
        <w:rPr>
          <w:sz w:val="20"/>
          <w:szCs w:val="20"/>
          <w:color w:val="auto"/>
        </w:rPr>
      </w:pPr>
      <w:r>
        <w:rPr>
          <w:rFonts w:ascii="Arial" w:cs="Arial" w:eastAsia="Arial" w:hAnsi="Arial"/>
          <w:sz w:val="17"/>
          <w:szCs w:val="17"/>
          <w:color w:val="auto"/>
        </w:rPr>
        <w:t>Provision for income taxes for the year ended December 31, 2024 differed from the statutory rate of 21% primarily due to a net increase in the valuation allowance attributable to the limitation on the deductibility of interest expense and the foreign rate</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10040"/>
          </w:cols>
          <w:pgMar w:left="920" w:top="534" w:right="920" w:bottom="0" w:gutter="0" w:footer="0" w:header="0"/>
          <w:type w:val="continuous"/>
        </w:sectPr>
      </w:pPr>
    </w:p>
    <w:bookmarkStart w:id="63" w:name="page64"/>
    <w:bookmarkEnd w:id="63"/>
    <w:p>
      <w:pPr>
        <w:ind w:right="40"/>
        <w:spacing w:after="0" w:line="312" w:lineRule="auto"/>
        <w:rPr>
          <w:sz w:val="20"/>
          <w:szCs w:val="20"/>
          <w:color w:val="auto"/>
        </w:rPr>
      </w:pPr>
      <w:r>
        <w:rPr>
          <w:rFonts w:ascii="Arial" w:cs="Arial" w:eastAsia="Arial" w:hAnsi="Arial"/>
          <w:sz w:val="17"/>
          <w:szCs w:val="17"/>
          <w:color w:val="auto"/>
        </w:rPr>
        <w:t>differential, partially offset by a benefit for state income taxes. The provision for income taxes for the year ended December 31, 2023 differed from the statutory rate of 21% primarily due to an increase in the the valuation allowance attributable to the limitation on the deductibility of interest expense as well as federal and state net operating loss carryforward balances, the impact of the foreign rate differential and GILTI, partially offset by a benefit for state 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 Adjusted Net Income and Adjusted EBITDA</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Net income for the year ended December 31, 2024 was $44.4 million, as compared to net income of $51.4 million for the year ended December 31, 2023, primarily due to the factors described above. Adjusted Net Income was $198.5 million for the year ended December 31, 2024, as compared to $204.3 million for the year ended December 31, 2023, primarily due to the factors described above. Adjusted EBITDA was $548.6 million for the year ended December 31, 2024, as compared to $528.0 million for the year ended December 31, 2023, primarily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8" w:lineRule="exact"/>
        <w:rPr>
          <w:sz w:val="20"/>
          <w:szCs w:val="20"/>
          <w:color w:val="auto"/>
        </w:rPr>
      </w:pPr>
    </w:p>
    <w:p>
      <w:pPr>
        <w:ind w:right="240"/>
        <w:spacing w:after="0" w:line="361" w:lineRule="auto"/>
        <w:rPr>
          <w:sz w:val="20"/>
          <w:szCs w:val="20"/>
          <w:color w:val="auto"/>
        </w:rPr>
      </w:pPr>
      <w:r>
        <w:rPr>
          <w:rFonts w:ascii="Arial" w:cs="Arial" w:eastAsia="Arial" w:hAnsi="Arial"/>
          <w:sz w:val="17"/>
          <w:szCs w:val="17"/>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200" w:lineRule="exact"/>
        <w:rPr>
          <w:sz w:val="20"/>
          <w:szCs w:val="20"/>
          <w:color w:val="auto"/>
        </w:rPr>
      </w:pPr>
    </w:p>
    <w:p>
      <w:pPr>
        <w:spacing w:after="0" w:line="215"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85" w:lineRule="exact"/>
        <w:rPr>
          <w:sz w:val="20"/>
          <w:szCs w:val="20"/>
          <w:color w:val="auto"/>
        </w:rPr>
      </w:pPr>
    </w:p>
    <w:p>
      <w:pPr>
        <w:ind w:left="700" w:right="140" w:hanging="355"/>
        <w:spacing w:after="0" w:line="360"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recurring non-cash charges such as depreciation of fixed assets, although these assets may have to be replaced in the future, as well as amortization of acquired intangible assets and asset retirement obligations (“ARO”);</w:t>
      </w:r>
    </w:p>
    <w:p>
      <w:pPr>
        <w:spacing w:after="0" w:line="1" w:lineRule="exact"/>
        <w:rPr>
          <w:rFonts w:ascii="Arial" w:cs="Arial" w:eastAsia="Arial" w:hAnsi="Arial"/>
          <w:sz w:val="17"/>
          <w:szCs w:val="17"/>
          <w:color w:val="auto"/>
        </w:rPr>
      </w:pPr>
    </w:p>
    <w:p>
      <w:pPr>
        <w:ind w:left="700" w:hanging="355"/>
        <w:spacing w:after="0"/>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costs of acquiring and integrating businesses, which will continue to be a part of our growth strategy;</w:t>
      </w:r>
    </w:p>
    <w:p>
      <w:pPr>
        <w:spacing w:after="0" w:line="122" w:lineRule="exact"/>
        <w:rPr>
          <w:rFonts w:ascii="Arial" w:cs="Arial" w:eastAsia="Arial" w:hAnsi="Arial"/>
          <w:sz w:val="20"/>
          <w:szCs w:val="20"/>
          <w:color w:val="auto"/>
        </w:rPr>
      </w:pPr>
    </w:p>
    <w:p>
      <w:pPr>
        <w:ind w:left="700" w:right="20" w:hanging="355"/>
        <w:spacing w:after="0" w:line="258" w:lineRule="auto"/>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81" w:lineRule="exact"/>
        <w:rPr>
          <w:rFonts w:ascii="Arial" w:cs="Arial" w:eastAsia="Arial" w:hAnsi="Arial"/>
          <w:sz w:val="20"/>
          <w:szCs w:val="20"/>
          <w:color w:val="auto"/>
        </w:rPr>
      </w:pPr>
    </w:p>
    <w:p>
      <w:pPr>
        <w:ind w:left="700" w:hanging="355"/>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impairment charges on long-lived assets, intangible assets and investments accounted for under the equity method;</w:t>
      </w:r>
    </w:p>
    <w:p>
      <w:pPr>
        <w:spacing w:after="0" w:line="157" w:lineRule="exact"/>
        <w:rPr>
          <w:rFonts w:ascii="Arial" w:cs="Arial" w:eastAsia="Arial" w:hAnsi="Arial"/>
          <w:sz w:val="17"/>
          <w:szCs w:val="17"/>
          <w:color w:val="auto"/>
        </w:rPr>
      </w:pPr>
    </w:p>
    <w:p>
      <w:pPr>
        <w:ind w:left="700" w:hanging="355"/>
        <w:spacing w:after="0"/>
        <w:tabs>
          <w:tab w:leader="none" w:pos="7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loss on refinancing of debt incurred in connection with refinancing or early extinguishment of long-term debt;</w:t>
      </w:r>
    </w:p>
    <w:p>
      <w:pPr>
        <w:spacing w:after="0" w:line="134" w:lineRule="exact"/>
        <w:rPr>
          <w:rFonts w:ascii="Arial" w:cs="Arial" w:eastAsia="Arial" w:hAnsi="Arial"/>
          <w:sz w:val="19"/>
          <w:szCs w:val="19"/>
          <w:color w:val="auto"/>
        </w:rPr>
      </w:pPr>
    </w:p>
    <w:p>
      <w:pPr>
        <w:ind w:left="700" w:hanging="355"/>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expenses incurred in connection with the secondary offering of our common stock and other shareholder activities;</w:t>
      </w:r>
    </w:p>
    <w:p>
      <w:pPr>
        <w:spacing w:after="0" w:line="157" w:lineRule="exact"/>
        <w:rPr>
          <w:rFonts w:ascii="Arial" w:cs="Arial" w:eastAsia="Arial" w:hAnsi="Arial"/>
          <w:sz w:val="17"/>
          <w:szCs w:val="17"/>
          <w:color w:val="auto"/>
        </w:rPr>
      </w:pPr>
    </w:p>
    <w:p>
      <w:pPr>
        <w:ind w:left="700" w:right="240" w:hanging="355"/>
        <w:spacing w:after="0" w:line="258" w:lineRule="auto"/>
        <w:tabs>
          <w:tab w:leader="none" w:pos="7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expenses and charges related to the litigation, settlement agreements, and other activities associated with our EO sterilization facilities, including those related to Willowbrook, Illinois, Atlanta, Georgia, Santa Teresa, New Mexico and Vernon, California;</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10040"/>
          </w:cols>
          <w:pgMar w:left="920" w:top="534" w:right="920" w:bottom="0" w:gutter="0" w:footer="0" w:header="0"/>
          <w:type w:val="continuous"/>
        </w:sectPr>
      </w:pPr>
    </w:p>
    <w:bookmarkStart w:id="64" w:name="page65"/>
    <w:bookmarkEnd w:id="64"/>
    <w:p>
      <w:pPr>
        <w:ind w:left="700" w:right="260" w:hanging="355"/>
        <w:spacing w:after="0" w:line="271"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in the case of Adjusted EBITDA, interest expense or the cash requirements necessary to service interest or principal payments on our indebtedness; and</w:t>
      </w:r>
    </w:p>
    <w:p>
      <w:pPr>
        <w:spacing w:after="0" w:line="68" w:lineRule="exact"/>
        <w:rPr>
          <w:rFonts w:ascii="Arial" w:cs="Arial" w:eastAsia="Arial" w:hAnsi="Arial"/>
          <w:sz w:val="20"/>
          <w:szCs w:val="20"/>
          <w:color w:val="auto"/>
        </w:rPr>
      </w:pPr>
    </w:p>
    <w:p>
      <w:pPr>
        <w:ind w:left="700" w:right="320" w:hanging="355"/>
        <w:spacing w:after="0" w:line="271" w:lineRule="auto"/>
        <w:tabs>
          <w:tab w:leader="none" w:pos="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share-based compensation expense, which has been, and will continue to be for the foreseeable future, a significant recurring expense and an important part of our compensation strategy.</w:t>
      </w:r>
    </w:p>
    <w:p>
      <w:pPr>
        <w:spacing w:after="0" w:line="186"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65" w:lineRule="exact"/>
        <w:rPr>
          <w:sz w:val="20"/>
          <w:szCs w:val="20"/>
          <w:color w:val="auto"/>
        </w:rPr>
      </w:pPr>
    </w:p>
    <w:p>
      <w:pPr>
        <w:ind w:right="280"/>
        <w:spacing w:after="0" w:line="361" w:lineRule="auto"/>
        <w:rPr>
          <w:sz w:val="20"/>
          <w:szCs w:val="20"/>
          <w:color w:val="auto"/>
        </w:rPr>
      </w:pPr>
      <w:r>
        <w:rPr>
          <w:rFonts w:ascii="Arial" w:cs="Arial" w:eastAsia="Arial" w:hAnsi="Arial"/>
          <w:sz w:val="17"/>
          <w:szCs w:val="17"/>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5"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Year Ended December 31,</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08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2023</w:t>
            </w:r>
          </w:p>
        </w:tc>
      </w:tr>
      <w:tr>
        <w:trPr>
          <w:trHeight w:val="231"/>
        </w:trPr>
        <w:tc>
          <w:tcPr>
            <w:tcW w:w="70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44,398</w:t>
            </w:r>
          </w:p>
        </w:tc>
        <w:tc>
          <w:tcPr>
            <w:tcW w:w="100" w:type="dxa"/>
            <w:vAlign w:val="bottom"/>
          </w:tcPr>
          <w:p>
            <w:pPr>
              <w:spacing w:after="0"/>
              <w:rPr>
                <w:sz w:val="20"/>
                <w:szCs w:val="20"/>
                <w:color w:val="auto"/>
              </w:rPr>
            </w:pP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51,376</w:t>
            </w: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79,377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81,348</w:t>
            </w:r>
          </w:p>
        </w:tc>
      </w:tr>
      <w:tr>
        <w:trPr>
          <w:trHeight w:val="255"/>
        </w:trPr>
        <w:tc>
          <w:tcPr>
            <w:tcW w:w="7080" w:type="dxa"/>
            <w:vAlign w:val="bottom"/>
          </w:tcPr>
          <w:p>
            <w:pPr>
              <w:ind w:left="24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2"/>
                <w:szCs w:val="22"/>
                <w:color w:val="auto"/>
                <w:vertAlign w:val="superscript"/>
              </w:rPr>
              <w:t>(a)</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36,896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32,364</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Loss on refinancing of debt</w:t>
            </w:r>
            <w:r>
              <w:rPr>
                <w:rFonts w:ascii="Arial" w:cs="Arial" w:eastAsia="Arial" w:hAnsi="Arial"/>
                <w:sz w:val="22"/>
                <w:szCs w:val="22"/>
                <w:color w:val="auto"/>
                <w:vertAlign w:val="superscript"/>
              </w:rPr>
              <w:t>(b)</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w w:val="92"/>
              </w:rPr>
              <w:t>Loss (gain) on foreign currency and derivatives not designated as hedging instruments, net</w:t>
            </w:r>
            <w:r>
              <w:rPr>
                <w:rFonts w:ascii="Arial" w:cs="Arial" w:eastAsia="Arial" w:hAnsi="Arial"/>
                <w:sz w:val="22"/>
                <w:szCs w:val="22"/>
                <w:color w:val="auto"/>
                <w:w w:val="92"/>
                <w:vertAlign w:val="superscript"/>
              </w:rPr>
              <w:t>(c)</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Business optimization expenses</w:t>
            </w:r>
            <w:r>
              <w:rPr>
                <w:rFonts w:ascii="Arial" w:cs="Arial" w:eastAsia="Arial" w:hAnsi="Arial"/>
                <w:sz w:val="22"/>
                <w:szCs w:val="22"/>
                <w:color w:val="auto"/>
                <w:vertAlign w:val="superscript"/>
              </w:rPr>
              <w:t>(d)</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7,662</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2"/>
                <w:szCs w:val="22"/>
                <w:color w:val="auto"/>
                <w:vertAlign w:val="superscript"/>
              </w:rPr>
              <w:t>(e)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45,312</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Georgia EO litigation settlement</w:t>
            </w:r>
            <w:r>
              <w:rPr>
                <w:rFonts w:ascii="Arial" w:cs="Arial" w:eastAsia="Arial" w:hAnsi="Arial"/>
                <w:sz w:val="22"/>
                <w:szCs w:val="22"/>
                <w:color w:val="auto"/>
                <w:vertAlign w:val="superscript"/>
              </w:rPr>
              <w:t>(f)</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Secondary offering and other shareholder activities</w:t>
            </w:r>
            <w:r>
              <w:rPr>
                <w:rFonts w:ascii="Arial" w:cs="Arial" w:eastAsia="Arial" w:hAnsi="Arial"/>
                <w:sz w:val="22"/>
                <w:szCs w:val="22"/>
                <w:color w:val="auto"/>
                <w:vertAlign w:val="superscript"/>
              </w:rPr>
              <w:t>(g)</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Accretion of asset retirement obligations</w:t>
            </w:r>
            <w:r>
              <w:rPr>
                <w:rFonts w:ascii="Arial" w:cs="Arial" w:eastAsia="Arial" w:hAnsi="Arial"/>
                <w:sz w:val="22"/>
                <w:szCs w:val="22"/>
                <w:color w:val="auto"/>
                <w:vertAlign w:val="superscript"/>
              </w:rPr>
              <w:t>(h)</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Income tax benefit associated with pre-tax adjustments</w:t>
            </w:r>
            <w:r>
              <w:rPr>
                <w:rFonts w:ascii="Arial" w:cs="Arial" w:eastAsia="Arial" w:hAnsi="Arial"/>
                <w:sz w:val="22"/>
                <w:szCs w:val="22"/>
                <w:color w:val="auto"/>
                <w:vertAlign w:val="superscript"/>
              </w:rPr>
              <w:t>(i)</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(33,487)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(49,597)</w:t>
            </w:r>
          </w:p>
        </w:tc>
      </w:tr>
      <w:tr>
        <w:trPr>
          <w:trHeight w:val="230"/>
        </w:trPr>
        <w:tc>
          <w:tcPr>
            <w:tcW w:w="70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198,500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204,326</w:t>
            </w:r>
          </w:p>
        </w:tc>
      </w:tr>
      <w:tr>
        <w:trPr>
          <w:trHeight w:val="230"/>
        </w:trPr>
        <w:tc>
          <w:tcPr>
            <w:tcW w:w="7080" w:type="dxa"/>
            <w:vAlign w:val="bottom"/>
          </w:tcPr>
          <w:p>
            <w:pPr>
              <w:ind w:left="240"/>
              <w:spacing w:after="0" w:line="229" w:lineRule="exact"/>
              <w:rPr>
                <w:sz w:val="20"/>
                <w:szCs w:val="20"/>
                <w:color w:val="auto"/>
              </w:rPr>
            </w:pPr>
            <w:r>
              <w:rPr>
                <w:rFonts w:ascii="Arial" w:cs="Arial" w:eastAsia="Arial" w:hAnsi="Arial"/>
                <w:sz w:val="18"/>
                <w:szCs w:val="18"/>
                <w:color w:val="auto"/>
              </w:rPr>
              <w:t>Interest expense, net</w:t>
            </w:r>
            <w:r>
              <w:rPr>
                <w:rFonts w:ascii="Arial" w:cs="Arial" w:eastAsia="Arial" w:hAnsi="Arial"/>
                <w:sz w:val="22"/>
                <w:szCs w:val="22"/>
                <w:color w:val="auto"/>
                <w:vertAlign w:val="superscript"/>
              </w:rPr>
              <w:t>(j)</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164,691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142,878</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(k)</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82,420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76,577</w:t>
            </w:r>
          </w:p>
        </w:tc>
      </w:tr>
      <w:tr>
        <w:trPr>
          <w:trHeight w:val="250"/>
        </w:trPr>
        <w:tc>
          <w:tcPr>
            <w:tcW w:w="7080" w:type="dxa"/>
            <w:vAlign w:val="bottom"/>
          </w:tcPr>
          <w:p>
            <w:pPr>
              <w:ind w:left="240"/>
              <w:spacing w:after="0" w:line="250" w:lineRule="exact"/>
              <w:rPr>
                <w:sz w:val="20"/>
                <w:szCs w:val="20"/>
                <w:color w:val="auto"/>
              </w:rPr>
            </w:pPr>
            <w:r>
              <w:rPr>
                <w:rFonts w:ascii="Arial" w:cs="Arial" w:eastAsia="Arial" w:hAnsi="Arial"/>
                <w:sz w:val="18"/>
                <w:szCs w:val="18"/>
                <w:color w:val="auto"/>
              </w:rPr>
              <w:t>Income tax provision applicable to Adjusted Net Income</w:t>
            </w:r>
            <w:r>
              <w:rPr>
                <w:rFonts w:ascii="Arial" w:cs="Arial" w:eastAsia="Arial" w:hAnsi="Arial"/>
                <w:sz w:val="22"/>
                <w:szCs w:val="22"/>
                <w:color w:val="auto"/>
                <w:vertAlign w:val="superscript"/>
              </w:rPr>
              <w:t>(l)</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102,963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104,248</w:t>
            </w:r>
          </w:p>
        </w:tc>
      </w:tr>
      <w:tr>
        <w:trPr>
          <w:trHeight w:val="210"/>
        </w:trPr>
        <w:tc>
          <w:tcPr>
            <w:tcW w:w="7080" w:type="dxa"/>
            <w:vAlign w:val="bottom"/>
          </w:tcPr>
          <w:p>
            <w:pPr>
              <w:spacing w:after="0" w:line="21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2"/>
                <w:szCs w:val="22"/>
                <w:b w:val="1"/>
                <w:bCs w:val="1"/>
                <w:color w:val="auto"/>
                <w:vertAlign w:val="superscript"/>
              </w:rPr>
              <w:t>(m)</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548,574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528,029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-2569845</wp:posOffset>
            </wp:positionV>
            <wp:extent cx="6410325" cy="257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6410325" cy="2576830"/>
                    </a:xfrm>
                    <a:prstGeom prst="rect">
                      <a:avLst/>
                    </a:prstGeom>
                    <a:noFill/>
                  </pic:spPr>
                </pic:pic>
              </a:graphicData>
            </a:graphic>
          </wp:anchor>
        </w:drawing>
      </w:r>
    </w:p>
    <w:p>
      <w:pPr>
        <w:spacing w:after="0" w:line="184" w:lineRule="exact"/>
        <w:rPr>
          <w:sz w:val="20"/>
          <w:szCs w:val="20"/>
          <w:color w:val="auto"/>
        </w:rPr>
      </w:pPr>
    </w:p>
    <w:p>
      <w:pPr>
        <w:ind w:left="520" w:right="200" w:hanging="351"/>
        <w:spacing w:after="0" w:line="255" w:lineRule="auto"/>
        <w:tabs>
          <w:tab w:leader="none" w:pos="5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Represents share-based compensation expense to employees and Non-Employee Directors. See Note 15, “Share-Based Compensation” for further information.</w:t>
      </w:r>
    </w:p>
    <w:p>
      <w:pPr>
        <w:spacing w:after="0" w:line="1" w:lineRule="exact"/>
        <w:rPr>
          <w:rFonts w:ascii="Arial" w:cs="Arial" w:eastAsia="Arial" w:hAnsi="Arial"/>
          <w:sz w:val="20"/>
          <w:szCs w:val="20"/>
          <w:color w:val="auto"/>
        </w:rPr>
      </w:pPr>
    </w:p>
    <w:p>
      <w:pPr>
        <w:jc w:val="both"/>
        <w:ind w:left="520" w:right="80" w:hanging="351"/>
        <w:spacing w:after="0" w:line="296"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spacing w:after="0" w:line="2" w:lineRule="exact"/>
        <w:rPr>
          <w:rFonts w:ascii="Arial" w:cs="Arial" w:eastAsia="Arial" w:hAnsi="Arial"/>
          <w:sz w:val="17"/>
          <w:szCs w:val="17"/>
          <w:color w:val="auto"/>
        </w:rPr>
      </w:pPr>
    </w:p>
    <w:p>
      <w:pPr>
        <w:ind w:left="520" w:right="560" w:hanging="351"/>
        <w:spacing w:after="0" w:line="265" w:lineRule="auto"/>
        <w:tabs>
          <w:tab w:leader="none" w:pos="5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Arial" w:cs="Arial" w:eastAsia="Arial" w:hAnsi="Arial"/>
          <w:sz w:val="20"/>
          <w:szCs w:val="20"/>
          <w:color w:val="auto"/>
        </w:rPr>
      </w:pPr>
    </w:p>
    <w:p>
      <w:pPr>
        <w:ind w:left="520" w:right="80" w:hanging="351"/>
        <w:spacing w:after="0" w:line="294"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2023 includes a $1.0 million cancellation fee received from a tenant in connection with the termination of an office space lease at the Nordion facility.</w:t>
      </w:r>
    </w:p>
    <w:p>
      <w:pPr>
        <w:spacing w:after="0" w:line="5" w:lineRule="exact"/>
        <w:rPr>
          <w:rFonts w:ascii="Arial" w:cs="Arial" w:eastAsia="Arial" w:hAnsi="Arial"/>
          <w:sz w:val="17"/>
          <w:szCs w:val="17"/>
          <w:color w:val="auto"/>
        </w:rPr>
      </w:pPr>
    </w:p>
    <w:p>
      <w:pPr>
        <w:ind w:left="520" w:hanging="351"/>
        <w:spacing w:after="0" w:line="304"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litigation and other professional fees associated with our EO sterilization facilities. Amounts presented for the year ended December 31, 2023 have been adjusted to exclude interest expense, net associated with Term Loan B due 2026 attributable to the loan proceeds that were used to fund the $408.0 million Illinois EO litigation settlement.</w:t>
      </w:r>
    </w:p>
    <w:p>
      <w:pPr>
        <w:spacing w:after="0" w:line="2" w:lineRule="exact"/>
        <w:rPr>
          <w:rFonts w:ascii="Arial" w:cs="Arial" w:eastAsia="Arial" w:hAnsi="Arial"/>
          <w:sz w:val="17"/>
          <w:szCs w:val="17"/>
          <w:color w:val="auto"/>
        </w:rPr>
      </w:pPr>
    </w:p>
    <w:p>
      <w:pPr>
        <w:ind w:left="520" w:right="320" w:hanging="351"/>
        <w:spacing w:after="0" w:line="265" w:lineRule="auto"/>
        <w:tabs>
          <w:tab w:leader="none" w:pos="5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Represents the cost to settle 79 pending EO claims in Georgia under a settlement entered into on December 21, 2023. See Note 19, “Commitments and Contingencies.”</w:t>
      </w:r>
    </w:p>
    <w:p>
      <w:pPr>
        <w:spacing w:after="0" w:line="1" w:lineRule="exact"/>
        <w:rPr>
          <w:rFonts w:ascii="Arial" w:cs="Arial" w:eastAsia="Arial" w:hAnsi="Arial"/>
          <w:sz w:val="20"/>
          <w:szCs w:val="20"/>
          <w:color w:val="auto"/>
        </w:rPr>
      </w:pPr>
    </w:p>
    <w:p>
      <w:pPr>
        <w:ind w:left="520" w:right="40" w:hanging="351"/>
        <w:spacing w:after="0" w:line="361"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expenses incurred in connection with secondary offerings of our common stock that closed on March 4, 2024 and September 6, 2024 and legal, consulting, and other fees associated with shareholder engagement.</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10040"/>
          </w:cols>
          <w:pgMar w:left="920" w:top="534" w:right="920" w:bottom="0" w:gutter="0" w:footer="0" w:header="0"/>
          <w:type w:val="continuous"/>
        </w:sectPr>
      </w:pPr>
    </w:p>
    <w:bookmarkStart w:id="65" w:name="page66"/>
    <w:bookmarkEnd w:id="65"/>
    <w:p>
      <w:pPr>
        <w:ind w:left="520" w:right="200" w:hanging="351"/>
        <w:spacing w:after="0" w:line="258" w:lineRule="auto"/>
        <w:tabs>
          <w:tab w:leader="none" w:pos="5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3" w:lineRule="exact"/>
        <w:rPr>
          <w:rFonts w:ascii="Arial" w:cs="Arial" w:eastAsia="Arial" w:hAnsi="Arial"/>
          <w:sz w:val="20"/>
          <w:szCs w:val="20"/>
          <w:color w:val="auto"/>
        </w:rPr>
      </w:pPr>
    </w:p>
    <w:p>
      <w:pPr>
        <w:jc w:val="both"/>
        <w:ind w:left="520" w:right="120" w:hanging="351"/>
        <w:spacing w:after="0" w:line="258" w:lineRule="auto"/>
        <w:tabs>
          <w:tab w:leader="none" w:pos="5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3" w:lineRule="exact"/>
        <w:rPr>
          <w:rFonts w:ascii="Arial" w:cs="Arial" w:eastAsia="Arial" w:hAnsi="Arial"/>
          <w:sz w:val="20"/>
          <w:szCs w:val="20"/>
          <w:color w:val="auto"/>
        </w:rPr>
      </w:pPr>
    </w:p>
    <w:p>
      <w:pPr>
        <w:ind w:left="520" w:hanging="351"/>
        <w:spacing w:after="0" w:line="272" w:lineRule="auto"/>
        <w:tabs>
          <w:tab w:leader="none" w:pos="5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Interest expense, net presented in this reconciliation for the year ended December 31, 2023 has been adjusted to conform to the current year presentation to include interest expense, net on Term Loan B due 2026 attributable to the loan proceeds that were used to fund the $408.0 million Illinois EO litigation settlement.</w:t>
      </w:r>
    </w:p>
    <w:p>
      <w:pPr>
        <w:spacing w:after="0" w:line="1" w:lineRule="exact"/>
        <w:rPr>
          <w:rFonts w:ascii="Arial" w:cs="Arial" w:eastAsia="Arial" w:hAnsi="Arial"/>
          <w:sz w:val="19"/>
          <w:szCs w:val="19"/>
          <w:color w:val="auto"/>
        </w:rPr>
      </w:pPr>
    </w:p>
    <w:p>
      <w:pPr>
        <w:ind w:left="520" w:hanging="351"/>
        <w:spacing w:after="0" w:line="265" w:lineRule="auto"/>
        <w:tabs>
          <w:tab w:leader="none" w:pos="5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Includes depreciation of Co-60 held at gamma irradiation sites. The year ended December 31, 2024 excludes accelerated depreciation associated with business optimization activities.</w:t>
      </w:r>
    </w:p>
    <w:p>
      <w:pPr>
        <w:spacing w:after="0" w:line="1" w:lineRule="exact"/>
        <w:rPr>
          <w:rFonts w:ascii="Arial" w:cs="Arial" w:eastAsia="Arial" w:hAnsi="Arial"/>
          <w:sz w:val="20"/>
          <w:szCs w:val="20"/>
          <w:color w:val="auto"/>
        </w:rPr>
      </w:pPr>
    </w:p>
    <w:p>
      <w:pPr>
        <w:ind w:left="520" w:right="20" w:hanging="351"/>
        <w:spacing w:after="0" w:line="265" w:lineRule="auto"/>
        <w:tabs>
          <w:tab w:leader="none" w:pos="5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Represents the difference between the income tax provision/benefit as determined under U.S. GAAP and the income tax benefit associated with pre-tax adjustments described in footnote (i).</w:t>
      </w:r>
    </w:p>
    <w:p>
      <w:pPr>
        <w:spacing w:after="0" w:line="1" w:lineRule="exact"/>
        <w:rPr>
          <w:rFonts w:ascii="Arial" w:cs="Arial" w:eastAsia="Arial" w:hAnsi="Arial"/>
          <w:sz w:val="20"/>
          <w:szCs w:val="20"/>
          <w:color w:val="auto"/>
        </w:rPr>
      </w:pPr>
    </w:p>
    <w:p>
      <w:pPr>
        <w:ind w:left="520" w:right="280" w:hanging="351"/>
        <w:spacing w:after="0" w:line="258" w:lineRule="auto"/>
        <w:tabs>
          <w:tab w:leader="none" w:pos="5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$97.1 million and $94.1 million of the adjustments for the year ended December 31, 2024 and 2023, respectively, are included in cost of revenues, primarily consisting of amortization of intangible assets, depreciation, and accretion of ARO.</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SEGMENT RESULTS OF OPERATIONS</w:t>
      </w:r>
    </w:p>
    <w:p>
      <w:pPr>
        <w:spacing w:after="0" w:line="248"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Segments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Sterigenics</w:t>
      </w:r>
    </w:p>
    <w:p>
      <w:pPr>
        <w:spacing w:after="0" w:line="248" w:lineRule="exact"/>
        <w:rPr>
          <w:sz w:val="20"/>
          <w:szCs w:val="20"/>
          <w:color w:val="auto"/>
        </w:rPr>
      </w:pPr>
    </w:p>
    <w:p>
      <w:pPr>
        <w:ind w:right="680"/>
        <w:spacing w:after="0" w:line="258" w:lineRule="auto"/>
        <w:rPr>
          <w:sz w:val="20"/>
          <w:szCs w:val="20"/>
          <w:color w:val="auto"/>
        </w:rPr>
      </w:pPr>
      <w:r>
        <w:rPr>
          <w:rFonts w:ascii="Arial" w:cs="Arial" w:eastAsia="Arial" w:hAnsi="Arial"/>
          <w:sz w:val="20"/>
          <w:szCs w:val="20"/>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Nordion</w:t>
      </w:r>
    </w:p>
    <w:p>
      <w:pPr>
        <w:spacing w:after="0" w:line="248" w:lineRule="exact"/>
        <w:rPr>
          <w:sz w:val="20"/>
          <w:szCs w:val="20"/>
          <w:color w:val="auto"/>
        </w:rPr>
      </w:pPr>
    </w:p>
    <w:p>
      <w:pPr>
        <w:ind w:right="220"/>
        <w:spacing w:after="0" w:line="258" w:lineRule="auto"/>
        <w:rPr>
          <w:sz w:val="20"/>
          <w:szCs w:val="20"/>
          <w:color w:val="auto"/>
        </w:rPr>
      </w:pPr>
      <w:r>
        <w:rPr>
          <w:rFonts w:ascii="Arial" w:cs="Arial" w:eastAsia="Arial" w:hAnsi="Arial"/>
          <w:sz w:val="20"/>
          <w:szCs w:val="20"/>
          <w:color w:val="auto"/>
        </w:rPr>
        <w:t>Our Nordion business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99"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As a result of the time required to meet regulatory and logistics requirements for delivery of radioactive products, combined with accommodations that we make to our customers to minimize disruptions to their operations during the installation of Co-60, Nordion sales patterns can often vary significantly from one quarter to the next. In most cases, however, timing-related impacts on our sales performance tend to be resolved within several quarters, resulting in more consistent performance over longer periods of time. In addition, sales of gamma irradiation systems occur infrequently and tend to be for larger amounts.</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Nelson Labs</w:t>
      </w:r>
    </w:p>
    <w:p>
      <w:pPr>
        <w:spacing w:after="0" w:line="248"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Our Nelson Labs business provides outsourced microbiological and analytical chemistry testing and advisory services for the medical device and pharmaceutical industries.</w:t>
      </w:r>
    </w:p>
    <w:p>
      <w:pPr>
        <w:spacing w:after="0" w:line="186" w:lineRule="exact"/>
        <w:rPr>
          <w:sz w:val="20"/>
          <w:szCs w:val="20"/>
          <w:color w:val="auto"/>
        </w:rPr>
      </w:pPr>
    </w:p>
    <w:p>
      <w:pPr>
        <w:ind w:right="680"/>
        <w:spacing w:after="0" w:line="271" w:lineRule="auto"/>
        <w:rPr>
          <w:sz w:val="20"/>
          <w:szCs w:val="20"/>
          <w:color w:val="auto"/>
        </w:rPr>
      </w:pPr>
      <w:r>
        <w:rPr>
          <w:rFonts w:ascii="Arial" w:cs="Arial" w:eastAsia="Arial" w:hAnsi="Arial"/>
          <w:sz w:val="20"/>
          <w:szCs w:val="20"/>
          <w:color w:val="auto"/>
        </w:rPr>
        <w:t>For more information regarding our reportable segments please refer to Item 1. “Business” and Note 21, “Segment and Geographic Information” to our consolidated financial statements.</w:t>
      </w:r>
    </w:p>
    <w:p>
      <w:pPr>
        <w:sectPr>
          <w:pgSz w:w="11880" w:h="15480" w:orient="portrait"/>
          <w:cols w:equalWidth="0" w:num="1">
            <w:col w:w="9980"/>
          </w:cols>
          <w:pgMar w:left="920" w:top="53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980"/>
          </w:cols>
          <w:pgMar w:left="920" w:top="534" w:right="98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Segment Results for the Years Ended December 31, 2024 and 2023</w:t>
      </w:r>
    </w:p>
    <w:p>
      <w:pPr>
        <w:spacing w:after="0" w:line="24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i w:val="1"/>
          <w:iCs w:val="1"/>
          <w:color w:val="auto"/>
        </w:rPr>
        <w:t>The following section summarizes the segment results for the years ended December 31, 2024 and 2023. The discussion of the segment results for the years ended December 31, 2023 and 2022 are presented within our Annual Report on Form 10-K for the year ended December 31, 2023 under “Item 7. Management’s Discussion and Analysis of Financial Condition and Results of Operations - Segment Results for the years ended December 31, 2023 and 2022.”</w:t>
      </w:r>
    </w:p>
    <w:p>
      <w:pPr>
        <w:spacing w:after="0" w:line="158" w:lineRule="exact"/>
        <w:rPr>
          <w:sz w:val="20"/>
          <w:szCs w:val="20"/>
          <w:color w:val="auto"/>
        </w:rPr>
      </w:pPr>
    </w:p>
    <w:p>
      <w:pPr>
        <w:ind w:right="460"/>
        <w:spacing w:after="0" w:line="271" w:lineRule="auto"/>
        <w:rPr>
          <w:sz w:val="20"/>
          <w:szCs w:val="20"/>
          <w:color w:val="auto"/>
        </w:rPr>
      </w:pPr>
      <w:r>
        <w:rPr>
          <w:rFonts w:ascii="Arial" w:cs="Arial" w:eastAsia="Arial" w:hAnsi="Arial"/>
          <w:sz w:val="20"/>
          <w:szCs w:val="20"/>
          <w:color w:val="auto"/>
        </w:rPr>
        <w:t>The following tables compare segment net revenue and segment income for the year ended December 31, 2024 to the year ended December 31, 2023:</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Year Ended</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2636520</wp:posOffset>
                </wp:positionH>
                <wp:positionV relativeFrom="paragraph">
                  <wp:posOffset>13335</wp:posOffset>
                </wp:positionV>
                <wp:extent cx="196977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97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7.6pt,1.05pt" to="362.7pt,1.05pt" o:allowincell="f" strokecolor="#000000" strokeweight="1pt"/>
            </w:pict>
          </mc:Fallback>
        </mc:AlternateConten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20" w:type="dxa"/>
            <w:vAlign w:val="bottom"/>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b w:val="1"/>
                <w:bCs w:val="1"/>
                <w:color w:val="auto"/>
                <w:w w:val="97"/>
              </w:rPr>
              <w:t>$ Change</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 Change</w:t>
            </w:r>
          </w:p>
        </w:tc>
      </w:tr>
      <w:tr>
        <w:trPr>
          <w:trHeight w:val="350"/>
        </w:trPr>
        <w:tc>
          <w:tcPr>
            <w:tcW w:w="4120" w:type="dxa"/>
            <w:vAlign w:val="bottom"/>
          </w:tcPr>
          <w:p>
            <w:pPr>
              <w:spacing w:after="0"/>
              <w:rPr>
                <w:sz w:val="20"/>
                <w:szCs w:val="20"/>
                <w:color w:val="auto"/>
              </w:rPr>
            </w:pPr>
            <w:r>
              <w:rPr>
                <w:rFonts w:ascii="Arial" w:cs="Arial" w:eastAsia="Arial" w:hAnsi="Arial"/>
                <w:sz w:val="20"/>
                <w:szCs w:val="20"/>
                <w:b w:val="1"/>
                <w:bCs w:val="1"/>
                <w:color w:val="auto"/>
              </w:rPr>
              <w:t>Net Revenues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3"/>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Sterigenics</w:t>
            </w:r>
          </w:p>
        </w:tc>
        <w:tc>
          <w:tcPr>
            <w:tcW w:w="34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185"/>
              <w:spacing w:after="0"/>
              <w:rPr>
                <w:sz w:val="20"/>
                <w:szCs w:val="20"/>
                <w:color w:val="auto"/>
              </w:rPr>
            </w:pPr>
            <w:r>
              <w:rPr>
                <w:rFonts w:ascii="Arial" w:cs="Arial" w:eastAsia="Arial" w:hAnsi="Arial"/>
                <w:sz w:val="20"/>
                <w:szCs w:val="20"/>
                <w:b w:val="1"/>
                <w:bCs w:val="1"/>
                <w:color w:val="auto"/>
              </w:rPr>
              <w:t>697,853</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45"/>
              <w:spacing w:after="0"/>
              <w:rPr>
                <w:sz w:val="20"/>
                <w:szCs w:val="20"/>
                <w:color w:val="auto"/>
              </w:rPr>
            </w:pPr>
            <w:r>
              <w:rPr>
                <w:rFonts w:ascii="Arial" w:cs="Arial" w:eastAsia="Arial" w:hAnsi="Arial"/>
                <w:sz w:val="20"/>
                <w:szCs w:val="20"/>
                <w:color w:val="auto"/>
              </w:rPr>
              <w:t>667,130</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30,723</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4.6%</w:t>
            </w:r>
          </w:p>
        </w:tc>
      </w:tr>
      <w:tr>
        <w:trPr>
          <w:trHeight w:val="279"/>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Nordion</w:t>
            </w:r>
          </w:p>
        </w:tc>
        <w:tc>
          <w:tcPr>
            <w:tcW w:w="3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Arial" w:cs="Arial" w:eastAsia="Arial" w:hAnsi="Arial"/>
                <w:sz w:val="20"/>
                <w:szCs w:val="20"/>
                <w:b w:val="1"/>
                <w:bCs w:val="1"/>
                <w:color w:val="auto"/>
              </w:rPr>
              <w:t>173,355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145"/>
              <w:spacing w:after="0"/>
              <w:rPr>
                <w:sz w:val="20"/>
                <w:szCs w:val="20"/>
                <w:color w:val="auto"/>
              </w:rPr>
            </w:pPr>
            <w:r>
              <w:rPr>
                <w:rFonts w:ascii="Arial" w:cs="Arial" w:eastAsia="Arial" w:hAnsi="Arial"/>
                <w:sz w:val="20"/>
                <w:szCs w:val="20"/>
                <w:color w:val="auto"/>
              </w:rPr>
              <w:t>160,459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12,896</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8.0%</w:t>
            </w:r>
          </w:p>
        </w:tc>
      </w:tr>
      <w:tr>
        <w:trPr>
          <w:trHeight w:val="283"/>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Nelson Labs</w:t>
            </w:r>
          </w:p>
        </w:tc>
        <w:tc>
          <w:tcPr>
            <w:tcW w:w="3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Arial" w:cs="Arial" w:eastAsia="Arial" w:hAnsi="Arial"/>
                <w:sz w:val="20"/>
                <w:szCs w:val="20"/>
                <w:b w:val="1"/>
                <w:bCs w:val="1"/>
                <w:color w:val="auto"/>
              </w:rPr>
              <w:t>229,233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145"/>
              <w:spacing w:after="0"/>
              <w:rPr>
                <w:sz w:val="20"/>
                <w:szCs w:val="20"/>
                <w:color w:val="auto"/>
              </w:rPr>
            </w:pPr>
            <w:r>
              <w:rPr>
                <w:rFonts w:ascii="Arial" w:cs="Arial" w:eastAsia="Arial" w:hAnsi="Arial"/>
                <w:sz w:val="20"/>
                <w:szCs w:val="20"/>
                <w:color w:val="auto"/>
              </w:rPr>
              <w:t>221,699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7,534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3.4%</w:t>
            </w:r>
          </w:p>
        </w:tc>
      </w:tr>
      <w:tr>
        <w:trPr>
          <w:trHeight w:val="423"/>
        </w:trPr>
        <w:tc>
          <w:tcPr>
            <w:tcW w:w="4120" w:type="dxa"/>
            <w:vAlign w:val="bottom"/>
          </w:tcPr>
          <w:p>
            <w:pPr>
              <w:spacing w:after="0"/>
              <w:rPr>
                <w:sz w:val="20"/>
                <w:szCs w:val="20"/>
                <w:color w:val="auto"/>
              </w:rPr>
            </w:pPr>
            <w:r>
              <w:rPr>
                <w:rFonts w:ascii="Arial" w:cs="Arial" w:eastAsia="Arial" w:hAnsi="Arial"/>
                <w:sz w:val="20"/>
                <w:szCs w:val="20"/>
                <w:b w:val="1"/>
                <w:bCs w:val="1"/>
                <w:color w:val="auto"/>
              </w:rPr>
              <w:t>Segment Income</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303"/>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Sterigenics</w:t>
            </w:r>
          </w:p>
        </w:tc>
        <w:tc>
          <w:tcPr>
            <w:tcW w:w="34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ind w:right="185"/>
              <w:spacing w:after="0"/>
              <w:rPr>
                <w:sz w:val="20"/>
                <w:szCs w:val="20"/>
                <w:color w:val="auto"/>
              </w:rPr>
            </w:pPr>
            <w:r>
              <w:rPr>
                <w:rFonts w:ascii="Arial" w:cs="Arial" w:eastAsia="Arial" w:hAnsi="Arial"/>
                <w:sz w:val="20"/>
                <w:szCs w:val="20"/>
                <w:b w:val="1"/>
                <w:bCs w:val="1"/>
                <w:color w:val="auto"/>
              </w:rPr>
              <w:t>378,171</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45"/>
              <w:spacing w:after="0"/>
              <w:rPr>
                <w:sz w:val="20"/>
                <w:szCs w:val="20"/>
                <w:color w:val="auto"/>
              </w:rPr>
            </w:pPr>
            <w:r>
              <w:rPr>
                <w:rFonts w:ascii="Arial" w:cs="Arial" w:eastAsia="Arial" w:hAnsi="Arial"/>
                <w:sz w:val="20"/>
                <w:szCs w:val="20"/>
                <w:color w:val="auto"/>
              </w:rPr>
              <w:t>362,212</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15,959</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4.4%</w:t>
            </w:r>
          </w:p>
        </w:tc>
      </w:tr>
      <w:tr>
        <w:trPr>
          <w:trHeight w:val="279"/>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Nordion</w:t>
            </w:r>
          </w:p>
        </w:tc>
        <w:tc>
          <w:tcPr>
            <w:tcW w:w="340" w:type="dxa"/>
            <w:vAlign w:val="bottom"/>
          </w:tcPr>
          <w:p>
            <w:pPr>
              <w:spacing w:after="0"/>
              <w:rPr>
                <w:sz w:val="24"/>
                <w:szCs w:val="24"/>
                <w:color w:val="auto"/>
              </w:rPr>
            </w:pPr>
          </w:p>
        </w:tc>
        <w:tc>
          <w:tcPr>
            <w:tcW w:w="1120" w:type="dxa"/>
            <w:vAlign w:val="bottom"/>
          </w:tcPr>
          <w:p>
            <w:pPr>
              <w:jc w:val="right"/>
              <w:ind w:right="185"/>
              <w:spacing w:after="0"/>
              <w:rPr>
                <w:sz w:val="20"/>
                <w:szCs w:val="20"/>
                <w:color w:val="auto"/>
              </w:rPr>
            </w:pPr>
            <w:r>
              <w:rPr>
                <w:rFonts w:ascii="Arial" w:cs="Arial" w:eastAsia="Arial" w:hAnsi="Arial"/>
                <w:sz w:val="20"/>
                <w:szCs w:val="20"/>
                <w:b w:val="1"/>
                <w:bCs w:val="1"/>
                <w:color w:val="auto"/>
              </w:rPr>
              <w:t>101,220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145"/>
              <w:spacing w:after="0"/>
              <w:rPr>
                <w:sz w:val="20"/>
                <w:szCs w:val="20"/>
                <w:color w:val="auto"/>
              </w:rPr>
            </w:pPr>
            <w:r>
              <w:rPr>
                <w:rFonts w:ascii="Arial" w:cs="Arial" w:eastAsia="Arial" w:hAnsi="Arial"/>
                <w:sz w:val="20"/>
                <w:szCs w:val="20"/>
                <w:color w:val="auto"/>
              </w:rPr>
              <w:t>96,678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4,542</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4.7%</w:t>
            </w:r>
          </w:p>
        </w:tc>
      </w:tr>
      <w:tr>
        <w:trPr>
          <w:trHeight w:val="283"/>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Nelson Labs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5"/>
              <w:spacing w:after="0"/>
              <w:rPr>
                <w:sz w:val="20"/>
                <w:szCs w:val="20"/>
                <w:color w:val="auto"/>
              </w:rPr>
            </w:pPr>
            <w:r>
              <w:rPr>
                <w:rFonts w:ascii="Arial" w:cs="Arial" w:eastAsia="Arial" w:hAnsi="Arial"/>
                <w:sz w:val="20"/>
                <w:szCs w:val="20"/>
                <w:b w:val="1"/>
                <w:bCs w:val="1"/>
                <w:color w:val="auto"/>
              </w:rPr>
              <w:t>69,183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5"/>
              <w:spacing w:after="0"/>
              <w:rPr>
                <w:sz w:val="20"/>
                <w:szCs w:val="20"/>
                <w:color w:val="auto"/>
              </w:rPr>
            </w:pPr>
            <w:r>
              <w:rPr>
                <w:rFonts w:ascii="Arial" w:cs="Arial" w:eastAsia="Arial" w:hAnsi="Arial"/>
                <w:sz w:val="20"/>
                <w:szCs w:val="20"/>
                <w:color w:val="auto"/>
              </w:rPr>
              <w:t>69,139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-1558290</wp:posOffset>
            </wp:positionV>
            <wp:extent cx="6410325" cy="2396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6410325" cy="2396490"/>
                    </a:xfrm>
                    <a:prstGeom prst="rect">
                      <a:avLst/>
                    </a:prstGeom>
                    <a:noFill/>
                  </pic:spPr>
                </pic:pic>
              </a:graphicData>
            </a:graphic>
          </wp:anchor>
        </w:drawing>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4120" w:type="dxa"/>
            <w:vAlign w:val="bottom"/>
          </w:tcPr>
          <w:p>
            <w:pPr>
              <w:spacing w:after="0"/>
              <w:rPr>
                <w:sz w:val="20"/>
                <w:szCs w:val="20"/>
                <w:color w:val="auto"/>
              </w:rPr>
            </w:pPr>
            <w:r>
              <w:rPr>
                <w:rFonts w:ascii="Arial" w:cs="Arial" w:eastAsia="Arial" w:hAnsi="Arial"/>
                <w:sz w:val="20"/>
                <w:szCs w:val="20"/>
                <w:b w:val="1"/>
                <w:bCs w:val="1"/>
                <w:color w:val="auto"/>
              </w:rPr>
              <w:t>Segment Income Margin</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303"/>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Sterigenics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54.2 %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54.3 %</w:t>
            </w:r>
          </w:p>
        </w:tc>
      </w:tr>
      <w:tr>
        <w:trPr>
          <w:trHeight w:val="279"/>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Nordion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58.4 %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60.3 %</w:t>
            </w:r>
          </w:p>
        </w:tc>
      </w:tr>
      <w:tr>
        <w:trPr>
          <w:trHeight w:val="283"/>
        </w:trPr>
        <w:tc>
          <w:tcPr>
            <w:tcW w:w="4120" w:type="dxa"/>
            <w:vAlign w:val="bottom"/>
          </w:tcPr>
          <w:p>
            <w:pPr>
              <w:ind w:left="480"/>
              <w:spacing w:after="0"/>
              <w:rPr>
                <w:sz w:val="20"/>
                <w:szCs w:val="20"/>
                <w:color w:val="auto"/>
              </w:rPr>
            </w:pPr>
            <w:r>
              <w:rPr>
                <w:rFonts w:ascii="Arial" w:cs="Arial" w:eastAsia="Arial" w:hAnsi="Arial"/>
                <w:sz w:val="20"/>
                <w:szCs w:val="20"/>
                <w:b w:val="1"/>
                <w:bCs w:val="1"/>
                <w:color w:val="auto"/>
              </w:rPr>
              <w:t>Nelson Labs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30.2 %</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31.2 %</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Revenues</w:t>
      </w:r>
    </w:p>
    <w:p>
      <w:pPr>
        <w:spacing w:after="0" w:line="242"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Sterigenics net revenues were $697.9 million for the year ended December 31, 2024, an increase of $30.7 million, or 4.6%, as compared to the prior year. The increase was attributable to a favorable impact from pricing of 4.6% and changes in volume and mix of 0.3%, partially offset by unfavorable changes in foreign currency exchange rates of 0.3%.</w:t>
      </w:r>
    </w:p>
    <w:p>
      <w:pPr>
        <w:spacing w:after="0" w:line="147" w:lineRule="exact"/>
        <w:rPr>
          <w:sz w:val="20"/>
          <w:szCs w:val="20"/>
          <w:color w:val="auto"/>
        </w:rPr>
      </w:pPr>
    </w:p>
    <w:p>
      <w:pPr>
        <w:ind w:right="400"/>
        <w:spacing w:after="0" w:line="278" w:lineRule="auto"/>
        <w:rPr>
          <w:sz w:val="20"/>
          <w:szCs w:val="20"/>
          <w:color w:val="auto"/>
        </w:rPr>
      </w:pPr>
      <w:r>
        <w:rPr>
          <w:rFonts w:ascii="Arial" w:cs="Arial" w:eastAsia="Arial" w:hAnsi="Arial"/>
          <w:sz w:val="19"/>
          <w:szCs w:val="19"/>
          <w:color w:val="auto"/>
        </w:rPr>
        <w:t>Nordion net revenues were $173.4 million for the year ended December 31, 2024, an increase of $12.9 million, or 8.0%, as compared to the prior year. The increase was driven by growth from volume and mix and pricing of 4.9% and 5.2%, respectively, partially offset by unfavorable changes in foreign currency exchange rates of 2.1%.</w:t>
      </w:r>
    </w:p>
    <w:p>
      <w:pPr>
        <w:spacing w:after="0" w:line="182"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Nelson Labs net revenues were $229.2 million for the year ended December 31, 2024, an increase of $7.5 million, or 3.4%, as compared to the prior year. The increase was attributable to a 3.0% favorable impact from pricing and 0.4% from changes in volume and mix.</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Income</w:t>
      </w:r>
    </w:p>
    <w:p>
      <w:pPr>
        <w:spacing w:after="0" w:line="242" w:lineRule="exact"/>
        <w:rPr>
          <w:sz w:val="20"/>
          <w:szCs w:val="20"/>
          <w:color w:val="auto"/>
        </w:rPr>
      </w:pPr>
    </w:p>
    <w:p>
      <w:pPr>
        <w:ind w:right="180"/>
        <w:spacing w:after="0" w:line="258" w:lineRule="auto"/>
        <w:rPr>
          <w:sz w:val="20"/>
          <w:szCs w:val="20"/>
          <w:color w:val="auto"/>
        </w:rPr>
      </w:pPr>
      <w:r>
        <w:rPr>
          <w:rFonts w:ascii="Arial" w:cs="Arial" w:eastAsia="Arial" w:hAnsi="Arial"/>
          <w:sz w:val="20"/>
          <w:szCs w:val="20"/>
          <w:color w:val="auto"/>
        </w:rPr>
        <w:t>Sterigenics segment income was $378.2 million for the year ended December 31, 2024, an increase of $16.0 million, or 4.4%, as compared to the prior year. The increase in segment income was driven mainly by favorable pricing, partially offset by inflation and certain facility repairs and maintenance costs.</w:t>
      </w:r>
    </w:p>
    <w:p>
      <w:pPr>
        <w:spacing w:after="0" w:line="199" w:lineRule="exact"/>
        <w:rPr>
          <w:sz w:val="20"/>
          <w:szCs w:val="20"/>
          <w:color w:val="auto"/>
        </w:rPr>
      </w:pPr>
    </w:p>
    <w:p>
      <w:pPr>
        <w:ind w:right="100" w:firstLine="5"/>
        <w:spacing w:after="0" w:line="254" w:lineRule="auto"/>
        <w:rPr>
          <w:sz w:val="20"/>
          <w:szCs w:val="20"/>
          <w:color w:val="auto"/>
        </w:rPr>
      </w:pPr>
      <w:r>
        <w:rPr>
          <w:rFonts w:ascii="Arial" w:cs="Arial" w:eastAsia="Arial" w:hAnsi="Arial"/>
          <w:sz w:val="20"/>
          <w:szCs w:val="20"/>
          <w:color w:val="auto"/>
        </w:rPr>
        <w:t>Nordion segment income was $101.2 million for the year ended December 31, 2024, an increase of $4.5 million, or 4.7%, as compared to the prior year. The increase in segment income was driven primarily by favorable pricing and higher volumes and mix, partially offset by supplier mix. The decrease in segment income margin was driven by higher employee compensation costs and unfavorable mix.</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Nelson Labs segment income was $69.2 million for the year ended December 31, 2024, an increase of 0.1%, as compared to the prior year. Pricing and labor productivity improvements resulted in a favorable impact to segment income during the year ended December 31, 2024 compared to the prior year. Partially offsetting this and negatively impacting segment income margin were increases in employee compensation costs and unfavorable mix.</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10040"/>
          </w:cols>
          <w:pgMar w:left="920" w:top="527" w:right="92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 of Cash</w:t>
      </w:r>
    </w:p>
    <w:p>
      <w:pPr>
        <w:spacing w:after="0" w:line="248"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The primary sources of liquidity for our business are cash flows from operations and borrowings under our credit facilities. As of December 31, 2024, we had $278.9 million of cash and cash equivalents. This is a decrease of $22.8 million from the balance at December 31, 2023. The decrease in cash and cash equivalents was attributable to $179.0 million of purchases of property, plant and equipment, $50.6 million of cash used in financing activities and a $17.4 million decline due to changes in foreign currency exchange rates, partially offset by $224.2 million of cash provided by operating activities. Our foreign subsidiaries held cash of approximately $259.8 million at December 31, 2024 and $224.1 million at December 31, 2023. No material restrictions exist to accessing cash held by our foreign subsidiaries notwithstanding any potential tax consequences.</w:t>
      </w:r>
    </w:p>
    <w:p>
      <w:pPr>
        <w:spacing w:after="0" w:line="160" w:lineRule="exact"/>
        <w:rPr>
          <w:sz w:val="20"/>
          <w:szCs w:val="20"/>
          <w:color w:val="auto"/>
        </w:rPr>
      </w:pPr>
    </w:p>
    <w:p>
      <w:pPr>
        <w:ind w:right="100"/>
        <w:spacing w:after="0" w:line="296" w:lineRule="auto"/>
        <w:rPr>
          <w:sz w:val="20"/>
          <w:szCs w:val="20"/>
          <w:color w:val="auto"/>
        </w:rPr>
      </w:pPr>
      <w:r>
        <w:rPr>
          <w:rFonts w:ascii="Arial" w:cs="Arial" w:eastAsia="Arial" w:hAnsi="Arial"/>
          <w:sz w:val="20"/>
          <w:szCs w:val="20"/>
          <w:color w:val="auto"/>
        </w:rPr>
        <w:t xml:space="preserve">Refer to “Debt Facilities” below within this Item, Note 9, “Long-Term Debt”, and Item 1A, </w:t>
      </w:r>
      <w:r>
        <w:rPr>
          <w:rFonts w:ascii="Arial" w:cs="Arial" w:eastAsia="Arial" w:hAnsi="Arial"/>
          <w:sz w:val="23"/>
          <w:szCs w:val="23"/>
          <w:color w:val="auto"/>
        </w:rPr>
        <w:t>“</w:t>
      </w:r>
      <w:r>
        <w:rPr>
          <w:rFonts w:ascii="Arial" w:cs="Arial" w:eastAsia="Arial" w:hAnsi="Arial"/>
          <w:sz w:val="20"/>
          <w:szCs w:val="20"/>
          <w:color w:val="auto"/>
        </w:rPr>
        <w:t>Risk Factors</w:t>
      </w:r>
      <w:r>
        <w:rPr>
          <w:rFonts w:ascii="Arial" w:cs="Arial" w:eastAsia="Arial" w:hAnsi="Arial"/>
          <w:sz w:val="23"/>
          <w:szCs w:val="23"/>
          <w:color w:val="auto"/>
        </w:rPr>
        <w:t>”</w:t>
      </w:r>
      <w:r>
        <w:rPr>
          <w:rFonts w:ascii="Arial" w:cs="Arial" w:eastAsia="Arial" w:hAnsi="Arial"/>
          <w:sz w:val="20"/>
          <w:szCs w:val="20"/>
          <w:color w:val="auto"/>
        </w:rPr>
        <w:t xml:space="preserve"> - “Risks Related to Our Indebtedness and Liquidity” for additional information.</w:t>
      </w:r>
    </w:p>
    <w:p>
      <w:pPr>
        <w:spacing w:after="0" w:line="154" w:lineRule="exact"/>
        <w:rPr>
          <w:sz w:val="20"/>
          <w:szCs w:val="20"/>
          <w:color w:val="auto"/>
        </w:rPr>
      </w:pPr>
    </w:p>
    <w:p>
      <w:pPr>
        <w:ind w:right="120"/>
        <w:spacing w:after="0" w:line="325" w:lineRule="auto"/>
        <w:rPr>
          <w:sz w:val="20"/>
          <w:szCs w:val="20"/>
          <w:color w:val="auto"/>
        </w:rPr>
      </w:pPr>
      <w:r>
        <w:rPr>
          <w:rFonts w:ascii="Arial" w:cs="Arial" w:eastAsia="Arial" w:hAnsi="Arial"/>
          <w:sz w:val="17"/>
          <w:szCs w:val="17"/>
          <w:color w:val="auto"/>
        </w:rPr>
        <w:t>As described in more detail below, on March 1, 2024, the Company and SHH entered into Amendment No. 3 to the Revolving Credit Facility. Amendment No. 3 did not materially change the terms and conditions of the Credit Agreement, including with respect to the amount of commitments under the Revolving Credit Facility, which remain $423.8 million.</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As discussed below, on May 30, 2024 the Company and SHH closed on the Refinancing Term Loans in an aggregate principal amount of $1,509.4 million as well as an issuance of Secured Notes in an aggregate principal amount of $750.0 million, both of which mature in 2031. The Company used the net proceeds from the Refinancing Term Loans and Secured Notes, along with cash on hand, to refinance its previously outstanding $1,763.1 million and $496.3 million Term Loans due 2026.</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Uses of Cash</w:t>
      </w:r>
    </w:p>
    <w:p>
      <w:pPr>
        <w:spacing w:after="0" w:line="24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We expect that cash on hand, operating cash flows and amounts available under our credit facilities will provide sufficient working capital to operate our business, meet foreseeable liquidity requirements (inclusive of debt service on our long-term debt), make expected capital expenditures including investments in fixed assets to build and/or expand existing facilities, and meet litigation costs that we expect to continue to incur for at least the next twelve months. Our primary long-term liquidity requirements beyond the next twelve months will be to service our debt, make capital expenditures, and fund suitable business acquisitions. As of December 31, 2024, there were no outstanding borrowings on the Revolving Credit Facility. We expect any excess cash provided by operations will be allocated to fund capital expenditures,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December 31, 2024, our interest rate derivatives limit our cash flow exposure of our variable rate borrowings under the Term Loans. Refer to Note 20, “Financial Instruments and Financial Risk”, “</w:t>
      </w:r>
      <w:r>
        <w:rPr>
          <w:rFonts w:ascii="Arial" w:cs="Arial" w:eastAsia="Arial" w:hAnsi="Arial"/>
          <w:sz w:val="17"/>
          <w:szCs w:val="17"/>
          <w:b w:val="1"/>
          <w:bCs w:val="1"/>
          <w:i w:val="1"/>
          <w:iCs w:val="1"/>
          <w:color w:val="auto"/>
        </w:rPr>
        <w:t>Derivative Instruments</w:t>
      </w:r>
      <w:r>
        <w:rPr>
          <w:rFonts w:ascii="Arial" w:cs="Arial" w:eastAsia="Arial" w:hAnsi="Arial"/>
          <w:sz w:val="17"/>
          <w:szCs w:val="17"/>
          <w:color w:val="auto"/>
        </w:rPr>
        <w:t xml:space="preserve">” for additional information regarding the interest rate limits used to manage economic risks associated with our variable rate borrowings. Refer to Item 7A., </w:t>
      </w:r>
      <w:r>
        <w:rPr>
          <w:rFonts w:ascii="Arial" w:cs="Arial" w:eastAsia="Arial" w:hAnsi="Arial"/>
          <w:sz w:val="20"/>
          <w:szCs w:val="20"/>
          <w:color w:val="auto"/>
        </w:rPr>
        <w:t>“</w:t>
      </w:r>
      <w:r>
        <w:rPr>
          <w:rFonts w:ascii="Arial" w:cs="Arial" w:eastAsia="Arial" w:hAnsi="Arial"/>
          <w:sz w:val="17"/>
          <w:szCs w:val="17"/>
          <w:color w:val="auto"/>
        </w:rPr>
        <w:t>Quantitative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Qualitative Disclosures About Market Risk</w:t>
      </w:r>
      <w:r>
        <w:rPr>
          <w:rFonts w:ascii="Arial" w:cs="Arial" w:eastAsia="Arial" w:hAnsi="Arial"/>
          <w:sz w:val="23"/>
          <w:szCs w:val="23"/>
          <w:color w:val="auto"/>
        </w:rPr>
        <w:t>”</w:t>
      </w:r>
      <w:r>
        <w:rPr>
          <w:rFonts w:ascii="Arial" w:cs="Arial" w:eastAsia="Arial" w:hAnsi="Arial"/>
          <w:sz w:val="20"/>
          <w:szCs w:val="20"/>
          <w:color w:val="auto"/>
        </w:rPr>
        <w:t xml:space="preserve"> for additional information about changes in interest rate risk.</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year ended December 31, 2024, our capital expenditures amounted to $179.1 million, compared to $215.0 million in the year ended December 31, 2023. Our capital expenditures for the year ended December 31, 2024 included approximately $32 million related to environmental facility enhancements.</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In 2024,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For 2025, it is estimated that approximately $46 million of capital expenditures will relate to environmental facility enhancements.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10040"/>
          </w:cols>
          <w:pgMar w:left="920" w:top="527" w:right="9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Debt Facilities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Secured Credit Facilities</w:t>
      </w:r>
    </w:p>
    <w:p>
      <w:pPr>
        <w:spacing w:after="0" w:line="125"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4, the “Credit Agreement”). The total borrowing capacity under the Revolving Credit Facility is $423.8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211"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On May 30, 2024, the Company and SHH entered into Amendment No. 4 (“Amendment No. 4”) to the Senior Secured Credit Facilities. Among other changes, Amendment No. 4 provides for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 The weighted average interest rate on borrowings under the Refinancing Term Loans for the year ended December 31, 2024 was 8.29%.</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spacing w:after="0" w:line="200" w:lineRule="exact"/>
        <w:rPr>
          <w:sz w:val="20"/>
          <w:szCs w:val="20"/>
          <w:color w:val="auto"/>
        </w:rPr>
      </w:pPr>
    </w:p>
    <w:p>
      <w:pPr>
        <w:spacing w:after="0" w:line="212"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65" w:lineRule="exact"/>
        <w:rPr>
          <w:sz w:val="20"/>
          <w:szCs w:val="20"/>
          <w:color w:val="auto"/>
        </w:rPr>
      </w:pPr>
    </w:p>
    <w:p>
      <w:pPr>
        <w:ind w:right="20"/>
        <w:spacing w:after="0" w:line="361" w:lineRule="auto"/>
        <w:rPr>
          <w:sz w:val="20"/>
          <w:szCs w:val="20"/>
          <w:color w:val="auto"/>
        </w:rPr>
      </w:pPr>
      <w:r>
        <w:rPr>
          <w:rFonts w:ascii="Arial" w:cs="Arial" w:eastAsia="Arial" w:hAnsi="Arial"/>
          <w:sz w:val="17"/>
          <w:szCs w:val="17"/>
          <w:color w:val="auto"/>
        </w:rPr>
        <w:t>The Company used the combined net proceeds from the Refinancing Terms Loans and Secured Notes, along with cash on hand, to refinance its previously outstanding $1,763.1 million Term Loan due 2026 and $496.3 million Term Loan B due 2026.</w:t>
      </w:r>
    </w:p>
    <w:p>
      <w:pPr>
        <w:spacing w:after="0" w:line="118"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10040"/>
          </w:cols>
          <w:pgMar w:left="920" w:top="527" w:right="920" w:bottom="0" w:gutter="0" w:footer="0" w:header="0"/>
          <w:type w:val="continuous"/>
        </w:sectPr>
      </w:pPr>
    </w:p>
    <w:bookmarkStart w:id="69" w:name="page70"/>
    <w:bookmarkEnd w:id="69"/>
    <w:p>
      <w:pPr>
        <w:ind w:left="7" w:right="20"/>
        <w:spacing w:after="0" w:line="292" w:lineRule="auto"/>
        <w:rPr>
          <w:sz w:val="20"/>
          <w:szCs w:val="20"/>
          <w:color w:val="auto"/>
        </w:rPr>
      </w:pPr>
      <w:r>
        <w:rPr>
          <w:rFonts w:ascii="Arial" w:cs="Arial" w:eastAsia="Arial" w:hAnsi="Arial"/>
          <w:sz w:val="17"/>
          <w:szCs w:val="17"/>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w:t>
      </w:r>
    </w:p>
    <w:p>
      <w:pPr>
        <w:spacing w:after="0" w:line="1" w:lineRule="exact"/>
        <w:rPr>
          <w:sz w:val="20"/>
          <w:szCs w:val="20"/>
          <w:color w:val="auto"/>
        </w:rPr>
      </w:pPr>
    </w:p>
    <w:p>
      <w:pPr>
        <w:ind w:left="7" w:right="20" w:hanging="7"/>
        <w:spacing w:after="0" w:line="247" w:lineRule="auto"/>
        <w:tabs>
          <w:tab w:leader="none" w:pos="241" w:val="left"/>
        </w:tabs>
        <w:numPr>
          <w:ilvl w:val="0"/>
          <w:numId w:val="33"/>
        </w:numPr>
        <w:rPr>
          <w:rFonts w:ascii="Arial" w:cs="Arial" w:eastAsia="Arial" w:hAnsi="Arial"/>
          <w:sz w:val="20"/>
          <w:szCs w:val="20"/>
          <w:color w:val="auto"/>
        </w:rPr>
      </w:pPr>
      <w:r>
        <w:rPr>
          <w:rFonts w:ascii="Arial" w:cs="Arial" w:eastAsia="Arial" w:hAnsi="Arial"/>
          <w:sz w:val="20"/>
          <w:szCs w:val="20"/>
          <w:color w:val="auto"/>
        </w:rPr>
        <w:t>$162.6 million or (ii) 30.0% of consolidated EBITDA or LTM EBITDA (as defined in the Credit Agreement and the Indenture, respectively) and the judgments were not stayed or remained undischarged for a period of 60 consecutive days. As of December 31, 2024, we were in compliance with all of the covenants under the Senior Secured Credit Facilities and the Indenture.</w:t>
      </w:r>
    </w:p>
    <w:p>
      <w:pPr>
        <w:spacing w:after="0" w:line="210" w:lineRule="exact"/>
        <w:rPr>
          <w:sz w:val="20"/>
          <w:szCs w:val="20"/>
          <w:color w:val="auto"/>
        </w:rPr>
      </w:pPr>
    </w:p>
    <w:p>
      <w:pPr>
        <w:ind w:left="7" w:right="140"/>
        <w:spacing w:after="0" w:line="264" w:lineRule="auto"/>
        <w:rPr>
          <w:sz w:val="20"/>
          <w:szCs w:val="20"/>
          <w:color w:val="auto"/>
        </w:rPr>
      </w:pPr>
      <w:r>
        <w:rPr>
          <w:rFonts w:ascii="Arial" w:cs="Arial" w:eastAsia="Arial" w:hAnsi="Arial"/>
          <w:sz w:val="19"/>
          <w:szCs w:val="19"/>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spacing w:after="0" w:line="199" w:lineRule="exact"/>
        <w:rPr>
          <w:sz w:val="20"/>
          <w:szCs w:val="20"/>
          <w:color w:val="auto"/>
        </w:rPr>
      </w:pPr>
    </w:p>
    <w:p>
      <w:pPr>
        <w:ind w:left="7" w:right="40"/>
        <w:spacing w:after="0" w:line="254" w:lineRule="auto"/>
        <w:rPr>
          <w:sz w:val="20"/>
          <w:szCs w:val="20"/>
          <w:color w:val="auto"/>
        </w:rPr>
      </w:pPr>
      <w:r>
        <w:rPr>
          <w:rFonts w:ascii="Arial" w:cs="Arial" w:eastAsia="Arial" w:hAnsi="Arial"/>
          <w:sz w:val="20"/>
          <w:szCs w:val="20"/>
          <w:color w:val="auto"/>
        </w:rPr>
        <w:t>Outstanding letters of credit are collateralized by encumbrances against the Revolving Credit Facility and the collateral pledged thereunder, or by cash placed on deposit with the issuing bank. As of December 31, 2024, the Company had $14.0 of letters of credit issued against the Revolving Credit Facility, resulting in total availability under the Revolving Credit Facility of $409.8 million.</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Term Loan Interest Rate Risk Management</w:t>
      </w:r>
    </w:p>
    <w:p>
      <w:pPr>
        <w:spacing w:after="0" w:line="125" w:lineRule="exact"/>
        <w:rPr>
          <w:sz w:val="20"/>
          <w:szCs w:val="20"/>
          <w:color w:val="auto"/>
        </w:rPr>
      </w:pPr>
    </w:p>
    <w:p>
      <w:pPr>
        <w:ind w:left="7" w:right="140"/>
        <w:spacing w:after="0" w:line="278" w:lineRule="auto"/>
        <w:rPr>
          <w:sz w:val="20"/>
          <w:szCs w:val="20"/>
          <w:color w:val="auto"/>
        </w:rPr>
      </w:pPr>
      <w:r>
        <w:rPr>
          <w:rFonts w:ascii="Arial" w:cs="Arial" w:eastAsia="Arial" w:hAnsi="Arial"/>
          <w:sz w:val="19"/>
          <w:szCs w:val="19"/>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rFonts w:ascii="Arial" w:cs="Arial" w:eastAsia="Arial" w:hAnsi="Arial"/>
          <w:sz w:val="19"/>
          <w:szCs w:val="19"/>
          <w:b w:val="1"/>
          <w:bCs w:val="1"/>
          <w:i w:val="1"/>
          <w:iCs w:val="1"/>
          <w:color w:val="auto"/>
        </w:rPr>
        <w:t>“Derivative Instruments.”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Cash Flow Information</w:t>
      </w:r>
    </w:p>
    <w:p>
      <w:pPr>
        <w:spacing w:after="0" w:line="246" w:lineRule="exact"/>
        <w:rPr>
          <w:sz w:val="20"/>
          <w:szCs w:val="20"/>
          <w:color w:val="auto"/>
        </w:rPr>
      </w:pPr>
    </w:p>
    <w:p>
      <w:pPr>
        <w:ind w:left="7" w:right="200"/>
        <w:spacing w:after="0" w:line="272" w:lineRule="auto"/>
        <w:rPr>
          <w:sz w:val="20"/>
          <w:szCs w:val="20"/>
          <w:color w:val="auto"/>
        </w:rPr>
      </w:pPr>
      <w:r>
        <w:rPr>
          <w:rFonts w:ascii="Arial" w:cs="Arial" w:eastAsia="Arial" w:hAnsi="Arial"/>
          <w:sz w:val="19"/>
          <w:szCs w:val="19"/>
          <w:b w:val="1"/>
          <w:bCs w:val="1"/>
          <w:i w:val="1"/>
          <w:iCs w:val="1"/>
          <w:color w:val="auto"/>
        </w:rPr>
        <w:t>The following section summarizes cash flow information for the years ended December 31, 2024 and 2023. Cash flow information for the years ended December 31, 2023 and 2022 are presented within our Annual Report on Form 10-K for the year ended December 31, 2023 under Item 7, “Management’s Discussion and Analysis of Financial Condition and Results of Operations - Liquidity and Capital Resources.”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Year Ended December 31, 2024 compared to the Year Ended December 31, 2023</w:t>
      </w:r>
    </w:p>
    <w:p>
      <w:pPr>
        <w:spacing w:after="0" w:line="111"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05"/>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20"/>
                <w:szCs w:val="20"/>
                <w:color w:val="auto"/>
              </w:rPr>
              <w:t>Net Cash Provided by (Used in):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7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660" w:type="dxa"/>
            <w:vAlign w:val="bottom"/>
            <w:gridSpan w:val="2"/>
          </w:tcPr>
          <w:p>
            <w:pPr>
              <w:ind w:left="480"/>
              <w:spacing w:after="0"/>
              <w:rPr>
                <w:sz w:val="20"/>
                <w:szCs w:val="20"/>
                <w:color w:val="auto"/>
              </w:rPr>
            </w:pPr>
            <w:r>
              <w:rPr>
                <w:rFonts w:ascii="Arial" w:cs="Arial" w:eastAsia="Arial" w:hAnsi="Arial"/>
                <w:sz w:val="20"/>
                <w:szCs w:val="20"/>
                <w:color w:val="auto"/>
              </w:rPr>
              <w:t>Operating activities</w:t>
            </w: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224,164</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8"/>
              </w:rPr>
              <w:t>(147,732)</w:t>
            </w:r>
          </w:p>
        </w:tc>
        <w:tc>
          <w:tcPr>
            <w:tcW w:w="0" w:type="dxa"/>
            <w:vAlign w:val="bottom"/>
          </w:tcPr>
          <w:p>
            <w:pPr>
              <w:spacing w:after="0"/>
              <w:rPr>
                <w:sz w:val="1"/>
                <w:szCs w:val="1"/>
                <w:color w:val="auto"/>
              </w:rPr>
            </w:pPr>
          </w:p>
        </w:tc>
      </w:tr>
      <w:tr>
        <w:trPr>
          <w:trHeight w:val="279"/>
        </w:trPr>
        <w:tc>
          <w:tcPr>
            <w:tcW w:w="7660" w:type="dxa"/>
            <w:vAlign w:val="bottom"/>
            <w:gridSpan w:val="2"/>
          </w:tcPr>
          <w:p>
            <w:pPr>
              <w:ind w:left="480"/>
              <w:spacing w:after="0"/>
              <w:rPr>
                <w:sz w:val="20"/>
                <w:szCs w:val="20"/>
                <w:color w:val="auto"/>
              </w:rPr>
            </w:pPr>
            <w:r>
              <w:rPr>
                <w:rFonts w:ascii="Arial" w:cs="Arial" w:eastAsia="Arial" w:hAnsi="Arial"/>
                <w:sz w:val="20"/>
                <w:szCs w:val="20"/>
                <w:color w:val="auto"/>
              </w:rPr>
              <w:t>Investing activities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w w:val="98"/>
              </w:rPr>
              <w:t>(178,996)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8"/>
              </w:rPr>
              <w:t>(214,906)</w:t>
            </w:r>
          </w:p>
        </w:tc>
        <w:tc>
          <w:tcPr>
            <w:tcW w:w="0" w:type="dxa"/>
            <w:vAlign w:val="bottom"/>
          </w:tcPr>
          <w:p>
            <w:pPr>
              <w:spacing w:after="0"/>
              <w:rPr>
                <w:sz w:val="1"/>
                <w:szCs w:val="1"/>
                <w:color w:val="auto"/>
              </w:rPr>
            </w:pPr>
          </w:p>
        </w:tc>
      </w:tr>
      <w:tr>
        <w:trPr>
          <w:trHeight w:val="279"/>
        </w:trPr>
        <w:tc>
          <w:tcPr>
            <w:tcW w:w="7660" w:type="dxa"/>
            <w:vAlign w:val="bottom"/>
            <w:gridSpan w:val="2"/>
          </w:tcPr>
          <w:p>
            <w:pPr>
              <w:ind w:left="480"/>
              <w:spacing w:after="0"/>
              <w:rPr>
                <w:sz w:val="20"/>
                <w:szCs w:val="20"/>
                <w:color w:val="auto"/>
              </w:rPr>
            </w:pPr>
            <w:r>
              <w:rPr>
                <w:rFonts w:ascii="Arial" w:cs="Arial" w:eastAsia="Arial" w:hAnsi="Arial"/>
                <w:sz w:val="20"/>
                <w:szCs w:val="20"/>
                <w:color w:val="auto"/>
              </w:rPr>
              <w:t>Financing activities</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(50,564)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265,959</w:t>
            </w:r>
          </w:p>
        </w:tc>
        <w:tc>
          <w:tcPr>
            <w:tcW w:w="0" w:type="dxa"/>
            <w:vAlign w:val="bottom"/>
          </w:tcPr>
          <w:p>
            <w:pPr>
              <w:spacing w:after="0"/>
              <w:rPr>
                <w:sz w:val="1"/>
                <w:szCs w:val="1"/>
                <w:color w:val="auto"/>
              </w:rPr>
            </w:pPr>
          </w:p>
        </w:tc>
      </w:tr>
      <w:tr>
        <w:trPr>
          <w:trHeight w:val="283"/>
        </w:trPr>
        <w:tc>
          <w:tcPr>
            <w:tcW w:w="7660" w:type="dxa"/>
            <w:vAlign w:val="bottom"/>
            <w:gridSpan w:val="2"/>
          </w:tcPr>
          <w:p>
            <w:pPr>
              <w:spacing w:after="0"/>
              <w:rPr>
                <w:sz w:val="20"/>
                <w:szCs w:val="20"/>
                <w:color w:val="auto"/>
              </w:rPr>
            </w:pPr>
            <w:r>
              <w:rPr>
                <w:rFonts w:ascii="Arial" w:cs="Arial" w:eastAsia="Arial" w:hAnsi="Arial"/>
                <w:sz w:val="20"/>
                <w:szCs w:val="20"/>
                <w:color w:val="auto"/>
              </w:rPr>
              <w:t>Effect of foreign currency exchange rate changes on cash and cash equivalents</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(17,393)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2,039</w:t>
            </w:r>
          </w:p>
        </w:tc>
        <w:tc>
          <w:tcPr>
            <w:tcW w:w="0" w:type="dxa"/>
            <w:vAlign w:val="bottom"/>
          </w:tcPr>
          <w:p>
            <w:pPr>
              <w:spacing w:after="0"/>
              <w:rPr>
                <w:sz w:val="1"/>
                <w:szCs w:val="1"/>
                <w:color w:val="auto"/>
              </w:rPr>
            </w:pPr>
          </w:p>
        </w:tc>
      </w:tr>
      <w:tr>
        <w:trPr>
          <w:trHeight w:val="240"/>
        </w:trPr>
        <w:tc>
          <w:tcPr>
            <w:tcW w:w="7660" w:type="dxa"/>
            <w:vAlign w:val="bottom"/>
            <w:gridSpan w:val="2"/>
          </w:tcPr>
          <w:p>
            <w:pPr>
              <w:spacing w:after="0"/>
              <w:rPr>
                <w:sz w:val="20"/>
                <w:szCs w:val="20"/>
                <w:color w:val="auto"/>
              </w:rPr>
            </w:pPr>
            <w:r>
              <w:rPr>
                <w:rFonts w:ascii="Arial" w:cs="Arial" w:eastAsia="Arial" w:hAnsi="Arial"/>
                <w:sz w:val="20"/>
                <w:szCs w:val="20"/>
                <w:color w:val="auto"/>
                <w:w w:val="88"/>
              </w:rPr>
              <w:t>Net (decrease) increase in cash and cash equivalents, including restricted cash, during the period</w:t>
            </w: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(22,789)</w:t>
            </w:r>
          </w:p>
        </w:tc>
        <w:tc>
          <w:tcPr>
            <w:tcW w:w="36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(94,640)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-1094740</wp:posOffset>
            </wp:positionV>
            <wp:extent cx="6410325" cy="1101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245"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42" w:lineRule="exact"/>
        <w:rPr>
          <w:sz w:val="20"/>
          <w:szCs w:val="20"/>
          <w:color w:val="auto"/>
        </w:rPr>
      </w:pPr>
    </w:p>
    <w:p>
      <w:pPr>
        <w:ind w:left="7" w:right="60"/>
        <w:spacing w:after="0" w:line="306" w:lineRule="auto"/>
        <w:rPr>
          <w:sz w:val="20"/>
          <w:szCs w:val="20"/>
          <w:color w:val="auto"/>
        </w:rPr>
      </w:pPr>
      <w:r>
        <w:rPr>
          <w:rFonts w:ascii="Arial" w:cs="Arial" w:eastAsia="Arial" w:hAnsi="Arial"/>
          <w:sz w:val="17"/>
          <w:szCs w:val="17"/>
          <w:color w:val="auto"/>
        </w:rPr>
        <w:t>Net cash provided by operating activities increased $371.9 million to net cash provided of $224.2 million for the year ended December 31, 2024 as compared to net cash used in operating activities of $147.7 million for the prior year. The increase in net cash provided by operating activities in 2024 compared to the prior year was due mainly to the timing of cash outflows for the Illinois and Georgia EO litigation settlements. Approximately $407.7 million was paid in June 2023 for the settlements of the Illinois EO claims, whereas $35.0 million was paid in January 2024 for settlement of the Georgia EO claims.</w:t>
      </w:r>
    </w:p>
    <w:p>
      <w:pPr>
        <w:sectPr>
          <w:pgSz w:w="11880" w:h="15480" w:orient="portrait"/>
          <w:cols w:equalWidth="0" w:num="1">
            <w:col w:w="10047"/>
          </w:cols>
          <w:pgMar w:left="913"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10047"/>
          </w:cols>
          <w:pgMar w:left="913" w:top="534" w:right="920" w:bottom="0" w:gutter="0" w:footer="0" w:header="0"/>
          <w:type w:val="continuous"/>
        </w:sectPr>
      </w:pPr>
    </w:p>
    <w:bookmarkStart w:id="70" w:name="page71"/>
    <w:bookmarkEnd w:id="70"/>
    <w:p>
      <w:pPr>
        <w:ind w:left="7"/>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42" w:lineRule="exact"/>
        <w:rPr>
          <w:sz w:val="20"/>
          <w:szCs w:val="20"/>
          <w:color w:val="auto"/>
        </w:rPr>
      </w:pPr>
    </w:p>
    <w:p>
      <w:pPr>
        <w:jc w:val="both"/>
        <w:ind w:left="7" w:right="60"/>
        <w:spacing w:after="0" w:line="278" w:lineRule="auto"/>
        <w:rPr>
          <w:sz w:val="20"/>
          <w:szCs w:val="20"/>
          <w:color w:val="auto"/>
        </w:rPr>
      </w:pPr>
      <w:r>
        <w:rPr>
          <w:rFonts w:ascii="Arial" w:cs="Arial" w:eastAsia="Arial" w:hAnsi="Arial"/>
          <w:sz w:val="19"/>
          <w:szCs w:val="19"/>
          <w:color w:val="auto"/>
        </w:rPr>
        <w:t>Net cash used in investing activities decreased $35.9 million to net cash used of $179.0 million in the year ended December 31, 2024 as compared to $214.9 million for the prior year. The variance was mainly driven by a decrease in capital expenditures of $35.9 million in the year ended December 31, 2024 compared to the prior year.</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42" w:lineRule="exact"/>
        <w:rPr>
          <w:sz w:val="20"/>
          <w:szCs w:val="20"/>
          <w:color w:val="auto"/>
        </w:rPr>
      </w:pPr>
    </w:p>
    <w:p>
      <w:pPr>
        <w:ind w:left="7" w:right="40"/>
        <w:spacing w:after="0" w:line="264" w:lineRule="auto"/>
        <w:rPr>
          <w:sz w:val="20"/>
          <w:szCs w:val="20"/>
          <w:color w:val="auto"/>
        </w:rPr>
      </w:pPr>
      <w:r>
        <w:rPr>
          <w:rFonts w:ascii="Arial" w:cs="Arial" w:eastAsia="Arial" w:hAnsi="Arial"/>
          <w:sz w:val="19"/>
          <w:szCs w:val="19"/>
          <w:color w:val="auto"/>
        </w:rPr>
        <w:t>For the year ended December 31, 2024, net cash used in financing activities was $50.6 million compared to net cash provided by financing activities of $266.0 million for the year ended December 31, 2023 resulting in a net change of $316.5 million. The difference was mainly attributable to $5.0 million of debt repayments (net of debt proceeds) in the year ended December 31, 2024 as compared to $297.5 million of debt proceeds (net of repayments) in the year ended December 31, 2023 resulting in a $302.5 million net change in cash outflow. Cash outflows for debt issuance costs also increased $6.4 million during the year ended December 31, 2024 as compared to the prior year. In addition, a purchase option for a leased facility was exercised in the first quarter of 2024 resulting in a $6.7 million cash outflow.</w:t>
      </w:r>
    </w:p>
    <w:p>
      <w:pPr>
        <w:spacing w:after="0" w:line="19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CONTRACTUAL OBLIGATIONS AND COMMERCIAL COMMITMENTS</w:t>
      </w:r>
    </w:p>
    <w:p>
      <w:pPr>
        <w:spacing w:after="0" w:line="236"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describes our significant contractual and other cash obligations as of December 31, 2024:</w:t>
      </w:r>
    </w:p>
    <w:p>
      <w:pPr>
        <w:spacing w:after="0" w:line="333"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jc w:val="right"/>
              <w:ind w:right="62"/>
              <w:spacing w:after="0"/>
              <w:rPr>
                <w:sz w:val="20"/>
                <w:szCs w:val="20"/>
                <w:color w:val="auto"/>
              </w:rPr>
            </w:pPr>
            <w:r>
              <w:rPr>
                <w:rFonts w:ascii="Arial" w:cs="Arial" w:eastAsia="Arial" w:hAnsi="Arial"/>
                <w:sz w:val="16"/>
                <w:szCs w:val="16"/>
                <w:b w:val="1"/>
                <w:bCs w:val="1"/>
                <w:color w:val="auto"/>
                <w:w w:val="87"/>
              </w:rPr>
              <w:t>Payments due by period</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7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67"/>
              <w:spacing w:after="0" w:line="179" w:lineRule="exact"/>
              <w:rPr>
                <w:sz w:val="20"/>
                <w:szCs w:val="20"/>
                <w:color w:val="auto"/>
              </w:rPr>
            </w:pPr>
            <w:r>
              <w:rPr>
                <w:rFonts w:ascii="Arial" w:cs="Arial" w:eastAsia="Arial" w:hAnsi="Arial"/>
                <w:sz w:val="16"/>
                <w:szCs w:val="16"/>
                <w:b w:val="1"/>
                <w:bCs w:val="1"/>
                <w:color w:val="auto"/>
                <w:w w:val="93"/>
              </w:rPr>
              <w:t>Less than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127"/>
              <w:spacing w:after="0" w:line="179" w:lineRule="exact"/>
              <w:rPr>
                <w:sz w:val="20"/>
                <w:szCs w:val="20"/>
                <w:color w:val="auto"/>
              </w:rPr>
            </w:pPr>
            <w:r>
              <w:rPr>
                <w:rFonts w:ascii="Arial" w:cs="Arial" w:eastAsia="Arial" w:hAnsi="Arial"/>
                <w:sz w:val="16"/>
                <w:szCs w:val="16"/>
                <w:b w:val="1"/>
                <w:bCs w:val="1"/>
                <w:color w:val="auto"/>
                <w:w w:val="93"/>
              </w:rPr>
              <w:t>More than 5</w:t>
            </w: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b w:val="1"/>
                <w:bCs w:val="1"/>
                <w:i w:val="1"/>
                <w:iCs w:val="1"/>
                <w:color w:val="auto"/>
                <w:w w:val="82"/>
              </w:rPr>
              <w:t>(thousands of U.S. dollars)</w:t>
            </w: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65"/>
              <w:spacing w:after="0" w:line="173"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267"/>
              <w:spacing w:after="0" w:line="173" w:lineRule="exact"/>
              <w:rPr>
                <w:sz w:val="20"/>
                <w:szCs w:val="20"/>
                <w:color w:val="auto"/>
              </w:rPr>
            </w:pPr>
            <w:r>
              <w:rPr>
                <w:rFonts w:ascii="Arial" w:cs="Arial" w:eastAsia="Arial" w:hAnsi="Arial"/>
                <w:sz w:val="16"/>
                <w:szCs w:val="16"/>
                <w:b w:val="1"/>
                <w:bCs w:val="1"/>
                <w:color w:val="auto"/>
              </w:rPr>
              <w:t>1 Year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5"/>
              <w:spacing w:after="0" w:line="173" w:lineRule="exact"/>
              <w:rPr>
                <w:sz w:val="20"/>
                <w:szCs w:val="20"/>
                <w:color w:val="auto"/>
              </w:rPr>
            </w:pPr>
            <w:r>
              <w:rPr>
                <w:rFonts w:ascii="Arial" w:cs="Arial" w:eastAsia="Arial" w:hAnsi="Arial"/>
                <w:sz w:val="16"/>
                <w:szCs w:val="16"/>
                <w:b w:val="1"/>
                <w:bCs w:val="1"/>
                <w:color w:val="auto"/>
                <w:w w:val="98"/>
              </w:rPr>
              <w:t>2-3 Years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25"/>
              <w:spacing w:after="0" w:line="173" w:lineRule="exact"/>
              <w:rPr>
                <w:sz w:val="20"/>
                <w:szCs w:val="20"/>
                <w:color w:val="auto"/>
              </w:rPr>
            </w:pPr>
            <w:r>
              <w:rPr>
                <w:rFonts w:ascii="Arial" w:cs="Arial" w:eastAsia="Arial" w:hAnsi="Arial"/>
                <w:sz w:val="16"/>
                <w:szCs w:val="16"/>
                <w:b w:val="1"/>
                <w:bCs w:val="1"/>
                <w:color w:val="auto"/>
              </w:rPr>
              <w:t>4-5 Years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47"/>
              <w:spacing w:after="0" w:line="173" w:lineRule="exact"/>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Arial" w:cs="Arial" w:eastAsia="Arial" w:hAnsi="Arial"/>
                <w:sz w:val="20"/>
                <w:szCs w:val="20"/>
                <w:color w:val="auto"/>
              </w:rPr>
              <w:t xml:space="preserve">Long-term debt </w:t>
            </w:r>
            <w:r>
              <w:rPr>
                <w:rFonts w:ascii="Arial" w:cs="Arial" w:eastAsia="Arial" w:hAnsi="Arial"/>
                <w:sz w:val="25"/>
                <w:szCs w:val="25"/>
                <w:color w:val="auto"/>
                <w:vertAlign w:val="superscript"/>
              </w:rPr>
              <w:t>(a)</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3140" w:type="dxa"/>
            <w:vAlign w:val="bottom"/>
            <w:gridSpan w:val="2"/>
            <w:vMerge w:val="continue"/>
          </w:tcPr>
          <w:p>
            <w:pPr>
              <w:spacing w:after="0"/>
              <w:rPr>
                <w:sz w:val="24"/>
                <w:szCs w:val="24"/>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3,299,746</w:t>
            </w:r>
          </w:p>
        </w:tc>
        <w:tc>
          <w:tcPr>
            <w:tcW w:w="36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183,748</w:t>
            </w:r>
          </w:p>
        </w:tc>
        <w:tc>
          <w:tcPr>
            <w:tcW w:w="420" w:type="dxa"/>
            <w:vAlign w:val="bottom"/>
            <w:gridSpan w:val="3"/>
          </w:tcPr>
          <w:p>
            <w:pPr>
              <w:jc w:val="right"/>
              <w:ind w:right="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348,172</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362,490</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2,405,336</w:t>
            </w:r>
          </w:p>
        </w:tc>
        <w:tc>
          <w:tcPr>
            <w:tcW w:w="0" w:type="dxa"/>
            <w:vAlign w:val="bottom"/>
          </w:tcPr>
          <w:p>
            <w:pPr>
              <w:spacing w:after="0"/>
              <w:rPr>
                <w:sz w:val="1"/>
                <w:szCs w:val="1"/>
                <w:color w:val="auto"/>
              </w:rPr>
            </w:pPr>
          </w:p>
        </w:tc>
      </w:tr>
      <w:tr>
        <w:trPr>
          <w:trHeight w:val="255"/>
        </w:trPr>
        <w:tc>
          <w:tcPr>
            <w:tcW w:w="3140" w:type="dxa"/>
            <w:vAlign w:val="bottom"/>
            <w:gridSpan w:val="2"/>
          </w:tcPr>
          <w:p>
            <w:pPr>
              <w:spacing w:after="0"/>
              <w:rPr>
                <w:sz w:val="20"/>
                <w:szCs w:val="20"/>
                <w:color w:val="auto"/>
              </w:rPr>
            </w:pPr>
            <w:r>
              <w:rPr>
                <w:rFonts w:ascii="Arial" w:cs="Arial" w:eastAsia="Arial" w:hAnsi="Arial"/>
                <w:sz w:val="20"/>
                <w:szCs w:val="20"/>
                <w:color w:val="auto"/>
              </w:rPr>
              <w:t>Lease obligations: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140" w:type="dxa"/>
            <w:vAlign w:val="bottom"/>
            <w:gridSpan w:val="2"/>
          </w:tcPr>
          <w:p>
            <w:pPr>
              <w:ind w:left="480"/>
              <w:spacing w:after="0"/>
              <w:rPr>
                <w:sz w:val="20"/>
                <w:szCs w:val="20"/>
                <w:color w:val="auto"/>
              </w:rPr>
            </w:pPr>
            <w:r>
              <w:rPr>
                <w:rFonts w:ascii="Arial" w:cs="Arial" w:eastAsia="Arial" w:hAnsi="Arial"/>
                <w:sz w:val="20"/>
                <w:szCs w:val="20"/>
                <w:color w:val="auto"/>
              </w:rPr>
              <w:t xml:space="preserve">Finance </w:t>
            </w:r>
            <w:r>
              <w:rPr>
                <w:rFonts w:ascii="Arial" w:cs="Arial" w:eastAsia="Arial" w:hAnsi="Arial"/>
                <w:sz w:val="25"/>
                <w:szCs w:val="25"/>
                <w:color w:val="auto"/>
                <w:vertAlign w:val="superscript"/>
              </w:rPr>
              <w:t>(b)</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165,197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9,245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19,012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19,573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117,367</w:t>
            </w:r>
          </w:p>
        </w:tc>
        <w:tc>
          <w:tcPr>
            <w:tcW w:w="0" w:type="dxa"/>
            <w:vAlign w:val="bottom"/>
          </w:tcPr>
          <w:p>
            <w:pPr>
              <w:spacing w:after="0"/>
              <w:rPr>
                <w:sz w:val="1"/>
                <w:szCs w:val="1"/>
                <w:color w:val="auto"/>
              </w:rPr>
            </w:pPr>
          </w:p>
        </w:tc>
      </w:tr>
      <w:tr>
        <w:trPr>
          <w:trHeight w:val="279"/>
        </w:trPr>
        <w:tc>
          <w:tcPr>
            <w:tcW w:w="3140" w:type="dxa"/>
            <w:vAlign w:val="bottom"/>
            <w:gridSpan w:val="2"/>
          </w:tcPr>
          <w:p>
            <w:pPr>
              <w:ind w:left="480"/>
              <w:spacing w:after="0" w:line="280" w:lineRule="exact"/>
              <w:rPr>
                <w:sz w:val="20"/>
                <w:szCs w:val="20"/>
                <w:color w:val="auto"/>
              </w:rPr>
            </w:pPr>
            <w:r>
              <w:rPr>
                <w:rFonts w:ascii="Arial" w:cs="Arial" w:eastAsia="Arial" w:hAnsi="Arial"/>
                <w:sz w:val="20"/>
                <w:szCs w:val="20"/>
                <w:color w:val="auto"/>
              </w:rPr>
              <w:t xml:space="preserve">Operating </w:t>
            </w:r>
            <w:r>
              <w:rPr>
                <w:rFonts w:ascii="Arial" w:cs="Arial" w:eastAsia="Arial" w:hAnsi="Arial"/>
                <w:sz w:val="25"/>
                <w:szCs w:val="25"/>
                <w:color w:val="auto"/>
                <w:vertAlign w:val="superscript"/>
              </w:rPr>
              <w:t>(c)</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39,130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6,937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12,112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7,792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12,289</w:t>
            </w:r>
          </w:p>
        </w:tc>
        <w:tc>
          <w:tcPr>
            <w:tcW w:w="0" w:type="dxa"/>
            <w:vAlign w:val="bottom"/>
          </w:tcPr>
          <w:p>
            <w:pPr>
              <w:spacing w:after="0"/>
              <w:rPr>
                <w:sz w:val="1"/>
                <w:szCs w:val="1"/>
                <w:color w:val="auto"/>
              </w:rPr>
            </w:pPr>
          </w:p>
        </w:tc>
      </w:tr>
      <w:tr>
        <w:trPr>
          <w:trHeight w:val="279"/>
        </w:trPr>
        <w:tc>
          <w:tcPr>
            <w:tcW w:w="3140" w:type="dxa"/>
            <w:vAlign w:val="bottom"/>
            <w:gridSpan w:val="2"/>
          </w:tcPr>
          <w:p>
            <w:pPr>
              <w:spacing w:after="0" w:line="280" w:lineRule="exact"/>
              <w:rPr>
                <w:sz w:val="20"/>
                <w:szCs w:val="20"/>
                <w:color w:val="auto"/>
              </w:rPr>
            </w:pPr>
            <w:r>
              <w:rPr>
                <w:rFonts w:ascii="Arial" w:cs="Arial" w:eastAsia="Arial" w:hAnsi="Arial"/>
                <w:sz w:val="20"/>
                <w:szCs w:val="20"/>
                <w:color w:val="auto"/>
              </w:rPr>
              <w:t xml:space="preserve">Supply and service obligations </w:t>
            </w:r>
            <w:r>
              <w:rPr>
                <w:rFonts w:ascii="Arial" w:cs="Arial" w:eastAsia="Arial" w:hAnsi="Arial"/>
                <w:sz w:val="25"/>
                <w:szCs w:val="25"/>
                <w:color w:val="auto"/>
                <w:vertAlign w:val="superscript"/>
              </w:rPr>
              <w:t>(d)</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2,219,136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60,291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113,279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106,600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1,938,966</w:t>
            </w:r>
          </w:p>
        </w:tc>
        <w:tc>
          <w:tcPr>
            <w:tcW w:w="0" w:type="dxa"/>
            <w:vAlign w:val="bottom"/>
          </w:tcPr>
          <w:p>
            <w:pPr>
              <w:spacing w:after="0"/>
              <w:rPr>
                <w:sz w:val="1"/>
                <w:szCs w:val="1"/>
                <w:color w:val="auto"/>
              </w:rPr>
            </w:pPr>
          </w:p>
        </w:tc>
      </w:tr>
      <w:tr>
        <w:trPr>
          <w:trHeight w:val="276"/>
        </w:trPr>
        <w:tc>
          <w:tcPr>
            <w:tcW w:w="3140" w:type="dxa"/>
            <w:vAlign w:val="bottom"/>
            <w:gridSpan w:val="2"/>
          </w:tcPr>
          <w:p>
            <w:pPr>
              <w:spacing w:after="0" w:line="276" w:lineRule="exact"/>
              <w:rPr>
                <w:sz w:val="20"/>
                <w:szCs w:val="20"/>
                <w:color w:val="auto"/>
              </w:rPr>
            </w:pPr>
            <w:r>
              <w:rPr>
                <w:rFonts w:ascii="Arial" w:cs="Arial" w:eastAsia="Arial" w:hAnsi="Arial"/>
                <w:sz w:val="20"/>
                <w:szCs w:val="20"/>
                <w:color w:val="auto"/>
              </w:rPr>
              <w:t xml:space="preserve">Direct material costs </w:t>
            </w:r>
            <w:r>
              <w:rPr>
                <w:rFonts w:ascii="Arial" w:cs="Arial" w:eastAsia="Arial" w:hAnsi="Arial"/>
                <w:sz w:val="25"/>
                <w:szCs w:val="25"/>
                <w:color w:val="auto"/>
                <w:vertAlign w:val="superscript"/>
              </w:rPr>
              <w:t>(e)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161,796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21,440</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58,410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32,729</w:t>
            </w:r>
          </w:p>
        </w:tc>
        <w:tc>
          <w:tcPr>
            <w:tcW w:w="0" w:type="dxa"/>
            <w:vAlign w:val="bottom"/>
          </w:tcPr>
          <w:p>
            <w:pPr>
              <w:spacing w:after="0"/>
              <w:rPr>
                <w:sz w:val="1"/>
                <w:szCs w:val="1"/>
                <w:color w:val="auto"/>
              </w:rPr>
            </w:pPr>
          </w:p>
        </w:tc>
      </w:tr>
      <w:tr>
        <w:trPr>
          <w:trHeight w:val="240"/>
        </w:trPr>
        <w:tc>
          <w:tcPr>
            <w:tcW w:w="3140" w:type="dxa"/>
            <w:vAlign w:val="bottom"/>
            <w:gridSpan w:val="2"/>
          </w:tcPr>
          <w:p>
            <w:pPr>
              <w:ind w:left="480"/>
              <w:spacing w:after="0"/>
              <w:rPr>
                <w:sz w:val="20"/>
                <w:szCs w:val="20"/>
                <w:color w:val="auto"/>
              </w:rPr>
            </w:pPr>
            <w:r>
              <w:rPr>
                <w:rFonts w:ascii="Arial" w:cs="Arial" w:eastAsia="Arial" w:hAnsi="Arial"/>
                <w:sz w:val="20"/>
                <w:szCs w:val="20"/>
                <w:b w:val="1"/>
                <w:bCs w:val="1"/>
                <w:color w:val="auto"/>
              </w:rPr>
              <w:t>Total</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5,885,005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281,661</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541,792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554,865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4,506,687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-1272540</wp:posOffset>
            </wp:positionV>
            <wp:extent cx="6410325" cy="127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223" w:lineRule="exact"/>
        <w:rPr>
          <w:sz w:val="20"/>
          <w:szCs w:val="20"/>
          <w:color w:val="auto"/>
        </w:rPr>
      </w:pPr>
    </w:p>
    <w:p>
      <w:pPr>
        <w:ind w:left="447" w:right="20" w:hanging="447"/>
        <w:spacing w:after="0" w:line="249" w:lineRule="auto"/>
        <w:tabs>
          <w:tab w:leader="none" w:pos="447"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Represents principal and interest payments on the Senior Secured Credit Facilities and Secured Notes. We have calculated the interest payments on the Senior Secured Credit Facilities using an assumed range of 6.91% to 7.84% based on anticipated forward movements in SOFR and the fixed rate of 7.375% for the Secured Notes. In addition, interest payments include the impact of existing interest rate swaps described in Note 20, “Financial Instruments and Financial Risk” in the notes to consolidated financial statements.</w:t>
      </w:r>
    </w:p>
    <w:p>
      <w:pPr>
        <w:spacing w:after="0" w:line="2" w:lineRule="exact"/>
        <w:rPr>
          <w:rFonts w:ascii="Arial" w:cs="Arial" w:eastAsia="Arial" w:hAnsi="Arial"/>
          <w:sz w:val="20"/>
          <w:szCs w:val="20"/>
          <w:color w:val="auto"/>
        </w:rPr>
      </w:pPr>
    </w:p>
    <w:p>
      <w:pPr>
        <w:ind w:left="447" w:hanging="447"/>
        <w:spacing w:after="0"/>
        <w:tabs>
          <w:tab w:leader="none" w:pos="447"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Consists of payments under our finance leases for various facilities and equipment.</w:t>
      </w:r>
    </w:p>
    <w:p>
      <w:pPr>
        <w:spacing w:after="0" w:line="5" w:lineRule="exact"/>
        <w:rPr>
          <w:rFonts w:ascii="Arial" w:cs="Arial" w:eastAsia="Arial" w:hAnsi="Arial"/>
          <w:sz w:val="20"/>
          <w:szCs w:val="20"/>
          <w:color w:val="auto"/>
        </w:rPr>
      </w:pPr>
    </w:p>
    <w:p>
      <w:pPr>
        <w:ind w:left="447" w:right="640" w:hanging="447"/>
        <w:spacing w:after="0" w:line="245" w:lineRule="auto"/>
        <w:tabs>
          <w:tab w:leader="none" w:pos="447"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Represents minimum lease payments under our operating leases for several of our facilities and other property and equipment.</w:t>
      </w:r>
    </w:p>
    <w:p>
      <w:pPr>
        <w:ind w:left="447" w:right="300" w:hanging="447"/>
        <w:spacing w:after="0" w:line="245" w:lineRule="auto"/>
        <w:tabs>
          <w:tab w:leader="none" w:pos="447" w:val="left"/>
        </w:tabs>
        <w:numPr>
          <w:ilvl w:val="0"/>
          <w:numId w:val="34"/>
        </w:numPr>
        <w:rPr>
          <w:rFonts w:ascii="Arial" w:cs="Arial" w:eastAsia="Arial" w:hAnsi="Arial"/>
          <w:sz w:val="20"/>
          <w:szCs w:val="20"/>
          <w:color w:val="auto"/>
        </w:rPr>
      </w:pPr>
      <w:r>
        <w:rPr>
          <w:rFonts w:ascii="Arial" w:cs="Arial" w:eastAsia="Arial" w:hAnsi="Arial"/>
          <w:sz w:val="20"/>
          <w:szCs w:val="20"/>
          <w:color w:val="auto"/>
        </w:rPr>
        <w:t>Consists of our best estimate of our obligations under various supply and service agreements, primarily Co-60, that are enforceable and legally binding on us.</w:t>
      </w:r>
    </w:p>
    <w:p>
      <w:pPr>
        <w:ind w:left="447" w:right="60" w:hanging="447"/>
        <w:spacing w:after="0" w:line="296" w:lineRule="auto"/>
        <w:tabs>
          <w:tab w:leader="none" w:pos="447"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135" w:lineRule="exact"/>
        <w:rPr>
          <w:sz w:val="20"/>
          <w:szCs w:val="20"/>
          <w:color w:val="auto"/>
        </w:rPr>
      </w:pPr>
    </w:p>
    <w:p>
      <w:pPr>
        <w:ind w:left="7"/>
        <w:spacing w:after="0" w:line="249" w:lineRule="auto"/>
        <w:rPr>
          <w:sz w:val="20"/>
          <w:szCs w:val="20"/>
          <w:color w:val="auto"/>
        </w:rPr>
      </w:pPr>
      <w:r>
        <w:rPr>
          <w:rFonts w:ascii="Arial" w:cs="Arial" w:eastAsia="Arial" w:hAnsi="Arial"/>
          <w:sz w:val="20"/>
          <w:szCs w:val="20"/>
          <w:color w:val="auto"/>
        </w:rPr>
        <w:t>At December 31, 2024 and 2023, we had $58.5 million and $67.3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2024 and 2023, $49.1 million and $48.2 million, respectively, of the standby letters of credit and surety bonds referenced above were outstanding in favor of the various local and state licensing authorities in the event we defaulted on our decommissioning obligation.</w:t>
      </w:r>
    </w:p>
    <w:p>
      <w:pPr>
        <w:sectPr>
          <w:pgSz w:w="11880" w:h="15480" w:orient="portrait"/>
          <w:cols w:equalWidth="0" w:num="1">
            <w:col w:w="10047"/>
          </w:cols>
          <w:pgMar w:left="913" w:top="533" w:right="920" w:bottom="0" w:gutter="0" w:footer="0" w:header="0"/>
        </w:sectPr>
      </w:pPr>
    </w:p>
    <w:p>
      <w:pPr>
        <w:spacing w:after="0" w:line="39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10047"/>
          </w:cols>
          <w:pgMar w:left="913" w:top="533" w:right="92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8"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Note 1, “Significant Accounting Policies” to our consolidated financial statements.</w:t>
      </w:r>
    </w:p>
    <w:p>
      <w:pPr>
        <w:spacing w:after="0" w:line="160"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auto"/>
        </w:rPr>
        <w:t>The preparation of consolidated financial statements and related disclosures in conformity with GAAP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92" w:lineRule="exact"/>
        <w:rPr>
          <w:sz w:val="20"/>
          <w:szCs w:val="20"/>
          <w:color w:val="auto"/>
        </w:rPr>
      </w:pPr>
    </w:p>
    <w:p>
      <w:pPr>
        <w:ind w:right="240"/>
        <w:spacing w:after="0" w:line="279"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color w:val="auto"/>
        </w:rPr>
        <w:t>. The majority of our sales agreements contain performance obligations satisfied at a point in time when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control of promised goods or services have transferred to our customers. Revenues recognized over time are generally accounted for using an input measure to determine progress completed as of the end of the period.</w:t>
      </w:r>
    </w:p>
    <w:p>
      <w:pPr>
        <w:spacing w:after="0" w:line="181" w:lineRule="exact"/>
        <w:rPr>
          <w:sz w:val="20"/>
          <w:szCs w:val="20"/>
          <w:color w:val="auto"/>
        </w:rPr>
      </w:pPr>
    </w:p>
    <w:p>
      <w:pPr>
        <w:ind w:right="480"/>
        <w:spacing w:after="0" w:line="271" w:lineRule="auto"/>
        <w:rPr>
          <w:sz w:val="20"/>
          <w:szCs w:val="20"/>
          <w:color w:val="auto"/>
        </w:rPr>
      </w:pPr>
      <w:r>
        <w:rPr>
          <w:rFonts w:ascii="Arial" w:cs="Arial" w:eastAsia="Arial" w:hAnsi="Arial"/>
          <w:sz w:val="20"/>
          <w:szCs w:val="20"/>
          <w:color w:val="auto"/>
        </w:rPr>
        <w:t>Refunds, returns, warranties and other related obligations are not material to any of our business units and we do not incur material incremental costs to secure customer contracts.</w:t>
      </w:r>
    </w:p>
    <w:p>
      <w:pPr>
        <w:spacing w:after="0" w:line="186" w:lineRule="exact"/>
        <w:rPr>
          <w:sz w:val="20"/>
          <w:szCs w:val="20"/>
          <w:color w:val="auto"/>
        </w:rPr>
      </w:pPr>
    </w:p>
    <w:p>
      <w:pPr>
        <w:ind w:right="280"/>
        <w:spacing w:after="0" w:line="306" w:lineRule="auto"/>
        <w:rPr>
          <w:sz w:val="20"/>
          <w:szCs w:val="20"/>
          <w:color w:val="auto"/>
        </w:rPr>
      </w:pPr>
      <w:r>
        <w:rPr>
          <w:rFonts w:ascii="Arial" w:cs="Arial" w:eastAsia="Arial" w:hAnsi="Arial"/>
          <w:sz w:val="17"/>
          <w:szCs w:val="17"/>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the approval of our quality assurance process, at which time the service is complete.</w:t>
      </w:r>
    </w:p>
    <w:p>
      <w:pPr>
        <w:spacing w:after="0" w:line="165"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Nordion segment is a provider of Co-60 and gamma irradiation systems, which are key components to the gamma sterilization process. Revenue from the sale of Co-60 radiation sources is recognized at a point-in-time upon satisfaction of our performance obligations for delivery/installation and disposal of existing sources. Revenue from the sale of gamma irradiation systems in our Nordion segment is recognized over time using an input measure of costs incurred and is immaterial to the overall business.</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generally using an input measure of time incurred to determine progress completed at the end of the period. Revenue recognized over time in excess of the amount billed to the customer is recorded as a customer contract asset. When we receive consideration from a customer prior to transferring goods or services under the terms of a sales contract, we record deferred revenue, which represents a contract liability. We utilize our customer relationship management system to assess time incurred and the extent of project completion at the end of the period.</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do not capitalize sales commissions because substantially all of our sales commission programs have an amortization period of one year or less. Furthermore, costs to fulfill a contract are not material.</w:t>
      </w:r>
    </w:p>
    <w:p>
      <w:pPr>
        <w:spacing w:after="0" w:line="186" w:lineRule="exact"/>
        <w:rPr>
          <w:sz w:val="20"/>
          <w:szCs w:val="20"/>
          <w:color w:val="auto"/>
        </w:rPr>
      </w:pPr>
    </w:p>
    <w:p>
      <w:pPr>
        <w:ind w:right="260"/>
        <w:spacing w:after="0" w:line="306" w:lineRule="auto"/>
        <w:rPr>
          <w:sz w:val="20"/>
          <w:szCs w:val="20"/>
          <w:color w:val="auto"/>
        </w:rPr>
      </w:pPr>
      <w:r>
        <w:rPr>
          <w:rFonts w:ascii="Arial" w:cs="Arial" w:eastAsia="Arial" w:hAnsi="Arial"/>
          <w:sz w:val="17"/>
          <w:szCs w:val="17"/>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65" w:lineRule="exact"/>
        <w:rPr>
          <w:sz w:val="20"/>
          <w:szCs w:val="20"/>
          <w:color w:val="auto"/>
        </w:rPr>
      </w:pPr>
    </w:p>
    <w:p>
      <w:pPr>
        <w:jc w:val="both"/>
        <w:ind w:right="40"/>
        <w:spacing w:after="0" w:line="258" w:lineRule="auto"/>
        <w:rPr>
          <w:sz w:val="20"/>
          <w:szCs w:val="20"/>
          <w:color w:val="auto"/>
        </w:rPr>
      </w:pPr>
      <w:r>
        <w:rPr>
          <w:rFonts w:ascii="Arial" w:cs="Arial" w:eastAsia="Arial" w:hAnsi="Arial"/>
          <w:sz w:val="20"/>
          <w:szCs w:val="20"/>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10040"/>
          </w:cols>
          <w:pgMar w:left="920" w:top="527" w:right="920" w:bottom="0" w:gutter="0" w:footer="0" w:header="0"/>
          <w:type w:val="continuous"/>
        </w:sectPr>
      </w:pPr>
    </w:p>
    <w:bookmarkStart w:id="72" w:name="page73"/>
    <w:bookmarkEnd w:id="72"/>
    <w:p>
      <w:pPr>
        <w:spacing w:after="0" w:line="264" w:lineRule="auto"/>
        <w:rPr>
          <w:sz w:val="20"/>
          <w:szCs w:val="20"/>
          <w:color w:val="auto"/>
        </w:rPr>
      </w:pPr>
      <w:r>
        <w:rPr>
          <w:rFonts w:ascii="Arial" w:cs="Arial" w:eastAsia="Arial" w:hAnsi="Arial"/>
          <w:sz w:val="19"/>
          <w:szCs w:val="19"/>
          <w:b w:val="1"/>
          <w:bCs w:val="1"/>
          <w:i w:val="1"/>
          <w:iCs w:val="1"/>
          <w:color w:val="auto"/>
        </w:rPr>
        <w:t>Goodwill and Other Indefinite-Lived Intangibles</w:t>
      </w:r>
      <w:r>
        <w:rPr>
          <w:rFonts w:ascii="Arial" w:cs="Arial" w:eastAsia="Arial" w:hAnsi="Arial"/>
          <w:sz w:val="19"/>
          <w:szCs w:val="19"/>
          <w:color w:val="auto"/>
        </w:rPr>
        <w:t>. Assets and liabilities of a business acquired are accounted for at their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estimated fair values as 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96"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Goodwill and other indefinite-lived intangible assets, primarily certain regulatory licenses and trade names, are tested for impairment annually as of October 1. If circumstances change during interim periods between annual tests that indicate that the carrying amount of such assets may not be recoverable, the Company tests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91" w:lineRule="exact"/>
        <w:rPr>
          <w:sz w:val="20"/>
          <w:szCs w:val="20"/>
          <w:color w:val="auto"/>
        </w:rPr>
      </w:pPr>
    </w:p>
    <w:p>
      <w:pPr>
        <w:ind w:right="260"/>
        <w:spacing w:after="0" w:line="361" w:lineRule="auto"/>
        <w:rPr>
          <w:sz w:val="20"/>
          <w:szCs w:val="20"/>
          <w:color w:val="auto"/>
        </w:rPr>
      </w:pPr>
      <w:r>
        <w:rPr>
          <w:rFonts w:ascii="Arial" w:cs="Arial" w:eastAsia="Arial" w:hAnsi="Arial"/>
          <w:sz w:val="17"/>
          <w:szCs w:val="17"/>
          <w:color w:val="auto"/>
        </w:rPr>
        <w:t>At December 31, 2024, goodwill and intangible assets totaled $1,398.7 million, or 45.5% of our total assets. We consider the impairment analyses of these assets critical because of their quantitative significance to the Company and our segments.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Goodwill is assigned to our segments at December 31, 2024 as follows: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32"/>
              <w:spacing w:after="0"/>
              <w:rPr>
                <w:sz w:val="20"/>
                <w:szCs w:val="20"/>
                <w:color w:val="auto"/>
              </w:rPr>
            </w:pPr>
            <w:r>
              <w:rPr>
                <w:rFonts w:ascii="Arial" w:cs="Arial" w:eastAsia="Arial" w:hAnsi="Arial"/>
                <w:sz w:val="16"/>
                <w:szCs w:val="16"/>
                <w:b w:val="1"/>
                <w:bCs w:val="1"/>
                <w:color w:val="auto"/>
                <w:w w:val="85"/>
              </w:rPr>
              <w:t>Sterigenics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12"/>
              <w:spacing w:after="0"/>
              <w:rPr>
                <w:sz w:val="20"/>
                <w:szCs w:val="20"/>
                <w:color w:val="auto"/>
              </w:rPr>
            </w:pPr>
            <w:r>
              <w:rPr>
                <w:rFonts w:ascii="Arial" w:cs="Arial" w:eastAsia="Arial" w:hAnsi="Arial"/>
                <w:sz w:val="16"/>
                <w:szCs w:val="16"/>
                <w:b w:val="1"/>
                <w:bCs w:val="1"/>
                <w:color w:val="auto"/>
              </w:rPr>
              <w:t>Nordion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92"/>
              <w:spacing w:after="0"/>
              <w:rPr>
                <w:sz w:val="20"/>
                <w:szCs w:val="20"/>
                <w:color w:val="auto"/>
              </w:rPr>
            </w:pPr>
            <w:r>
              <w:rPr>
                <w:rFonts w:ascii="Arial" w:cs="Arial" w:eastAsia="Arial" w:hAnsi="Arial"/>
                <w:sz w:val="16"/>
                <w:szCs w:val="16"/>
                <w:b w:val="1"/>
                <w:bCs w:val="1"/>
                <w:color w:val="auto"/>
                <w:w w:val="84"/>
              </w:rPr>
              <w:t>Nelson Labs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Goodwill at December 31, 2024</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496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653,222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255,485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172,366</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7"/>
              </w:rPr>
              <w:t>$  1,081,073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-208280</wp:posOffset>
            </wp:positionV>
            <wp:extent cx="6382385" cy="215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6382385" cy="215265"/>
                    </a:xfrm>
                    <a:prstGeom prst="rect">
                      <a:avLst/>
                    </a:prstGeom>
                    <a:noFill/>
                  </pic:spPr>
                </pic:pic>
              </a:graphicData>
            </a:graphic>
          </wp:anchor>
        </w:drawing>
      </w:r>
    </w:p>
    <w:p>
      <w:pPr>
        <w:spacing w:after="0" w:line="223"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color w:val="auto"/>
        </w:rPr>
        <w:t>We performed a quantitative assessment of all reporting units (Sterigenics, Nordion and Nelson Labs) as of October 1, 2024. The fair value of each reporting unit was calculated using a discounted cash flow analysis which was dependent on subjective market participant assumptions determined by management. Assumptions used in the analyses included discount rates, revenue growth rates and projected operating cash flows. Estimates of future cash flows are based upon relevant data at a point-in-time, are subject to change, and could vary from actual results. Cash flows are based on recent historical results and are consistent with the Company’s near-term financial forecasts and long-term strategic plans. The estimated fair value of Sterigenics, Nordion and Nelson Labs each exceeded its carrying amount (including goodwill) by an adequate margin to support a positive assertion that goodwill is not impaired as of October 1, 2024. No factors were identified that would result in the potential impairment to the indefinite-lived intangible assets. There have been no other significant events or circumstances that occurred since the annual assessment date of October 1 that would change the conclusions reached above. We provide additional information about our goodwill and other indefinite-lived intangible assets in Note 7, “Goodwill and Other Intangible Assets” to our consolidated financial statements.</w:t>
      </w:r>
    </w:p>
    <w:p>
      <w:pPr>
        <w:spacing w:after="0" w:line="200" w:lineRule="exact"/>
        <w:rPr>
          <w:sz w:val="20"/>
          <w:szCs w:val="20"/>
          <w:color w:val="auto"/>
        </w:rPr>
      </w:pPr>
    </w:p>
    <w:p>
      <w:pPr>
        <w:spacing w:after="0" w:line="213"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We use the liability method of accounting for income taxes whereby we recognize deferred tax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the future tax consequences of temporary differences between the tax bases of assets and liabilities and their reported amounts in the consolidated financial statements. Measurements of deferred taxes requires the use of judgment with respect to the realization of tax basis. We periodically review our deferred tax assets for recoverability and establish a valuation allowance based on historical taxable income, projected future taxable income, expected timing of reversals of existing temporary timing differences and the implementation of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At December 31, 2024 and 2023, we maintained a valuation allowance of $160.6 million and $125.4 million, respectively, against our deferred tax assets, primarily attributable to the excess interest expense on our long-term debt in the United States, as well as state and foreign net operating loss carryforwards.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 Changes in our judgment related to the measurement of deferred tax assets and liabilities could materially impact our results of operations.</w:t>
      </w:r>
    </w:p>
    <w:p>
      <w:pPr>
        <w:spacing w:after="0" w:line="200" w:lineRule="exact"/>
        <w:rPr>
          <w:sz w:val="20"/>
          <w:szCs w:val="20"/>
          <w:color w:val="auto"/>
        </w:rPr>
      </w:pPr>
    </w:p>
    <w:p>
      <w:pPr>
        <w:spacing w:after="0" w:line="208"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meets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w:t>
      </w:r>
    </w:p>
    <w:p>
      <w:pPr>
        <w:sectPr>
          <w:pgSz w:w="11880" w:h="15480" w:orient="portrait"/>
          <w:cols w:equalWidth="0" w:num="1">
            <w:col w:w="10040"/>
          </w:cols>
          <w:pgMar w:left="920" w:top="533" w:right="920" w:bottom="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10040"/>
          </w:cols>
          <w:pgMar w:left="920" w:top="533" w:right="920" w:bottom="0" w:gutter="0" w:footer="0" w:header="0"/>
          <w:type w:val="continuous"/>
        </w:sectPr>
      </w:pPr>
    </w:p>
    <w:bookmarkStart w:id="73" w:name="page74"/>
    <w:bookmarkEnd w:id="73"/>
    <w:p>
      <w:pPr>
        <w:ind w:right="40"/>
        <w:spacing w:after="0" w:line="306" w:lineRule="auto"/>
        <w:rPr>
          <w:sz w:val="20"/>
          <w:szCs w:val="20"/>
          <w:color w:val="auto"/>
        </w:rPr>
      </w:pPr>
      <w:r>
        <w:rPr>
          <w:rFonts w:ascii="Arial" w:cs="Arial" w:eastAsia="Arial" w:hAnsi="Arial"/>
          <w:sz w:val="17"/>
          <w:szCs w:val="17"/>
          <w:color w:val="auto"/>
        </w:rPr>
        <w:t>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Changes in our judgment related to the assessment of uncertain tax positions could materially impact our results of operations.</w:t>
      </w:r>
    </w:p>
    <w:p>
      <w:pPr>
        <w:spacing w:after="0" w:line="165"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We are subject to taxation from federal, state,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Note 10, “Income Taxes” to our consolidated financial statements.</w:t>
      </w:r>
    </w:p>
    <w:p>
      <w:pPr>
        <w:spacing w:after="0" w:line="207"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b w:val="1"/>
          <w:bCs w:val="1"/>
          <w:i w:val="1"/>
          <w:iCs w:val="1"/>
          <w:color w:val="auto"/>
        </w:rPr>
        <w:t>Commitments and Contingencies</w:t>
      </w:r>
      <w:r>
        <w:rPr>
          <w:rFonts w:ascii="Arial" w:cs="Arial" w:eastAsia="Arial" w:hAnsi="Arial"/>
          <w:sz w:val="19"/>
          <w:szCs w:val="19"/>
          <w:color w:val="auto"/>
        </w:rPr>
        <w:t>. We are, and will likely continue to be, involved in a number of legal proceedings,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mass tort),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96"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We record a liability for such contingencies to the extent we conclude that their occurrence is both probable and estimable. If a potentially material loss contingency is not probable, but is reasonably possible, or is probable but cannot be estimated, then the nature of the contingent liability is disclosed within our consolidated financial statements, together with an estimate of the range of possible loss if the range is determinable and material. We consider many factors in making these assessments, including the professional judgment of experienced members of management and our legal counsel. For legal proceedings and claims described within our consolidated financial statements, we have made estimates as to the likelihood of unfavorable outcomes and the amounts of such potential losses, if a range is determinable. While it is not possible to determine the ultimate disposition of each of these matters, the ultimate resolution of pending regulatory and legal matters in future periods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 We record gain contingencies when realized and expected recoveries under applicable insurance contracts when we are assured of recovery. Refer to Note 19, “Commitments and Contingencies,” to our consolidated financial statements.</w:t>
      </w:r>
    </w:p>
    <w:p>
      <w:pPr>
        <w:spacing w:after="0" w:line="200" w:lineRule="exact"/>
        <w:rPr>
          <w:sz w:val="20"/>
          <w:szCs w:val="20"/>
          <w:color w:val="auto"/>
        </w:rPr>
      </w:pPr>
    </w:p>
    <w:p>
      <w:pPr>
        <w:spacing w:after="0" w:line="208" w:lineRule="exact"/>
        <w:rPr>
          <w:sz w:val="20"/>
          <w:szCs w:val="20"/>
          <w:color w:val="auto"/>
        </w:rPr>
      </w:pPr>
    </w:p>
    <w:p>
      <w:pPr>
        <w:ind w:right="420"/>
        <w:spacing w:after="0" w:line="361" w:lineRule="auto"/>
        <w:rPr>
          <w:sz w:val="20"/>
          <w:szCs w:val="20"/>
          <w:color w:val="auto"/>
        </w:rPr>
      </w:pPr>
      <w:r>
        <w:rPr>
          <w:rFonts w:ascii="Arial" w:cs="Arial" w:eastAsia="Arial" w:hAnsi="Arial"/>
          <w:sz w:val="17"/>
          <w:szCs w:val="17"/>
          <w:color w:val="auto"/>
        </w:rPr>
        <w:t>The Company reached agreements to settle approximately 880 pending and threatened EO claims in the State of Illinois on January 9, 2023. Under the binding Settlement Agreements, the Company paid $407.7 million to settle the claims.</w:t>
      </w:r>
    </w:p>
    <w:p>
      <w:pPr>
        <w:spacing w:after="0" w:line="11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On October 16, 2023, the Company reached an agreement to resolve 79 EO claims in the State of Georgia. Under the terms of the agreements, the Company paid $35.0 million to settle the claims.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PRONOUNCEMENTS</w:t>
      </w:r>
    </w:p>
    <w:p>
      <w:pPr>
        <w:spacing w:after="0" w:line="248"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For a description of recent accounting pronouncements applicable to our business, see Note 2, “Recent Accounting Standards”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8"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color w:val="auto"/>
        </w:rPr>
        <w:t>We are exposed to market risks in the ordinary course of business, primarily changes in commodity prices, interest rates and foreign currency exchange rates and regulatory risk.</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248"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10040"/>
          </w:cols>
          <w:pgMar w:left="920" w:top="534" w:right="920" w:bottom="0" w:gutter="0" w:footer="0" w:header="0"/>
          <w:type w:val="continuous"/>
        </w:sectPr>
      </w:pPr>
    </w:p>
    <w:bookmarkStart w:id="74" w:name="page75"/>
    <w:bookmarkEnd w:id="74"/>
    <w:p>
      <w:pPr>
        <w:ind w:right="80"/>
        <w:spacing w:after="0" w:line="266" w:lineRule="auto"/>
        <w:rPr>
          <w:sz w:val="20"/>
          <w:szCs w:val="20"/>
          <w:color w:val="auto"/>
        </w:rPr>
      </w:pPr>
      <w:r>
        <w:rPr>
          <w:rFonts w:ascii="Arial" w:cs="Arial" w:eastAsia="Arial" w:hAnsi="Arial"/>
          <w:sz w:val="19"/>
          <w:szCs w:val="19"/>
          <w:color w:val="auto"/>
        </w:rPr>
        <w:t>We actively seek to manage the risk of fluctuating prices through long-term supply and service contracts. Most of our Sterigenics customer contracts contain provisions that permit us to pass through all or a portion of our supply price increases to our customers, though some of our contracts do not contain these provisions. Even for contracts that do contain these provisions, there is often at least a brief lag between when we incur increased costs for supplies and when we can pass through these costs to our customers. In addition, even when we are contractually permitted to pass on price increases, we may decide not to do so to preserve our sales volumes or for other reasons.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48" w:lineRule="exact"/>
        <w:rPr>
          <w:sz w:val="20"/>
          <w:szCs w:val="20"/>
          <w:color w:val="auto"/>
        </w:rPr>
      </w:pPr>
    </w:p>
    <w:p>
      <w:pPr>
        <w:ind w:right="280"/>
        <w:spacing w:after="0" w:line="258" w:lineRule="auto"/>
        <w:rPr>
          <w:sz w:val="20"/>
          <w:szCs w:val="20"/>
          <w:color w:val="auto"/>
        </w:rPr>
      </w:pPr>
      <w:r>
        <w:rPr>
          <w:rFonts w:ascii="Arial" w:cs="Arial" w:eastAsia="Arial" w:hAnsi="Arial"/>
          <w:sz w:val="20"/>
          <w:szCs w:val="20"/>
          <w:color w:val="auto"/>
        </w:rPr>
        <w:t>We are subject to interest rate risk on borrowings that bear interest at floating rates. From time to time, the Company utilizes interest rate derivatives to reduce the variability of cash flows in the interest payments associated with our variable rate borrowings.</w:t>
      </w:r>
    </w:p>
    <w:p>
      <w:pPr>
        <w:spacing w:after="0" w:line="199"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In March 2023, we entered into an interest rate swap agreement with a notional amount of $400.0 million. The interest rate swap’s effective date began on August 23, 2023 and expires on August 23, 2025. We designated the interest rate swap as a cash flow hedge designed to hedge the variability of cash flows attributable to changes in the SOFR benchmark interest rate of our Term Loan. We receive interest at the one-month Term SOFR rate and pay a fixed interest rate under the terms of the swap agreement.</w:t>
      </w:r>
    </w:p>
    <w:p>
      <w:pPr>
        <w:spacing w:after="0" w:line="209"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In May 2022, we entered into two interest rate cap agreements with a combined notional amount of $1,000.0 million for a total option premium of $4.1 million. The interest rate caps became effective as of July 31, 2023 and expired on July 31, 2024. We designated these interest rate caps as cash flow hedges that were designed to hedge the variability of cash flows attributable to changes in the benchmark interest rate of our Term Loan. Under the current terms of the loan agreement, the benchmark interest rate index transitioned from LIBOR to Term SOFR on June 30, 2023. Accordingly, the interest rate cap agreements hedged the variability of cash flows attributable to changes in SOFR by limiting our cash flow exposure related to Term SOFR under a portion of our variable rate borrowings to 3.5%.</w:t>
      </w:r>
    </w:p>
    <w:p>
      <w:pPr>
        <w:spacing w:after="0" w:line="199"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Based on our indebtedness outstanding as of December 31, 2024, the interest rate under our Term Loans that was in effect on December 31, 2024, and after applying the effects of interest rate caps and the swap referenced above, a 1.0% increase in the interest rate under our outstanding debt obligations as of December 31, 2024, would increase interest expense by approximately $11.1 million per year.</w:t>
      </w:r>
    </w:p>
    <w:p>
      <w:pPr>
        <w:spacing w:after="0" w:line="202"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See Note 20, “Financial Instruments and Financial Risk” to our consolidated financial statements for a summary of the activity of the interest rate caps for the periods presented.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Exchange Rate Risk</w:t>
      </w:r>
    </w:p>
    <w:p>
      <w:pPr>
        <w:spacing w:after="0" w:line="248"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assets, liabilities, revenues, expenses and other figures presented in our consolidated financial statements, even if their value has not changed in their local currencies.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200" w:lineRule="exact"/>
        <w:rPr>
          <w:sz w:val="20"/>
          <w:szCs w:val="20"/>
          <w:color w:val="auto"/>
        </w:rPr>
      </w:pPr>
    </w:p>
    <w:p>
      <w:pPr>
        <w:spacing w:after="0" w:line="210"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loss (gain).</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10040"/>
          </w:cols>
          <w:pgMar w:left="920" w:top="534" w:right="920" w:bottom="0" w:gutter="0" w:footer="0" w:header="0"/>
          <w:type w:val="continuous"/>
        </w:sectPr>
      </w:pPr>
    </w:p>
    <w:bookmarkStart w:id="75" w:name="page76"/>
    <w:bookmarkEnd w:id="75"/>
    <w:p>
      <w:pPr>
        <w:ind w:right="280"/>
        <w:spacing w:after="0" w:line="312" w:lineRule="auto"/>
        <w:rPr>
          <w:sz w:val="20"/>
          <w:szCs w:val="20"/>
          <w:color w:val="auto"/>
        </w:rPr>
      </w:pPr>
      <w:r>
        <w:rPr>
          <w:rFonts w:ascii="Arial" w:cs="Arial" w:eastAsia="Arial" w:hAnsi="Arial"/>
          <w:sz w:val="17"/>
          <w:szCs w:val="17"/>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The net fair value of the outstanding foreign currency forward contracts was $0.1 million as of each of the years ended December 31, 2024 and 2023.</w:t>
      </w:r>
    </w:p>
    <w:p>
      <w:pPr>
        <w:spacing w:after="0" w:line="160" w:lineRule="exact"/>
        <w:rPr>
          <w:sz w:val="20"/>
          <w:szCs w:val="20"/>
          <w:color w:val="auto"/>
        </w:rPr>
      </w:pPr>
    </w:p>
    <w:p>
      <w:pPr>
        <w:jc w:val="both"/>
        <w:ind w:right="160"/>
        <w:spacing w:after="0" w:line="312" w:lineRule="auto"/>
        <w:rPr>
          <w:sz w:val="20"/>
          <w:szCs w:val="20"/>
          <w:color w:val="auto"/>
        </w:rPr>
      </w:pPr>
      <w:r>
        <w:rPr>
          <w:rFonts w:ascii="Arial" w:cs="Arial" w:eastAsia="Arial" w:hAnsi="Arial"/>
          <w:sz w:val="17"/>
          <w:szCs w:val="17"/>
          <w:color w:val="auto"/>
        </w:rPr>
        <w:t>Approximately 44.0% of our revenues and 47.3% of our consolidated total assets as of December 31, 2024 were derived from operations outside the United States. Holding other variables constant (such as interest rates and debt levels), if the U.S. dollar had appreciated by 10% against the foreign currencies used by our operations in the year ended December 31, 2024, revenues would have been reduced by approximately $48.4 million and gross profit by approximately $26.1 million.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Risk</w:t>
      </w:r>
    </w:p>
    <w:p>
      <w:pPr>
        <w:spacing w:after="0" w:line="248"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are subject to extensive regulatory requirements and routine regulatory audits, and we must receive permits, licenses, and/or regulatory clearance or approval for numerous aspects of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any of which could impact our ability to provide our services. Our failure to comply with the regulatory requirements of these agencies may subject us to administratively or judicially imposed sanctions. These sanctions could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ectPr>
          <w:pgSz w:w="11880" w:h="15480" w:orient="portrait"/>
          <w:cols w:equalWidth="0" w:num="1">
            <w:col w:w="10040"/>
          </w:cols>
          <w:pgMar w:left="920"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10040"/>
          </w:cols>
          <w:pgMar w:left="920" w:top="534" w:right="920"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59"/>
        </w:trPr>
        <w:tc>
          <w:tcPr>
            <w:tcW w:w="9660" w:type="dxa"/>
            <w:vAlign w:val="bottom"/>
            <w:gridSpan w:val="9"/>
          </w:tcPr>
          <w:p>
            <w:pPr>
              <w:spacing w:after="0"/>
              <w:rPr>
                <w:sz w:val="20"/>
                <w:szCs w:val="20"/>
                <w:color w:val="auto"/>
              </w:rPr>
            </w:pPr>
            <w:r>
              <w:rPr>
                <w:rFonts w:ascii="Arial" w:cs="Arial" w:eastAsia="Arial" w:hAnsi="Arial"/>
                <w:sz w:val="20"/>
                <w:szCs w:val="20"/>
                <w:b w:val="1"/>
                <w:bCs w:val="1"/>
                <w:color w:val="auto"/>
              </w:rPr>
              <w:t>Item 8. Financial Statements and Supplementary Data</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70"/>
        </w:trPr>
        <w:tc>
          <w:tcPr>
            <w:tcW w:w="9660" w:type="dxa"/>
            <w:vAlign w:val="bottom"/>
            <w:gridSpan w:val="9"/>
          </w:tcPr>
          <w:p>
            <w:pPr>
              <w:spacing w:after="0"/>
              <w:rPr>
                <w:sz w:val="20"/>
                <w:szCs w:val="20"/>
                <w:color w:val="auto"/>
              </w:rPr>
            </w:pPr>
            <w:r>
              <w:rPr>
                <w:rFonts w:ascii="Arial" w:cs="Arial" w:eastAsia="Arial" w:hAnsi="Arial"/>
                <w:sz w:val="20"/>
                <w:szCs w:val="20"/>
                <w:b w:val="1"/>
                <w:bCs w:val="1"/>
                <w:color w:val="auto"/>
              </w:rPr>
              <w:t>INDEX TO CONSOLIDATED FINANCIAL STATEMENTS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2"/>
        </w:trPr>
        <w:tc>
          <w:tcPr>
            <w:tcW w:w="9660" w:type="dxa"/>
            <w:vAlign w:val="bottom"/>
            <w:gridSpan w:val="9"/>
          </w:tcPr>
          <w:p>
            <w:pPr>
              <w:ind w:left="40"/>
              <w:spacing w:after="0"/>
              <w:rPr>
                <w:sz w:val="20"/>
                <w:szCs w:val="20"/>
                <w:color w:val="auto"/>
              </w:rPr>
            </w:pPr>
            <w:r>
              <w:rPr>
                <w:rFonts w:ascii="Arial" w:cs="Arial" w:eastAsia="Arial" w:hAnsi="Arial"/>
                <w:sz w:val="20"/>
                <w:szCs w:val="20"/>
                <w:b w:val="1"/>
                <w:bCs w:val="1"/>
                <w:color w:val="auto"/>
              </w:rPr>
              <w:t>Consolidated Financial Statements of Sotera Health Company</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520" w:type="dxa"/>
            <w:vAlign w:val="bottom"/>
          </w:tcPr>
          <w:p>
            <w:pPr>
              <w:spacing w:after="0"/>
              <w:rPr>
                <w:sz w:val="20"/>
                <w:szCs w:val="20"/>
                <w:color w:val="auto"/>
              </w:rPr>
            </w:pPr>
          </w:p>
        </w:tc>
        <w:tc>
          <w:tcPr>
            <w:tcW w:w="5980" w:type="dxa"/>
            <w:vAlign w:val="bottom"/>
            <w:gridSpan w:val="7"/>
          </w:tcPr>
          <w:p>
            <w:pPr>
              <w:spacing w:after="0"/>
              <w:rPr>
                <w:sz w:val="20"/>
                <w:szCs w:val="20"/>
                <w:color w:val="auto"/>
              </w:rPr>
            </w:pPr>
            <w:r>
              <w:rPr>
                <w:rFonts w:ascii="Arial" w:cs="Arial" w:eastAsia="Arial" w:hAnsi="Arial"/>
                <w:sz w:val="20"/>
                <w:szCs w:val="20"/>
                <w:color w:val="1C2790"/>
                <w:w w:val="90"/>
              </w:rPr>
              <w:t>Report of Independent Registered Public Accounting Firm (PCAOB ID: 42)</w:t>
            </w:r>
          </w:p>
        </w:tc>
        <w:tc>
          <w:tcPr>
            <w:tcW w:w="316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20"/>
                <w:szCs w:val="20"/>
                <w:color w:val="1C2790"/>
                <w:w w:val="89"/>
              </w:rPr>
              <w:t>70</w:t>
            </w:r>
          </w:p>
        </w:tc>
        <w:tc>
          <w:tcPr>
            <w:tcW w:w="40" w:type="dxa"/>
            <w:vAlign w:val="bottom"/>
          </w:tcPr>
          <w:p>
            <w:pPr>
              <w:spacing w:after="0"/>
              <w:rPr>
                <w:sz w:val="20"/>
                <w:szCs w:val="20"/>
                <w:color w:val="auto"/>
              </w:rPr>
            </w:pPr>
          </w:p>
        </w:tc>
      </w:tr>
      <w:tr>
        <w:trPr>
          <w:trHeight w:val="20"/>
        </w:trPr>
        <w:tc>
          <w:tcPr>
            <w:tcW w:w="520" w:type="dxa"/>
            <w:vAlign w:val="bottom"/>
          </w:tcPr>
          <w:p>
            <w:pPr>
              <w:spacing w:after="0" w:line="20" w:lineRule="exact"/>
              <w:rPr>
                <w:sz w:val="1"/>
                <w:szCs w:val="1"/>
                <w:color w:val="auto"/>
              </w:rPr>
            </w:pPr>
          </w:p>
        </w:tc>
        <w:tc>
          <w:tcPr>
            <w:tcW w:w="226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300" w:type="dxa"/>
            <w:vAlign w:val="bottom"/>
            <w:shd w:val="clear" w:color="auto" w:fill="1C2790"/>
          </w:tcPr>
          <w:p>
            <w:pPr>
              <w:spacing w:after="0" w:line="20" w:lineRule="exact"/>
              <w:rPr>
                <w:sz w:val="1"/>
                <w:szCs w:val="1"/>
                <w:color w:val="auto"/>
              </w:rPr>
            </w:pPr>
          </w:p>
        </w:tc>
        <w:tc>
          <w:tcPr>
            <w:tcW w:w="420" w:type="dxa"/>
            <w:vAlign w:val="bottom"/>
            <w:shd w:val="clear" w:color="auto" w:fill="1C2790"/>
          </w:tcPr>
          <w:p>
            <w:pPr>
              <w:spacing w:after="0" w:line="20" w:lineRule="exact"/>
              <w:rPr>
                <w:sz w:val="1"/>
                <w:szCs w:val="1"/>
                <w:color w:val="auto"/>
              </w:rPr>
            </w:pPr>
          </w:p>
        </w:tc>
        <w:tc>
          <w:tcPr>
            <w:tcW w:w="1980" w:type="dxa"/>
            <w:vAlign w:val="bottom"/>
            <w:shd w:val="clear" w:color="auto" w:fill="1C2790"/>
          </w:tcPr>
          <w:p>
            <w:pPr>
              <w:spacing w:after="0" w:line="20" w:lineRule="exact"/>
              <w:rPr>
                <w:sz w:val="1"/>
                <w:szCs w:val="1"/>
                <w:color w:val="auto"/>
              </w:rPr>
            </w:pPr>
          </w:p>
        </w:tc>
        <w:tc>
          <w:tcPr>
            <w:tcW w:w="160" w:type="dxa"/>
            <w:vAlign w:val="bottom"/>
            <w:shd w:val="clear" w:color="auto" w:fill="1C279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20" w:type="dxa"/>
            <w:vAlign w:val="bottom"/>
          </w:tcPr>
          <w:p>
            <w:pPr>
              <w:spacing w:after="0"/>
              <w:rPr>
                <w:sz w:val="22"/>
                <w:szCs w:val="22"/>
                <w:color w:val="auto"/>
              </w:rPr>
            </w:pPr>
          </w:p>
        </w:tc>
        <w:tc>
          <w:tcPr>
            <w:tcW w:w="5980" w:type="dxa"/>
            <w:vAlign w:val="bottom"/>
            <w:gridSpan w:val="7"/>
          </w:tcPr>
          <w:p>
            <w:pPr>
              <w:spacing w:after="0"/>
              <w:rPr>
                <w:sz w:val="20"/>
                <w:szCs w:val="20"/>
                <w:color w:val="auto"/>
              </w:rPr>
            </w:pPr>
            <w:r>
              <w:rPr>
                <w:rFonts w:ascii="Arial" w:cs="Arial" w:eastAsia="Arial" w:hAnsi="Arial"/>
                <w:sz w:val="20"/>
                <w:szCs w:val="20"/>
                <w:color w:val="1C2790"/>
              </w:rPr>
              <w:t>Consolidated Balance Sheets</w:t>
            </w:r>
          </w:p>
        </w:tc>
        <w:tc>
          <w:tcPr>
            <w:tcW w:w="316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20"/>
                <w:szCs w:val="20"/>
                <w:color w:val="1C2790"/>
                <w:w w:val="89"/>
              </w:rPr>
              <w:t>72</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2260" w:type="dxa"/>
            <w:vAlign w:val="bottom"/>
            <w:shd w:val="clear" w:color="auto" w:fill="1C279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20" w:type="dxa"/>
            <w:vAlign w:val="bottom"/>
          </w:tcPr>
          <w:p>
            <w:pPr>
              <w:spacing w:after="0"/>
              <w:rPr>
                <w:sz w:val="22"/>
                <w:szCs w:val="22"/>
                <w:color w:val="auto"/>
              </w:rPr>
            </w:pPr>
          </w:p>
        </w:tc>
        <w:tc>
          <w:tcPr>
            <w:tcW w:w="9140" w:type="dxa"/>
            <w:vAlign w:val="bottom"/>
            <w:gridSpan w:val="8"/>
          </w:tcPr>
          <w:p>
            <w:pPr>
              <w:spacing w:after="0"/>
              <w:rPr>
                <w:sz w:val="20"/>
                <w:szCs w:val="20"/>
                <w:color w:val="auto"/>
              </w:rPr>
            </w:pPr>
            <w:r>
              <w:rPr>
                <w:rFonts w:ascii="Arial" w:cs="Arial" w:eastAsia="Arial" w:hAnsi="Arial"/>
                <w:sz w:val="20"/>
                <w:szCs w:val="20"/>
                <w:color w:val="1C2790"/>
              </w:rPr>
              <w:t>Consolidated Statements of Operations and Comprehensive Income (Loss)</w:t>
            </w:r>
          </w:p>
        </w:tc>
        <w:tc>
          <w:tcPr>
            <w:tcW w:w="200" w:type="dxa"/>
            <w:vAlign w:val="bottom"/>
          </w:tcPr>
          <w:p>
            <w:pPr>
              <w:jc w:val="center"/>
              <w:spacing w:after="0"/>
              <w:rPr>
                <w:sz w:val="20"/>
                <w:szCs w:val="20"/>
                <w:color w:val="auto"/>
              </w:rPr>
            </w:pPr>
            <w:r>
              <w:rPr>
                <w:rFonts w:ascii="Arial" w:cs="Arial" w:eastAsia="Arial" w:hAnsi="Arial"/>
                <w:sz w:val="20"/>
                <w:szCs w:val="20"/>
                <w:color w:val="1C2790"/>
                <w:w w:val="89"/>
              </w:rPr>
              <w:t>73</w:t>
            </w:r>
          </w:p>
        </w:tc>
        <w:tc>
          <w:tcPr>
            <w:tcW w:w="40" w:type="dxa"/>
            <w:vAlign w:val="bottom"/>
          </w:tcPr>
          <w:p>
            <w:pPr>
              <w:spacing w:after="0"/>
              <w:rPr>
                <w:sz w:val="22"/>
                <w:szCs w:val="22"/>
                <w:color w:val="auto"/>
              </w:rPr>
            </w:pPr>
          </w:p>
        </w:tc>
      </w:tr>
      <w:tr>
        <w:trPr>
          <w:trHeight w:val="20"/>
        </w:trPr>
        <w:tc>
          <w:tcPr>
            <w:tcW w:w="520" w:type="dxa"/>
            <w:vAlign w:val="bottom"/>
            <w:tcBorders>
              <w:right w:val="single" w:sz="8" w:color="1C2790"/>
            </w:tcBorders>
          </w:tcPr>
          <w:p>
            <w:pPr>
              <w:spacing w:after="0" w:line="20" w:lineRule="exact"/>
              <w:rPr>
                <w:sz w:val="1"/>
                <w:szCs w:val="1"/>
                <w:color w:val="auto"/>
              </w:rPr>
            </w:pPr>
          </w:p>
        </w:tc>
        <w:tc>
          <w:tcPr>
            <w:tcW w:w="2720" w:type="dxa"/>
            <w:vAlign w:val="bottom"/>
            <w:gridSpan w:val="2"/>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300" w:type="dxa"/>
            <w:vAlign w:val="bottom"/>
            <w:shd w:val="clear" w:color="auto" w:fill="1C2790"/>
          </w:tcPr>
          <w:p>
            <w:pPr>
              <w:spacing w:after="0" w:line="20" w:lineRule="exact"/>
              <w:rPr>
                <w:sz w:val="1"/>
                <w:szCs w:val="1"/>
                <w:color w:val="auto"/>
              </w:rPr>
            </w:pPr>
          </w:p>
        </w:tc>
        <w:tc>
          <w:tcPr>
            <w:tcW w:w="420" w:type="dxa"/>
            <w:vAlign w:val="bottom"/>
            <w:shd w:val="clear" w:color="auto" w:fill="1C2790"/>
          </w:tcPr>
          <w:p>
            <w:pPr>
              <w:spacing w:after="0" w:line="20" w:lineRule="exact"/>
              <w:rPr>
                <w:sz w:val="1"/>
                <w:szCs w:val="1"/>
                <w:color w:val="auto"/>
              </w:rPr>
            </w:pPr>
          </w:p>
        </w:tc>
        <w:tc>
          <w:tcPr>
            <w:tcW w:w="1980" w:type="dxa"/>
            <w:vAlign w:val="bottom"/>
            <w:shd w:val="clear" w:color="auto" w:fill="1C279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20" w:type="dxa"/>
            <w:vAlign w:val="bottom"/>
          </w:tcPr>
          <w:p>
            <w:pPr>
              <w:spacing w:after="0"/>
              <w:rPr>
                <w:sz w:val="22"/>
                <w:szCs w:val="22"/>
                <w:color w:val="auto"/>
              </w:rPr>
            </w:pPr>
          </w:p>
        </w:tc>
        <w:tc>
          <w:tcPr>
            <w:tcW w:w="3120" w:type="dxa"/>
            <w:vAlign w:val="bottom"/>
            <w:gridSpan w:val="3"/>
          </w:tcPr>
          <w:p>
            <w:pPr>
              <w:spacing w:after="0"/>
              <w:rPr>
                <w:sz w:val="20"/>
                <w:szCs w:val="20"/>
                <w:color w:val="auto"/>
              </w:rPr>
            </w:pPr>
            <w:r>
              <w:rPr>
                <w:rFonts w:ascii="Arial" w:cs="Arial" w:eastAsia="Arial" w:hAnsi="Arial"/>
                <w:sz w:val="20"/>
                <w:szCs w:val="20"/>
                <w:color w:val="1C2790"/>
                <w:w w:val="87"/>
              </w:rPr>
              <w:t>Consolidated Statements of Cash Flows</w:t>
            </w:r>
          </w:p>
        </w:tc>
        <w:tc>
          <w:tcPr>
            <w:tcW w:w="2700" w:type="dxa"/>
            <w:vAlign w:val="bottom"/>
            <w:gridSpan w:val="3"/>
          </w:tcPr>
          <w:p>
            <w:pPr>
              <w:spacing w:after="0"/>
              <w:rPr>
                <w:sz w:val="22"/>
                <w:szCs w:val="22"/>
                <w:color w:val="auto"/>
              </w:rPr>
            </w:pPr>
          </w:p>
        </w:tc>
        <w:tc>
          <w:tcPr>
            <w:tcW w:w="3320" w:type="dxa"/>
            <w:vAlign w:val="bottom"/>
            <w:gridSpan w:val="2"/>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20"/>
                <w:szCs w:val="20"/>
                <w:color w:val="1C2790"/>
                <w:w w:val="89"/>
              </w:rPr>
              <w:t>74</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2720" w:type="dxa"/>
            <w:vAlign w:val="bottom"/>
            <w:gridSpan w:val="2"/>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20" w:type="dxa"/>
            <w:vAlign w:val="bottom"/>
          </w:tcPr>
          <w:p>
            <w:pPr>
              <w:spacing w:after="0"/>
              <w:rPr>
                <w:sz w:val="22"/>
                <w:szCs w:val="22"/>
                <w:color w:val="auto"/>
              </w:rPr>
            </w:pPr>
          </w:p>
        </w:tc>
        <w:tc>
          <w:tcPr>
            <w:tcW w:w="2720" w:type="dxa"/>
            <w:vAlign w:val="bottom"/>
            <w:gridSpan w:val="2"/>
          </w:tcPr>
          <w:p>
            <w:pPr>
              <w:spacing w:after="0"/>
              <w:rPr>
                <w:sz w:val="20"/>
                <w:szCs w:val="20"/>
                <w:color w:val="auto"/>
              </w:rPr>
            </w:pPr>
            <w:r>
              <w:rPr>
                <w:rFonts w:ascii="Arial" w:cs="Arial" w:eastAsia="Arial" w:hAnsi="Arial"/>
                <w:sz w:val="20"/>
                <w:szCs w:val="20"/>
                <w:color w:val="1C2790"/>
                <w:w w:val="87"/>
              </w:rPr>
              <w:t>Consolidated Statements of Equity</w:t>
            </w:r>
          </w:p>
        </w:tc>
        <w:tc>
          <w:tcPr>
            <w:tcW w:w="400" w:type="dxa"/>
            <w:vAlign w:val="bottom"/>
          </w:tcPr>
          <w:p>
            <w:pPr>
              <w:spacing w:after="0"/>
              <w:rPr>
                <w:sz w:val="22"/>
                <w:szCs w:val="22"/>
                <w:color w:val="auto"/>
              </w:rPr>
            </w:pPr>
          </w:p>
        </w:tc>
        <w:tc>
          <w:tcPr>
            <w:tcW w:w="6020" w:type="dxa"/>
            <w:vAlign w:val="bottom"/>
            <w:gridSpan w:val="5"/>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20"/>
                <w:szCs w:val="20"/>
                <w:color w:val="1C2790"/>
                <w:w w:val="89"/>
              </w:rPr>
              <w:t>75</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2720" w:type="dxa"/>
            <w:vAlign w:val="bottom"/>
            <w:gridSpan w:val="2"/>
            <w:shd w:val="clear" w:color="auto" w:fill="1C279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9"/>
        </w:trPr>
        <w:tc>
          <w:tcPr>
            <w:tcW w:w="520" w:type="dxa"/>
            <w:vAlign w:val="bottom"/>
          </w:tcPr>
          <w:p>
            <w:pPr>
              <w:spacing w:after="0"/>
              <w:rPr>
                <w:sz w:val="22"/>
                <w:szCs w:val="22"/>
                <w:color w:val="auto"/>
              </w:rPr>
            </w:pPr>
          </w:p>
        </w:tc>
        <w:tc>
          <w:tcPr>
            <w:tcW w:w="9140" w:type="dxa"/>
            <w:vAlign w:val="bottom"/>
            <w:gridSpan w:val="8"/>
          </w:tcPr>
          <w:p>
            <w:pPr>
              <w:spacing w:after="0"/>
              <w:rPr>
                <w:sz w:val="20"/>
                <w:szCs w:val="20"/>
                <w:color w:val="auto"/>
              </w:rPr>
            </w:pPr>
            <w:r>
              <w:rPr>
                <w:rFonts w:ascii="Arial" w:cs="Arial" w:eastAsia="Arial" w:hAnsi="Arial"/>
                <w:sz w:val="20"/>
                <w:szCs w:val="20"/>
                <w:color w:val="1C2790"/>
              </w:rPr>
              <w:t>Notes to Consolidated Financial Statements</w:t>
            </w:r>
          </w:p>
        </w:tc>
        <w:tc>
          <w:tcPr>
            <w:tcW w:w="200" w:type="dxa"/>
            <w:vAlign w:val="bottom"/>
          </w:tcPr>
          <w:p>
            <w:pPr>
              <w:jc w:val="center"/>
              <w:spacing w:after="0"/>
              <w:rPr>
                <w:sz w:val="20"/>
                <w:szCs w:val="20"/>
                <w:color w:val="auto"/>
              </w:rPr>
            </w:pPr>
            <w:r>
              <w:rPr>
                <w:rFonts w:ascii="Arial" w:cs="Arial" w:eastAsia="Arial" w:hAnsi="Arial"/>
                <w:sz w:val="20"/>
                <w:szCs w:val="20"/>
                <w:color w:val="1C2790"/>
                <w:w w:val="89"/>
              </w:rPr>
              <w:t>76</w:t>
            </w:r>
          </w:p>
        </w:tc>
        <w:tc>
          <w:tcPr>
            <w:tcW w:w="40" w:type="dxa"/>
            <w:vAlign w:val="bottom"/>
          </w:tcPr>
          <w:p>
            <w:pPr>
              <w:spacing w:after="0"/>
              <w:rPr>
                <w:sz w:val="22"/>
                <w:szCs w:val="22"/>
                <w:color w:val="auto"/>
              </w:rPr>
            </w:pPr>
          </w:p>
        </w:tc>
      </w:tr>
      <w:tr>
        <w:trPr>
          <w:trHeight w:val="20"/>
        </w:trPr>
        <w:tc>
          <w:tcPr>
            <w:tcW w:w="520" w:type="dxa"/>
            <w:vAlign w:val="bottom"/>
          </w:tcPr>
          <w:p>
            <w:pPr>
              <w:spacing w:after="0" w:line="20" w:lineRule="exact"/>
              <w:rPr>
                <w:sz w:val="1"/>
                <w:szCs w:val="1"/>
                <w:color w:val="auto"/>
              </w:rPr>
            </w:pPr>
          </w:p>
        </w:tc>
        <w:tc>
          <w:tcPr>
            <w:tcW w:w="3420" w:type="dxa"/>
            <w:vAlign w:val="bottom"/>
            <w:gridSpan w:val="4"/>
            <w:shd w:val="clear" w:color="auto" w:fill="1C279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8"/>
        </w:trPr>
        <w:tc>
          <w:tcPr>
            <w:tcW w:w="9660" w:type="dxa"/>
            <w:vAlign w:val="bottom"/>
            <w:gridSpan w:val="9"/>
          </w:tcPr>
          <w:p>
            <w:pPr>
              <w:ind w:left="40"/>
              <w:spacing w:after="0"/>
              <w:rPr>
                <w:sz w:val="20"/>
                <w:szCs w:val="20"/>
                <w:color w:val="auto"/>
              </w:rPr>
            </w:pPr>
            <w:r>
              <w:rPr>
                <w:rFonts w:ascii="Arial" w:cs="Arial" w:eastAsia="Arial" w:hAnsi="Arial"/>
                <w:sz w:val="20"/>
                <w:szCs w:val="20"/>
                <w:b w:val="1"/>
                <w:bCs w:val="1"/>
                <w:color w:val="auto"/>
              </w:rPr>
              <w:t>Supplementary Data</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1"/>
        </w:trPr>
        <w:tc>
          <w:tcPr>
            <w:tcW w:w="520" w:type="dxa"/>
            <w:vAlign w:val="bottom"/>
          </w:tcPr>
          <w:p>
            <w:pPr>
              <w:spacing w:after="0"/>
              <w:rPr>
                <w:sz w:val="20"/>
                <w:szCs w:val="20"/>
                <w:color w:val="auto"/>
              </w:rPr>
            </w:pPr>
          </w:p>
        </w:tc>
        <w:tc>
          <w:tcPr>
            <w:tcW w:w="9140" w:type="dxa"/>
            <w:vAlign w:val="bottom"/>
            <w:gridSpan w:val="8"/>
          </w:tcPr>
          <w:p>
            <w:pPr>
              <w:spacing w:after="0"/>
              <w:rPr>
                <w:sz w:val="20"/>
                <w:szCs w:val="20"/>
                <w:color w:val="auto"/>
              </w:rPr>
            </w:pPr>
            <w:r>
              <w:rPr>
                <w:rFonts w:ascii="Arial" w:cs="Arial" w:eastAsia="Arial" w:hAnsi="Arial"/>
                <w:sz w:val="20"/>
                <w:szCs w:val="20"/>
                <w:color w:val="1C2790"/>
              </w:rPr>
              <w:t>Schedule II – Valuation and Qualifying Accounts</w:t>
            </w:r>
          </w:p>
        </w:tc>
        <w:tc>
          <w:tcPr>
            <w:tcW w:w="240" w:type="dxa"/>
            <w:vAlign w:val="bottom"/>
            <w:gridSpan w:val="2"/>
          </w:tcPr>
          <w:p>
            <w:pPr>
              <w:jc w:val="center"/>
              <w:spacing w:after="0"/>
              <w:rPr>
                <w:sz w:val="20"/>
                <w:szCs w:val="20"/>
                <w:color w:val="auto"/>
              </w:rPr>
            </w:pPr>
            <w:r>
              <w:rPr>
                <w:rFonts w:ascii="Arial" w:cs="Arial" w:eastAsia="Arial" w:hAnsi="Arial"/>
                <w:sz w:val="20"/>
                <w:szCs w:val="20"/>
                <w:color w:val="1C2790"/>
                <w:w w:val="71"/>
              </w:rPr>
              <w:t>115</w:t>
            </w:r>
          </w:p>
        </w:tc>
      </w:tr>
      <w:tr>
        <w:trPr>
          <w:trHeight w:val="20"/>
        </w:trPr>
        <w:tc>
          <w:tcPr>
            <w:tcW w:w="520" w:type="dxa"/>
            <w:vAlign w:val="bottom"/>
            <w:tcBorders>
              <w:right w:val="single" w:sz="8" w:color="1C2790"/>
            </w:tcBorders>
          </w:tcPr>
          <w:p>
            <w:pPr>
              <w:spacing w:after="0" w:line="20" w:lineRule="exact"/>
              <w:rPr>
                <w:sz w:val="1"/>
                <w:szCs w:val="1"/>
                <w:color w:val="auto"/>
              </w:rPr>
            </w:pPr>
          </w:p>
        </w:tc>
        <w:tc>
          <w:tcPr>
            <w:tcW w:w="2260" w:type="dxa"/>
            <w:vAlign w:val="bottom"/>
            <w:shd w:val="clear" w:color="auto" w:fill="1C2790"/>
          </w:tcPr>
          <w:p>
            <w:pPr>
              <w:spacing w:after="0" w:line="20" w:lineRule="exact"/>
              <w:rPr>
                <w:sz w:val="1"/>
                <w:szCs w:val="1"/>
                <w:color w:val="auto"/>
              </w:rPr>
            </w:pPr>
          </w:p>
        </w:tc>
        <w:tc>
          <w:tcPr>
            <w:tcW w:w="46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300" w:type="dxa"/>
            <w:vAlign w:val="bottom"/>
            <w:shd w:val="clear" w:color="auto" w:fill="1C2790"/>
          </w:tcPr>
          <w:p>
            <w:pPr>
              <w:spacing w:after="0" w:line="20" w:lineRule="exact"/>
              <w:rPr>
                <w:sz w:val="1"/>
                <w:szCs w:val="1"/>
                <w:color w:val="auto"/>
              </w:rPr>
            </w:pPr>
          </w:p>
        </w:tc>
        <w:tc>
          <w:tcPr>
            <w:tcW w:w="420" w:type="dxa"/>
            <w:vAlign w:val="bottom"/>
            <w:shd w:val="clear" w:color="auto" w:fill="1C279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tcBorders>
              <w:right w:val="single" w:sz="8" w:color="1C2790"/>
            </w:tcBorders>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40" w:type="dxa"/>
            <w:vAlign w:val="bottom"/>
            <w:shd w:val="clear" w:color="auto" w:fill="1C279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-1566545</wp:posOffset>
            </wp:positionV>
            <wp:extent cx="6410325" cy="1621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6410325" cy="1621790"/>
                    </a:xfrm>
                    <a:prstGeom prst="rect">
                      <a:avLst/>
                    </a:prstGeom>
                    <a:noFill/>
                  </pic:spPr>
                </pic:pic>
              </a:graphicData>
            </a:graphic>
          </wp:anchor>
        </w:drawing>
      </w:r>
    </w:p>
    <w:p>
      <w:pPr>
        <w:sectPr>
          <w:pgSz w:w="11880" w:h="15480" w:orient="portrait"/>
          <w:cols w:equalWidth="0" w:num="1">
            <w:col w:w="9900"/>
          </w:cols>
          <w:pgMar w:left="920" w:top="527"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00"/>
          </w:cols>
          <w:pgMar w:left="920" w:top="527" w:right="1060" w:bottom="0" w:gutter="0" w:footer="0" w:header="0"/>
          <w:type w:val="continuous"/>
        </w:sectPr>
      </w:pPr>
    </w:p>
    <w:bookmarkStart w:id="77" w:name="page78"/>
    <w:bookmarkEnd w:id="77"/>
    <w:p>
      <w:pPr>
        <w:ind w:right="3340"/>
        <w:spacing w:after="0" w:line="430" w:lineRule="auto"/>
        <w:rPr>
          <w:sz w:val="20"/>
          <w:szCs w:val="20"/>
          <w:color w:val="auto"/>
        </w:rPr>
      </w:pPr>
      <w:r>
        <w:rPr>
          <w:rFonts w:ascii="Arial" w:cs="Arial" w:eastAsia="Arial" w:hAnsi="Arial"/>
          <w:sz w:val="19"/>
          <w:szCs w:val="19"/>
          <w:b w:val="1"/>
          <w:bCs w:val="1"/>
          <w:color w:val="auto"/>
        </w:rPr>
        <w:t xml:space="preserve">REPORT OF INDEPENDENT REGISTERED PUBLIC ACCOUNTING FIRM </w:t>
      </w:r>
      <w:r>
        <w:rPr>
          <w:rFonts w:ascii="Arial" w:cs="Arial" w:eastAsia="Arial" w:hAnsi="Arial"/>
          <w:sz w:val="19"/>
          <w:szCs w:val="19"/>
          <w:color w:val="auto"/>
        </w:rPr>
        <w:t>To the Stockholders and the Board of Directors of Sotera Health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have audited the accompanying consolidated balance sheets of Sotera Health Company (the Company) as of December 31, 2024 and 2023, the related consolidated statements of operations and comprehensive income (loss), equity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1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97" w:lineRule="exact"/>
        <w:rPr>
          <w:sz w:val="20"/>
          <w:szCs w:val="20"/>
          <w:color w:val="auto"/>
        </w:rPr>
      </w:pPr>
    </w:p>
    <w:p>
      <w:pPr>
        <w:jc w:val="center"/>
        <w:ind w:right="560"/>
        <w:spacing w:after="0"/>
        <w:rPr>
          <w:sz w:val="20"/>
          <w:szCs w:val="20"/>
          <w:color w:val="auto"/>
        </w:rPr>
      </w:pPr>
      <w:r>
        <w:rPr>
          <w:rFonts w:ascii="Arial" w:cs="Arial" w:eastAsia="Arial" w:hAnsi="Arial"/>
          <w:sz w:val="20"/>
          <w:szCs w:val="20"/>
          <w:b w:val="1"/>
          <w:bCs w:val="1"/>
          <w:color w:val="auto"/>
        </w:rPr>
        <w:t>Valuation of Nelson Labs Reporting Unit Goodwill</w:t>
      </w:r>
    </w:p>
    <w:p>
      <w:pPr>
        <w:spacing w:after="0" w:line="202" w:lineRule="exact"/>
        <w:rPr>
          <w:sz w:val="20"/>
          <w:szCs w:val="20"/>
          <w:color w:val="auto"/>
        </w:rPr>
      </w:pPr>
    </w:p>
    <w:p>
      <w:pPr>
        <w:ind w:left="2620" w:right="80" w:hanging="2571"/>
        <w:spacing w:after="0" w:line="249" w:lineRule="auto"/>
        <w:tabs>
          <w:tab w:leader="none" w:pos="2600" w:val="left"/>
        </w:tabs>
        <w:rPr>
          <w:sz w:val="20"/>
          <w:szCs w:val="20"/>
          <w:color w:val="auto"/>
        </w:rPr>
      </w:pPr>
      <w:r>
        <w:rPr>
          <w:rFonts w:ascii="Arial" w:cs="Arial" w:eastAsia="Arial" w:hAnsi="Arial"/>
          <w:sz w:val="20"/>
          <w:szCs w:val="20"/>
          <w:b w:val="1"/>
          <w:bCs w:val="1"/>
          <w:i w:val="1"/>
          <w:iCs w:val="1"/>
          <w:color w:val="auto"/>
        </w:rPr>
        <w:t>Description of the Matter</w:t>
      </w:r>
      <w:r>
        <w:rPr>
          <w:sz w:val="20"/>
          <w:szCs w:val="20"/>
          <w:color w:val="auto"/>
        </w:rPr>
        <w:tab/>
      </w:r>
      <w:r>
        <w:rPr>
          <w:rFonts w:ascii="Arial" w:cs="Arial" w:eastAsia="Arial" w:hAnsi="Arial"/>
          <w:sz w:val="20"/>
          <w:szCs w:val="20"/>
          <w:color w:val="auto"/>
        </w:rPr>
        <w:t>As disclosed in Note 7 to the consolidated financial statements, at December 31, 2024, the Company reported $1.1 billion of goodwill; of that, $172.4 million related to the Nelson Labs reporting unit. As explained in Note 1 to the consolidated financial statements, goodwill is tested for impairment annually as of October 1. Management performed a quantitative impairment assessment for its annual evaluation of the Nelson Labs reporting unit in 2024. As part of the quantitative impairment test, management estimated the fair value of the Nelson Labs reporting unit using the discounted cash flow method, a form of the income approach.</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10040"/>
          </w:cols>
          <w:pgMar w:left="920" w:top="527" w:right="920" w:bottom="0" w:gutter="0" w:footer="0" w:header="0"/>
          <w:type w:val="continuous"/>
        </w:sectPr>
      </w:pPr>
    </w:p>
    <w:bookmarkStart w:id="78" w:name="page79"/>
    <w:bookmarkEnd w:id="78"/>
    <w:p>
      <w:pPr>
        <w:ind w:left="2620"/>
        <w:spacing w:after="0" w:line="268" w:lineRule="auto"/>
        <w:rPr>
          <w:sz w:val="20"/>
          <w:szCs w:val="20"/>
          <w:color w:val="auto"/>
        </w:rPr>
      </w:pPr>
      <w:r>
        <w:rPr>
          <w:rFonts w:ascii="Arial" w:cs="Arial" w:eastAsia="Arial" w:hAnsi="Arial"/>
          <w:sz w:val="19"/>
          <w:szCs w:val="19"/>
          <w:color w:val="auto"/>
        </w:rPr>
        <w:t>Auditing the Company’s goodwill impairment assessment for the Nelson Labs reporting unit was complex due to the significant estimation required to determine the fair value of the reporting unit. In particular, this fair value measurement was sensitive to revenue growth rates and projected EBITDA margins. Elements of these assumptions are forward-looking and could be affected by future market or economic conditions.</w:t>
      </w:r>
    </w:p>
    <w:p>
      <w:pPr>
        <w:spacing w:after="0" w:line="131" w:lineRule="exact"/>
        <w:rPr>
          <w:sz w:val="20"/>
          <w:szCs w:val="20"/>
          <w:color w:val="auto"/>
        </w:rPr>
      </w:pPr>
    </w:p>
    <w:p>
      <w:pPr>
        <w:ind w:left="40"/>
        <w:spacing w:after="0"/>
        <w:tabs>
          <w:tab w:leader="none" w:pos="2600" w:val="left"/>
        </w:tabs>
        <w:rPr>
          <w:sz w:val="20"/>
          <w:szCs w:val="20"/>
          <w:color w:val="auto"/>
        </w:rPr>
      </w:pPr>
      <w:r>
        <w:rPr>
          <w:rFonts w:ascii="Arial" w:cs="Arial" w:eastAsia="Arial" w:hAnsi="Arial"/>
          <w:sz w:val="20"/>
          <w:szCs w:val="20"/>
          <w:b w:val="1"/>
          <w:bCs w:val="1"/>
          <w:i w:val="1"/>
          <w:iCs w:val="1"/>
          <w:color w:val="auto"/>
        </w:rPr>
        <w:t>How We Addressed the Matter</w:t>
      </w:r>
      <w:r>
        <w:rPr>
          <w:sz w:val="20"/>
          <w:szCs w:val="20"/>
          <w:color w:val="auto"/>
        </w:rPr>
        <w:tab/>
      </w:r>
      <w:r>
        <w:rPr>
          <w:rFonts w:ascii="Arial" w:cs="Arial" w:eastAsia="Arial" w:hAnsi="Arial"/>
          <w:sz w:val="17"/>
          <w:szCs w:val="17"/>
          <w:color w:val="auto"/>
        </w:rPr>
        <w:t>We obtained an understanding, evaluated the design and tested the operating effectiveness of</w:t>
      </w:r>
    </w:p>
    <w:p>
      <w:pPr>
        <w:spacing w:after="0" w:line="14" w:lineRule="exact"/>
        <w:rPr>
          <w:sz w:val="20"/>
          <w:szCs w:val="20"/>
          <w:color w:val="auto"/>
        </w:rPr>
      </w:pPr>
    </w:p>
    <w:p>
      <w:pPr>
        <w:ind w:left="2620" w:right="20" w:hanging="2571"/>
        <w:spacing w:after="0" w:line="290" w:lineRule="auto"/>
        <w:tabs>
          <w:tab w:leader="none" w:pos="2600" w:val="left"/>
        </w:tabs>
        <w:rPr>
          <w:sz w:val="20"/>
          <w:szCs w:val="20"/>
          <w:color w:val="auto"/>
        </w:rPr>
      </w:pPr>
      <w:r>
        <w:rPr>
          <w:rFonts w:ascii="Arial" w:cs="Arial" w:eastAsia="Arial" w:hAnsi="Arial"/>
          <w:sz w:val="20"/>
          <w:szCs w:val="20"/>
          <w:b w:val="1"/>
          <w:bCs w:val="1"/>
          <w:i w:val="1"/>
          <w:iCs w:val="1"/>
          <w:color w:val="auto"/>
        </w:rPr>
        <w:t>in Our Audit</w:t>
      </w:r>
      <w:r>
        <w:rPr>
          <w:sz w:val="20"/>
          <w:szCs w:val="20"/>
          <w:color w:val="auto"/>
        </w:rPr>
        <w:tab/>
      </w:r>
      <w:r>
        <w:rPr>
          <w:rFonts w:ascii="Arial" w:cs="Arial" w:eastAsia="Arial" w:hAnsi="Arial"/>
          <w:sz w:val="19"/>
          <w:szCs w:val="19"/>
          <w:color w:val="auto"/>
        </w:rPr>
        <w:t>controls over the Company’s goodwill impairment assessment process. This included controls over management's review of the significant assumptions described above.</w:t>
      </w:r>
    </w:p>
    <w:p>
      <w:pPr>
        <w:spacing w:after="0" w:line="171" w:lineRule="exact"/>
        <w:rPr>
          <w:sz w:val="20"/>
          <w:szCs w:val="20"/>
          <w:color w:val="auto"/>
        </w:rPr>
      </w:pPr>
    </w:p>
    <w:p>
      <w:pPr>
        <w:ind w:left="2620" w:right="40"/>
        <w:spacing w:after="0" w:line="295" w:lineRule="auto"/>
        <w:rPr>
          <w:sz w:val="20"/>
          <w:szCs w:val="20"/>
          <w:color w:val="auto"/>
        </w:rPr>
      </w:pPr>
      <w:r>
        <w:rPr>
          <w:rFonts w:ascii="Arial" w:cs="Arial" w:eastAsia="Arial" w:hAnsi="Arial"/>
          <w:sz w:val="17"/>
          <w:szCs w:val="17"/>
          <w:color w:val="auto"/>
        </w:rPr>
        <w:t>To test the estimated fair value of the Nelson Labs reporting unit, we performed audit procedures that included, among others, assessing the valuation methodology, testing the significant assumptions described above, and testing the completeness and accuracy of the underlying data used by the Company in its analysis. As it pertains to the revenue growth rates and projected EBITDA margins, we compared the significant assumptions used by management to current industry data and historical performance. We performed sensitivity analyses of assumptions to evaluate the changes in the fair value of the reporting unit that would result from changes in the assumptions. We evaluated the reconciliation of the fair value of the reporting units to the market capitalization of the Company. We also assessed the appropriateness of the disclosures in the consolidated financial statements. In addition, we involved our valuation specialists to assist with our evaluation of the methodology and significant assumptions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2019.</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Cleveland, Ohio</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2025</w:t>
      </w:r>
    </w:p>
    <w:p>
      <w:pPr>
        <w:sectPr>
          <w:pgSz w:w="11880" w:h="15480" w:orient="portrait"/>
          <w:cols w:equalWidth="0" w:num="1">
            <w:col w:w="10000"/>
          </w:cols>
          <w:pgMar w:left="920" w:top="5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10000"/>
          </w:cols>
          <w:pgMar w:left="920" w:top="586" w:right="960" w:bottom="0" w:gutter="0" w:footer="0" w:header="0"/>
          <w:type w:val="continuous"/>
        </w:sectPr>
      </w:pPr>
    </w:p>
    <w:bookmarkStart w:id="79" w:name="page80"/>
    <w:bookmarkEnd w:id="79"/>
    <w:p>
      <w:pPr>
        <w:ind w:left="4000"/>
        <w:spacing w:after="0"/>
        <w:rPr>
          <w:sz w:val="20"/>
          <w:szCs w:val="20"/>
          <w:color w:val="auto"/>
        </w:rPr>
      </w:pPr>
      <w:r>
        <w:rPr>
          <w:rFonts w:ascii="Arial" w:cs="Arial" w:eastAsia="Arial" w:hAnsi="Arial"/>
          <w:sz w:val="20"/>
          <w:szCs w:val="20"/>
          <w:b w:val="1"/>
          <w:bCs w:val="1"/>
          <w:color w:val="auto"/>
        </w:rPr>
        <w:t>Sotera Health Company</w:t>
      </w:r>
    </w:p>
    <w:p>
      <w:pPr>
        <w:spacing w:after="0" w:line="123"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Consolidated Balance Sheets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per share amounts)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4"/>
          </w:tcPr>
          <w:p>
            <w:pPr>
              <w:jc w:val="right"/>
              <w:ind w:right="50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42"/>
        </w:trPr>
        <w:tc>
          <w:tcPr>
            <w:tcW w:w="75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4"/>
        </w:trPr>
        <w:tc>
          <w:tcPr>
            <w:tcW w:w="75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277,242</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296,407</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Restricted cash short-term</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1,623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5,247</w:t>
            </w:r>
          </w:p>
        </w:tc>
        <w:tc>
          <w:tcPr>
            <w:tcW w:w="0" w:type="dxa"/>
            <w:vAlign w:val="bottom"/>
          </w:tcPr>
          <w:p>
            <w:pPr>
              <w:spacing w:after="0"/>
              <w:rPr>
                <w:sz w:val="1"/>
                <w:szCs w:val="1"/>
                <w:color w:val="auto"/>
              </w:rPr>
            </w:pPr>
          </w:p>
        </w:tc>
      </w:tr>
      <w:tr>
        <w:trPr>
          <w:trHeight w:val="165"/>
        </w:trPr>
        <w:tc>
          <w:tcPr>
            <w:tcW w:w="7540" w:type="dxa"/>
            <w:vAlign w:val="bottom"/>
          </w:tcPr>
          <w:p>
            <w:pPr>
              <w:ind w:left="360"/>
              <w:spacing w:after="0" w:line="165" w:lineRule="exact"/>
              <w:rPr>
                <w:sz w:val="20"/>
                <w:szCs w:val="20"/>
                <w:color w:val="auto"/>
              </w:rPr>
            </w:pPr>
            <w:r>
              <w:rPr>
                <w:rFonts w:ascii="Arial" w:cs="Arial" w:eastAsia="Arial" w:hAnsi="Arial"/>
                <w:sz w:val="16"/>
                <w:szCs w:val="16"/>
                <w:color w:val="auto"/>
                <w:w w:val="90"/>
              </w:rPr>
              <w:t>Accounts receivable, net of allowance for uncollectible accounts of $2,532 and $4,689 as of December 31, 2024</w:t>
            </w:r>
          </w:p>
        </w:tc>
        <w:tc>
          <w:tcPr>
            <w:tcW w:w="280" w:type="dxa"/>
            <w:vAlign w:val="bottom"/>
          </w:tcPr>
          <w:p>
            <w:pPr>
              <w:spacing w:after="0"/>
              <w:rPr>
                <w:sz w:val="14"/>
                <w:szCs w:val="14"/>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140,327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147,696</w:t>
            </w:r>
          </w:p>
        </w:tc>
        <w:tc>
          <w:tcPr>
            <w:tcW w:w="0" w:type="dxa"/>
            <w:vAlign w:val="bottom"/>
          </w:tcPr>
          <w:p>
            <w:pPr>
              <w:spacing w:after="0"/>
              <w:rPr>
                <w:sz w:val="1"/>
                <w:szCs w:val="1"/>
                <w:color w:val="auto"/>
              </w:rPr>
            </w:pPr>
          </w:p>
        </w:tc>
      </w:tr>
      <w:tr>
        <w:trPr>
          <w:trHeight w:val="204"/>
        </w:trPr>
        <w:tc>
          <w:tcPr>
            <w:tcW w:w="7540" w:type="dxa"/>
            <w:vAlign w:val="bottom"/>
          </w:tcPr>
          <w:p>
            <w:pPr>
              <w:ind w:left="360"/>
              <w:spacing w:after="0"/>
              <w:rPr>
                <w:sz w:val="20"/>
                <w:szCs w:val="20"/>
                <w:color w:val="auto"/>
              </w:rPr>
            </w:pPr>
            <w:r>
              <w:rPr>
                <w:rFonts w:ascii="Arial" w:cs="Arial" w:eastAsia="Arial" w:hAnsi="Arial"/>
                <w:sz w:val="16"/>
                <w:szCs w:val="16"/>
                <w:color w:val="auto"/>
              </w:rPr>
              <w:t>and 2023, respectively</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49,158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48,316</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51,031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53,846</w:t>
            </w:r>
          </w:p>
        </w:tc>
        <w:tc>
          <w:tcPr>
            <w:tcW w:w="0" w:type="dxa"/>
            <w:vAlign w:val="bottom"/>
          </w:tcPr>
          <w:p>
            <w:pPr>
              <w:spacing w:after="0"/>
              <w:rPr>
                <w:sz w:val="1"/>
                <w:szCs w:val="1"/>
                <w:color w:val="auto"/>
              </w:rPr>
            </w:pPr>
          </w:p>
        </w:tc>
      </w:tr>
      <w:tr>
        <w:trPr>
          <w:trHeight w:val="242"/>
        </w:trPr>
        <w:tc>
          <w:tcPr>
            <w:tcW w:w="75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6,656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5,732</w:t>
            </w:r>
          </w:p>
        </w:tc>
        <w:tc>
          <w:tcPr>
            <w:tcW w:w="0" w:type="dxa"/>
            <w:vAlign w:val="bottom"/>
          </w:tcPr>
          <w:p>
            <w:pPr>
              <w:spacing w:after="0"/>
              <w:rPr>
                <w:sz w:val="1"/>
                <w:szCs w:val="1"/>
                <w:color w:val="auto"/>
              </w:rPr>
            </w:pPr>
          </w:p>
        </w:tc>
      </w:tr>
      <w:tr>
        <w:trPr>
          <w:trHeight w:val="208"/>
        </w:trPr>
        <w:tc>
          <w:tcPr>
            <w:tcW w:w="7540" w:type="dxa"/>
            <w:vAlign w:val="bottom"/>
          </w:tcPr>
          <w:p>
            <w:pPr>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526,037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557,244</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1,036,892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946,914</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27,551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24,037</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2,865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Post-retirement assets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42,524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28,482</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37,053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41,242</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317,653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416,318</w:t>
            </w:r>
          </w:p>
        </w:tc>
        <w:tc>
          <w:tcPr>
            <w:tcW w:w="0" w:type="dxa"/>
            <w:vAlign w:val="bottom"/>
          </w:tcPr>
          <w:p>
            <w:pPr>
              <w:spacing w:after="0"/>
              <w:rPr>
                <w:sz w:val="1"/>
                <w:szCs w:val="1"/>
                <w:color w:val="auto"/>
              </w:rPr>
            </w:pPr>
          </w:p>
        </w:tc>
      </w:tr>
      <w:tr>
        <w:trPr>
          <w:trHeight w:val="242"/>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1,081,073</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1,111,190</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3,071,648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3,130,420</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55,098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71,039</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90,463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122,471</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15,100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13,492</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14,803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4,797</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Current portion of finance lease obligations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2,923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8,771</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Current portion of operating lease obligations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5,056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5,934</w:t>
            </w:r>
          </w:p>
        </w:tc>
        <w:tc>
          <w:tcPr>
            <w:tcW w:w="0" w:type="dxa"/>
            <w:vAlign w:val="bottom"/>
          </w:tcPr>
          <w:p>
            <w:pPr>
              <w:spacing w:after="0"/>
              <w:rPr>
                <w:sz w:val="1"/>
                <w:szCs w:val="1"/>
                <w:color w:val="auto"/>
              </w:rPr>
            </w:pPr>
          </w:p>
        </w:tc>
      </w:tr>
      <w:tr>
        <w:trPr>
          <w:trHeight w:val="242"/>
        </w:trPr>
        <w:tc>
          <w:tcPr>
            <w:tcW w:w="75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7,559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w:t>
            </w:r>
          </w:p>
        </w:tc>
        <w:tc>
          <w:tcPr>
            <w:tcW w:w="0" w:type="dxa"/>
            <w:vAlign w:val="bottom"/>
          </w:tcPr>
          <w:p>
            <w:pPr>
              <w:spacing w:after="0"/>
              <w:rPr>
                <w:sz w:val="1"/>
                <w:szCs w:val="1"/>
                <w:color w:val="auto"/>
              </w:rPr>
            </w:pPr>
          </w:p>
        </w:tc>
      </w:tr>
      <w:tr>
        <w:trPr>
          <w:trHeight w:val="208"/>
        </w:trPr>
        <w:tc>
          <w:tcPr>
            <w:tcW w:w="75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191,002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230,654</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2,208,100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2,223,674</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Finance lease obligations, less current portion</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95,286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63,793</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Operating lease obligations, less current portion</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24,465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20,087</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Noncurrent asset retirement obligations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49,319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47,944</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Deferred lease income</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16,784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18,762</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Post-retirement obligations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7,863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8,439</w:t>
            </w: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4,418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8,879</w:t>
            </w:r>
          </w:p>
        </w:tc>
        <w:tc>
          <w:tcPr>
            <w:tcW w:w="0" w:type="dxa"/>
            <w:vAlign w:val="bottom"/>
          </w:tcPr>
          <w:p>
            <w:pPr>
              <w:spacing w:after="0"/>
              <w:rPr>
                <w:sz w:val="1"/>
                <w:szCs w:val="1"/>
                <w:color w:val="auto"/>
              </w:rPr>
            </w:pPr>
          </w:p>
        </w:tc>
      </w:tr>
      <w:tr>
        <w:trPr>
          <w:trHeight w:val="242"/>
        </w:trPr>
        <w:tc>
          <w:tcPr>
            <w:tcW w:w="7540" w:type="dxa"/>
            <w:vAlign w:val="bottom"/>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69,500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64,454</w:t>
            </w:r>
          </w:p>
        </w:tc>
        <w:tc>
          <w:tcPr>
            <w:tcW w:w="0" w:type="dxa"/>
            <w:vAlign w:val="bottom"/>
          </w:tcPr>
          <w:p>
            <w:pPr>
              <w:spacing w:after="0"/>
              <w:rPr>
                <w:sz w:val="1"/>
                <w:szCs w:val="1"/>
                <w:color w:val="auto"/>
              </w:rPr>
            </w:pPr>
          </w:p>
        </w:tc>
      </w:tr>
      <w:tr>
        <w:trPr>
          <w:trHeight w:val="208"/>
        </w:trPr>
        <w:tc>
          <w:tcPr>
            <w:tcW w:w="7540" w:type="dxa"/>
            <w:vAlign w:val="bottom"/>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2,666,737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2,686,686</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6"/>
                <w:szCs w:val="16"/>
                <w:color w:val="auto"/>
              </w:rPr>
              <w:t>See Commitments and contingencies note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40" w:type="dxa"/>
            <w:vAlign w:val="bottom"/>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540" w:type="dxa"/>
            <w:vAlign w:val="bottom"/>
          </w:tcPr>
          <w:p>
            <w:pPr>
              <w:ind w:left="360"/>
              <w:spacing w:after="0"/>
              <w:rPr>
                <w:sz w:val="20"/>
                <w:szCs w:val="20"/>
                <w:color w:val="auto"/>
              </w:rPr>
            </w:pPr>
            <w:r>
              <w:rPr>
                <w:rFonts w:ascii="Arial" w:cs="Arial" w:eastAsia="Arial" w:hAnsi="Arial"/>
                <w:sz w:val="16"/>
                <w:szCs w:val="16"/>
                <w:color w:val="auto"/>
                <w:w w:val="89"/>
              </w:rPr>
              <w:t>Common stock, with $0.01 par value, 1,200,000 shares authorized; 286,037 shares issued at December 31, 2024</w:t>
            </w:r>
          </w:p>
        </w:tc>
        <w:tc>
          <w:tcPr>
            <w:tcW w:w="280" w:type="dxa"/>
            <w:vAlign w:val="bottom"/>
          </w:tcPr>
          <w:p>
            <w:pPr>
              <w:spacing w:after="0"/>
              <w:rPr>
                <w:sz w:val="17"/>
                <w:szCs w:val="17"/>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2,860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04"/>
        </w:trPr>
        <w:tc>
          <w:tcPr>
            <w:tcW w:w="7540" w:type="dxa"/>
            <w:vAlign w:val="bottom"/>
          </w:tcPr>
          <w:p>
            <w:pPr>
              <w:ind w:left="540"/>
              <w:spacing w:after="0"/>
              <w:rPr>
                <w:sz w:val="20"/>
                <w:szCs w:val="20"/>
                <w:color w:val="auto"/>
              </w:rPr>
            </w:pPr>
            <w:r>
              <w:rPr>
                <w:rFonts w:ascii="Arial" w:cs="Arial" w:eastAsia="Arial" w:hAnsi="Arial"/>
                <w:sz w:val="16"/>
                <w:szCs w:val="16"/>
                <w:color w:val="auto"/>
              </w:rPr>
              <w:t>and 2023</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40" w:type="dxa"/>
            <w:vAlign w:val="bottom"/>
          </w:tcPr>
          <w:p>
            <w:pPr>
              <w:ind w:left="360"/>
              <w:spacing w:after="0"/>
              <w:rPr>
                <w:sz w:val="20"/>
                <w:szCs w:val="20"/>
                <w:color w:val="auto"/>
              </w:rPr>
            </w:pPr>
            <w:r>
              <w:rPr>
                <w:rFonts w:ascii="Arial" w:cs="Arial" w:eastAsia="Arial" w:hAnsi="Arial"/>
                <w:sz w:val="16"/>
                <w:szCs w:val="16"/>
                <w:color w:val="auto"/>
                <w:w w:val="91"/>
              </w:rPr>
              <w:t>Preferred stock, with $0.01 par value, 120,000 shares authorized; no shares issued at December 31, 2024 and</w:t>
            </w:r>
          </w:p>
        </w:tc>
        <w:tc>
          <w:tcPr>
            <w:tcW w:w="280" w:type="dxa"/>
            <w:vAlign w:val="bottom"/>
          </w:tcPr>
          <w:p>
            <w:pPr>
              <w:spacing w:after="0"/>
              <w:rPr>
                <w:sz w:val="16"/>
                <w:szCs w:val="16"/>
                <w:color w:val="auto"/>
              </w:rPr>
            </w:pP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7540" w:type="dxa"/>
            <w:vAlign w:val="bottom"/>
          </w:tcPr>
          <w:p>
            <w:pPr>
              <w:ind w:left="5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360"/>
              <w:spacing w:after="0"/>
              <w:rPr>
                <w:sz w:val="20"/>
                <w:szCs w:val="20"/>
                <w:color w:val="auto"/>
              </w:rPr>
            </w:pPr>
            <w:r>
              <w:rPr>
                <w:rFonts w:ascii="Arial" w:cs="Arial" w:eastAsia="Arial" w:hAnsi="Arial"/>
                <w:sz w:val="16"/>
                <w:szCs w:val="16"/>
                <w:color w:val="auto"/>
              </w:rPr>
              <w:t>Treasury stock, at cost (2,571 and 3,207 shares at December 31, 2024 and 2023, respectively)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(23,434)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(27,182)</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1,243,778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1,215,178</w:t>
            </w:r>
          </w:p>
        </w:tc>
        <w:tc>
          <w:tcPr>
            <w:tcW w:w="0" w:type="dxa"/>
            <w:vAlign w:val="bottom"/>
          </w:tcPr>
          <w:p>
            <w:pPr>
              <w:spacing w:after="0"/>
              <w:rPr>
                <w:sz w:val="1"/>
                <w:szCs w:val="1"/>
                <w:color w:val="auto"/>
              </w:rPr>
            </w:pPr>
          </w:p>
        </w:tc>
      </w:tr>
      <w:tr>
        <w:trPr>
          <w:trHeight w:val="235"/>
        </w:trPr>
        <w:tc>
          <w:tcPr>
            <w:tcW w:w="7540" w:type="dxa"/>
            <w:vAlign w:val="bottom"/>
          </w:tcPr>
          <w:p>
            <w:pPr>
              <w:ind w:left="360"/>
              <w:spacing w:after="0"/>
              <w:rPr>
                <w:sz w:val="20"/>
                <w:szCs w:val="20"/>
                <w:color w:val="auto"/>
              </w:rPr>
            </w:pPr>
            <w:r>
              <w:rPr>
                <w:rFonts w:ascii="Arial" w:cs="Arial" w:eastAsia="Arial" w:hAnsi="Arial"/>
                <w:sz w:val="16"/>
                <w:szCs w:val="16"/>
                <w:color w:val="auto"/>
              </w:rPr>
              <w:t>Retained deficit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(610,042)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(654,440)</w:t>
            </w:r>
          </w:p>
        </w:tc>
        <w:tc>
          <w:tcPr>
            <w:tcW w:w="0" w:type="dxa"/>
            <w:vAlign w:val="bottom"/>
          </w:tcPr>
          <w:p>
            <w:pPr>
              <w:spacing w:after="0"/>
              <w:rPr>
                <w:sz w:val="1"/>
                <w:szCs w:val="1"/>
                <w:color w:val="auto"/>
              </w:rPr>
            </w:pPr>
          </w:p>
        </w:tc>
      </w:tr>
      <w:tr>
        <w:trPr>
          <w:trHeight w:val="242"/>
        </w:trPr>
        <w:tc>
          <w:tcPr>
            <w:tcW w:w="75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(208,251)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(92,682)</w:t>
            </w:r>
          </w:p>
        </w:tc>
        <w:tc>
          <w:tcPr>
            <w:tcW w:w="0" w:type="dxa"/>
            <w:vAlign w:val="bottom"/>
          </w:tcPr>
          <w:p>
            <w:pPr>
              <w:spacing w:after="0"/>
              <w:rPr>
                <w:sz w:val="1"/>
                <w:szCs w:val="1"/>
                <w:color w:val="auto"/>
              </w:rPr>
            </w:pPr>
          </w:p>
        </w:tc>
      </w:tr>
      <w:tr>
        <w:trPr>
          <w:trHeight w:val="208"/>
        </w:trPr>
        <w:tc>
          <w:tcPr>
            <w:tcW w:w="7540" w:type="dxa"/>
            <w:vAlign w:val="bottom"/>
          </w:tcPr>
          <w:p>
            <w:pPr>
              <w:spacing w:after="0"/>
              <w:rPr>
                <w:sz w:val="20"/>
                <w:szCs w:val="20"/>
                <w:color w:val="auto"/>
              </w:rPr>
            </w:pPr>
            <w:r>
              <w:rPr>
                <w:rFonts w:ascii="Arial" w:cs="Arial" w:eastAsia="Arial" w:hAnsi="Arial"/>
                <w:sz w:val="16"/>
                <w:szCs w:val="16"/>
                <w:color w:val="auto"/>
              </w:rPr>
              <w:t>Total equity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404,911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443,734</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80" w:type="dxa"/>
            <w:vAlign w:val="bottom"/>
          </w:tcPr>
          <w:p>
            <w:pPr>
              <w:jc w:val="right"/>
              <w:ind w:right="8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3,071,648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3,130,420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-7190740</wp:posOffset>
            </wp:positionV>
            <wp:extent cx="6410325" cy="71977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6410325" cy="719772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10040"/>
          </w:cols>
          <w:pgMar w:left="920" w:top="527" w:right="920" w:bottom="0" w:gutter="0" w:footer="0" w:header="0"/>
          <w:type w:val="continuous"/>
        </w:sectPr>
      </w:pPr>
    </w:p>
    <w:bookmarkStart w:id="80" w:name="page81"/>
    <w:bookmarkEnd w:id="80"/>
    <w:p>
      <w:pPr>
        <w:ind w:left="4000"/>
        <w:spacing w:after="0"/>
        <w:rPr>
          <w:sz w:val="20"/>
          <w:szCs w:val="20"/>
          <w:color w:val="auto"/>
        </w:rPr>
      </w:pPr>
      <w:r>
        <w:rPr>
          <w:rFonts w:ascii="Arial" w:cs="Arial" w:eastAsia="Arial" w:hAnsi="Arial"/>
          <w:sz w:val="20"/>
          <w:szCs w:val="20"/>
          <w:b w:val="1"/>
          <w:bCs w:val="1"/>
          <w:color w:val="auto"/>
        </w:rPr>
        <w:t>Sotera Health Company</w:t>
      </w:r>
    </w:p>
    <w:p>
      <w:pPr>
        <w:spacing w:after="0" w:line="123" w:lineRule="exact"/>
        <w:rPr>
          <w:sz w:val="20"/>
          <w:szCs w:val="20"/>
          <w:color w:val="auto"/>
        </w:rPr>
      </w:pPr>
    </w:p>
    <w:p>
      <w:pPr>
        <w:ind w:left="1920"/>
        <w:spacing w:after="0"/>
        <w:rPr>
          <w:sz w:val="20"/>
          <w:szCs w:val="20"/>
          <w:color w:val="auto"/>
        </w:rPr>
      </w:pPr>
      <w:r>
        <w:rPr>
          <w:rFonts w:ascii="Arial" w:cs="Arial" w:eastAsia="Arial" w:hAnsi="Arial"/>
          <w:sz w:val="20"/>
          <w:szCs w:val="20"/>
          <w:b w:val="1"/>
          <w:bCs w:val="1"/>
          <w:color w:val="auto"/>
        </w:rPr>
        <w:t>Consolidated Statements of Operations and Comprehensive Income (Loss)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 except per share amounts)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7"/>
          </w:tcPr>
          <w:p>
            <w:pPr>
              <w:jc w:val="right"/>
              <w:ind w:right="632"/>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4"/>
        </w:trPr>
        <w:tc>
          <w:tcPr>
            <w:tcW w:w="65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941,822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Service</w:t>
            </w:r>
          </w:p>
        </w:tc>
        <w:tc>
          <w:tcPr>
            <w:tcW w:w="2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905,598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864,828</w:t>
            </w:r>
          </w:p>
        </w:tc>
        <w:tc>
          <w:tcPr>
            <w:tcW w:w="0" w:type="dxa"/>
            <w:vAlign w:val="bottom"/>
          </w:tcPr>
          <w:p>
            <w:pPr>
              <w:spacing w:after="0"/>
              <w:rPr>
                <w:sz w:val="1"/>
                <w:szCs w:val="1"/>
                <w:color w:val="auto"/>
              </w:rPr>
            </w:pPr>
          </w:p>
        </w:tc>
      </w:tr>
      <w:tr>
        <w:trPr>
          <w:trHeight w:val="255"/>
        </w:trPr>
        <w:tc>
          <w:tcPr>
            <w:tcW w:w="6580" w:type="dxa"/>
            <w:vAlign w:val="bottom"/>
          </w:tcPr>
          <w:p>
            <w:pPr>
              <w:ind w:left="42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158,619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143,690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138,859</w:t>
            </w: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4"/>
              </w:rPr>
              <w:t>1,100,441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1,049,288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1,003,687</w:t>
            </w: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439,543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390,860</w:t>
            </w:r>
          </w:p>
        </w:tc>
        <w:tc>
          <w:tcPr>
            <w:tcW w:w="0" w:type="dxa"/>
            <w:vAlign w:val="bottom"/>
          </w:tcPr>
          <w:p>
            <w:pPr>
              <w:spacing w:after="0"/>
              <w:rPr>
                <w:sz w:val="1"/>
                <w:szCs w:val="1"/>
                <w:color w:val="auto"/>
              </w:rPr>
            </w:pPr>
          </w:p>
        </w:tc>
      </w:tr>
      <w:tr>
        <w:trPr>
          <w:trHeight w:val="255"/>
        </w:trPr>
        <w:tc>
          <w:tcPr>
            <w:tcW w:w="6580" w:type="dxa"/>
            <w:vAlign w:val="bottom"/>
          </w:tcPr>
          <w:p>
            <w:pPr>
              <w:ind w:left="42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58,603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55,823</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498,146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472,130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446,683</w:t>
            </w: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602,295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577,158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557,004</w:t>
            </w: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242,630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245,714</w:t>
            </w:r>
          </w:p>
        </w:tc>
        <w:tc>
          <w:tcPr>
            <w:tcW w:w="0" w:type="dxa"/>
            <w:vAlign w:val="bottom"/>
          </w:tcPr>
          <w:p>
            <w:pPr>
              <w:spacing w:after="0"/>
              <w:rPr>
                <w:sz w:val="1"/>
                <w:szCs w:val="1"/>
                <w:color w:val="auto"/>
              </w:rPr>
            </w:pPr>
          </w:p>
        </w:tc>
      </w:tr>
      <w:tr>
        <w:trPr>
          <w:trHeight w:val="255"/>
        </w:trPr>
        <w:tc>
          <w:tcPr>
            <w:tcW w:w="65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62,039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62,940</w:t>
            </w: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304,669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300,466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308,654</w:t>
            </w: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297,626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248,350</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80,144</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color w:val="auto"/>
              </w:rPr>
              <w:t>Loss on refinancing of debt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color w:val="auto"/>
              </w:rPr>
              <w:t>Georgia EO litigation settlement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color w:val="auto"/>
              </w:rPr>
              <w:t>Illinois EO litigation settlement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408,000</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color w:val="auto"/>
              </w:rPr>
              <w:t>Impairment of investment in unconsolidated affiliate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color w:val="auto"/>
              </w:rPr>
              <w:t>Foreign exchange loss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5"/>
        </w:trPr>
        <w:tc>
          <w:tcPr>
            <w:tcW w:w="658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113,874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(243,111)</w:t>
            </w:r>
          </w:p>
        </w:tc>
        <w:tc>
          <w:tcPr>
            <w:tcW w:w="0" w:type="dxa"/>
            <w:vAlign w:val="bottom"/>
          </w:tcPr>
          <w:p>
            <w:pPr>
              <w:spacing w:after="0"/>
              <w:rPr>
                <w:sz w:val="1"/>
                <w:szCs w:val="1"/>
                <w:color w:val="auto"/>
              </w:rPr>
            </w:pPr>
          </w:p>
        </w:tc>
      </w:tr>
      <w:tr>
        <w:trPr>
          <w:trHeight w:val="249"/>
        </w:trPr>
        <w:tc>
          <w:tcPr>
            <w:tcW w:w="65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69,476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(233,570)</w:t>
            </w:r>
          </w:p>
        </w:tc>
        <w:tc>
          <w:tcPr>
            <w:tcW w:w="0" w:type="dxa"/>
            <w:vAlign w:val="bottom"/>
          </w:tcPr>
          <w:p>
            <w:pPr>
              <w:spacing w:after="0"/>
              <w:rPr>
                <w:sz w:val="1"/>
                <w:szCs w:val="1"/>
                <w:color w:val="auto"/>
              </w:rPr>
            </w:pPr>
          </w:p>
        </w:tc>
      </w:tr>
      <w:tr>
        <w:trPr>
          <w:trHeight w:val="224"/>
        </w:trPr>
        <w:tc>
          <w:tcPr>
            <w:tcW w:w="6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80" w:type="dxa"/>
            <w:vAlign w:val="bottom"/>
          </w:tcPr>
          <w:p>
            <w:pPr>
              <w:ind w:left="360"/>
              <w:spacing w:after="0" w:line="198" w:lineRule="exact"/>
              <w:rPr>
                <w:sz w:val="20"/>
                <w:szCs w:val="20"/>
                <w:color w:val="auto"/>
              </w:rPr>
            </w:pPr>
            <w:r>
              <w:rPr>
                <w:rFonts w:ascii="Arial" w:cs="Arial" w:eastAsia="Arial" w:hAnsi="Arial"/>
                <w:sz w:val="18"/>
                <w:szCs w:val="18"/>
                <w:color w:val="auto"/>
                <w:w w:val="94"/>
              </w:rPr>
              <w:t>Pension and post-retirement benefits (net of taxes of $2,804, $(3,420) and $7,022,</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8,462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(10,506)</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29"/>
        </w:trPr>
        <w:tc>
          <w:tcPr>
            <w:tcW w:w="65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80" w:type="dxa"/>
            <w:vAlign w:val="bottom"/>
          </w:tcPr>
          <w:p>
            <w:pPr>
              <w:ind w:left="340"/>
              <w:spacing w:after="0"/>
              <w:rPr>
                <w:sz w:val="20"/>
                <w:szCs w:val="20"/>
                <w:color w:val="auto"/>
              </w:rPr>
            </w:pPr>
            <w:r>
              <w:rPr>
                <w:rFonts w:ascii="Arial" w:cs="Arial" w:eastAsia="Arial" w:hAnsi="Arial"/>
                <w:sz w:val="18"/>
                <w:szCs w:val="18"/>
                <w:color w:val="auto"/>
                <w:w w:val="93"/>
              </w:rPr>
              <w:t>Interest rate derivatives (net of taxes of $(1,856), $(5,467) and $7,387, respectively)</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20,939</w:t>
            </w:r>
          </w:p>
        </w:tc>
        <w:tc>
          <w:tcPr>
            <w:tcW w:w="0" w:type="dxa"/>
            <w:vAlign w:val="bottom"/>
          </w:tcPr>
          <w:p>
            <w:pPr>
              <w:spacing w:after="0"/>
              <w:rPr>
                <w:sz w:val="1"/>
                <w:szCs w:val="1"/>
                <w:color w:val="auto"/>
              </w:rPr>
            </w:pPr>
          </w:p>
        </w:tc>
      </w:tr>
      <w:tr>
        <w:trPr>
          <w:trHeight w:val="255"/>
        </w:trPr>
        <w:tc>
          <w:tcPr>
            <w:tcW w:w="658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(118,635)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40,174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(64,816)</w:t>
            </w: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(71,171)</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65,347</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(256,657)</w:t>
            </w:r>
          </w:p>
        </w:tc>
        <w:tc>
          <w:tcPr>
            <w:tcW w:w="0" w:type="dxa"/>
            <w:vAlign w:val="bottom"/>
          </w:tcPr>
          <w:p>
            <w:pPr>
              <w:spacing w:after="0"/>
              <w:rPr>
                <w:sz w:val="1"/>
                <w:szCs w:val="1"/>
                <w:color w:val="auto"/>
              </w:rPr>
            </w:pPr>
          </w:p>
        </w:tc>
      </w:tr>
      <w:tr>
        <w:trPr>
          <w:trHeight w:val="243"/>
        </w:trPr>
        <w:tc>
          <w:tcPr>
            <w:tcW w:w="658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282,784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280,096</w:t>
            </w:r>
          </w:p>
        </w:tc>
        <w:tc>
          <w:tcPr>
            <w:tcW w:w="0" w:type="dxa"/>
            <w:vAlign w:val="bottom"/>
          </w:tcPr>
          <w:p>
            <w:pPr>
              <w:spacing w:after="0"/>
              <w:rPr>
                <w:sz w:val="1"/>
                <w:szCs w:val="1"/>
                <w:color w:val="auto"/>
              </w:rPr>
            </w:pPr>
          </w:p>
        </w:tc>
      </w:tr>
      <w:tr>
        <w:trPr>
          <w:trHeight w:val="250"/>
        </w:trPr>
        <w:tc>
          <w:tcPr>
            <w:tcW w:w="658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284,906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283,222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-5668010</wp:posOffset>
            </wp:positionV>
            <wp:extent cx="6410325" cy="56915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6410325" cy="56915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10040"/>
          </w:cols>
          <w:pgMar w:left="920" w:top="527" w:right="920" w:bottom="0" w:gutter="0" w:footer="0" w:header="0"/>
          <w:type w:val="continuous"/>
        </w:sectPr>
      </w:pPr>
    </w:p>
    <w:bookmarkStart w:id="81" w:name="page82"/>
    <w:bookmarkEnd w:id="81"/>
    <w:p>
      <w:pPr>
        <w:ind w:left="4000"/>
        <w:spacing w:after="0"/>
        <w:rPr>
          <w:sz w:val="20"/>
          <w:szCs w:val="20"/>
          <w:color w:val="auto"/>
        </w:rPr>
      </w:pPr>
      <w:r>
        <w:rPr>
          <w:rFonts w:ascii="Arial" w:cs="Arial" w:eastAsia="Arial" w:hAnsi="Arial"/>
          <w:sz w:val="20"/>
          <w:szCs w:val="20"/>
          <w:b w:val="1"/>
          <w:bCs w:val="1"/>
          <w:color w:val="auto"/>
        </w:rPr>
        <w:t>Sotera Health Company</w:t>
      </w:r>
    </w:p>
    <w:p>
      <w:pPr>
        <w:spacing w:after="0" w:line="123"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(in thousands)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44,398</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51,376</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(233,570)</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w w:val="92"/>
              </w:rPr>
              <w:t>Adjustments to reconcile net income (loss) to net cash provided by (used in) operating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84,260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76,577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64,000</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79,377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81,348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81,554</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Loss on refinancing of debt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24,168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Impairment of investment in unconsolidated affiliate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9,613</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9,433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3,449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(73,960)</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36,777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32,238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21,211</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Accretion of asset retirement obligations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2,413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Unrealized foreign exchange (gain) loss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(18,337)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6,057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Unrealized loss (gain) on derivatives not designated as hedging instruments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7,238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9,051</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5,681</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(6,989)</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(12,555)</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(9,972)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14,441</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4,003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(5,816)</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(6,644)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7,114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3,500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20,595</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Illinois EO litigation settlement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(407,712)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408,000</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Georgia EO litigation settlement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35,000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Income taxes payable / receivable, net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924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(12,332)</w:t>
            </w:r>
          </w:p>
        </w:tc>
        <w:tc>
          <w:tcPr>
            <w:tcW w:w="0" w:type="dxa"/>
            <w:vAlign w:val="bottom"/>
          </w:tcPr>
          <w:p>
            <w:pPr>
              <w:spacing w:after="0"/>
              <w:rPr>
                <w:sz w:val="1"/>
                <w:szCs w:val="1"/>
                <w:color w:val="auto"/>
              </w:rPr>
            </w:pPr>
          </w:p>
        </w:tc>
      </w:tr>
      <w:tr>
        <w:trPr>
          <w:trHeight w:val="235"/>
        </w:trPr>
        <w:tc>
          <w:tcPr>
            <w:tcW w:w="6300" w:type="dxa"/>
            <w:vAlign w:val="bottom"/>
          </w:tcPr>
          <w:p>
            <w:pPr>
              <w:ind w:left="70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42"/>
        </w:trPr>
        <w:tc>
          <w:tcPr>
            <w:tcW w:w="6300" w:type="dxa"/>
            <w:vAlign w:val="bottom"/>
          </w:tcPr>
          <w:p>
            <w:pPr>
              <w:ind w:left="70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224,164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(147,732)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277,961</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(179,070)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(214,975)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(182,378)</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Purchase of Regulatory Compliance Associates Inc., net of cash acquired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(178,996)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(214,906)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(181,896)</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Proceeds from revolving credit facility and long-term borrowings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2,259,350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Payment of revolving credit facility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Payments of debt issuance costs and debt discount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(32,071)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(25,645)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Payments of long-term borrowings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(2,264,373)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Buyout of leased facility</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300" w:type="dxa"/>
            <w:vAlign w:val="bottom"/>
          </w:tcPr>
          <w:p>
            <w:pPr>
              <w:spacing w:after="0"/>
              <w:rPr>
                <w:sz w:val="20"/>
                <w:szCs w:val="20"/>
                <w:color w:val="auto"/>
              </w:rPr>
            </w:pPr>
            <w:r>
              <w:rPr>
                <w:rFonts w:ascii="Arial" w:cs="Arial" w:eastAsia="Arial" w:hAnsi="Arial"/>
                <w:sz w:val="16"/>
                <w:szCs w:val="16"/>
                <w:color w:val="auto"/>
              </w:rPr>
              <w:t>Shares withheld for employee taxes on equity awards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(4,089)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(50,564)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265,959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197,761</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(17,393)</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2,039</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Net (decrease) increase in cash and cash equivalents, including restricted cash</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(22,789)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(94,640)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289,370</w:t>
            </w:r>
          </w:p>
        </w:tc>
        <w:tc>
          <w:tcPr>
            <w:tcW w:w="0" w:type="dxa"/>
            <w:vAlign w:val="bottom"/>
          </w:tcPr>
          <w:p>
            <w:pPr>
              <w:spacing w:after="0"/>
              <w:rPr>
                <w:sz w:val="1"/>
                <w:szCs w:val="1"/>
                <w:color w:val="auto"/>
              </w:rPr>
            </w:pPr>
          </w:p>
        </w:tc>
      </w:tr>
      <w:tr>
        <w:trPr>
          <w:trHeight w:val="242"/>
        </w:trPr>
        <w:tc>
          <w:tcPr>
            <w:tcW w:w="6300" w:type="dxa"/>
            <w:vAlign w:val="bottom"/>
          </w:tcPr>
          <w:p>
            <w:pPr>
              <w:spacing w:after="0"/>
              <w:rPr>
                <w:sz w:val="20"/>
                <w:szCs w:val="20"/>
                <w:color w:val="auto"/>
              </w:rPr>
            </w:pPr>
            <w:r>
              <w:rPr>
                <w:rFonts w:ascii="Arial" w:cs="Arial" w:eastAsia="Arial" w:hAnsi="Arial"/>
                <w:sz w:val="16"/>
                <w:szCs w:val="16"/>
                <w:color w:val="auto"/>
              </w:rPr>
              <w:t>Cash and cash equivalents, including restricted cash, at beginning of period</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301,654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396,294</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106,924</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20"/>
                <w:szCs w:val="20"/>
                <w:color w:val="auto"/>
              </w:rPr>
            </w:pPr>
            <w:r>
              <w:rPr>
                <w:rFonts w:ascii="Arial" w:cs="Arial" w:eastAsia="Arial" w:hAnsi="Arial"/>
                <w:sz w:val="16"/>
                <w:szCs w:val="16"/>
                <w:color w:val="auto"/>
              </w:rPr>
              <w:t>Cash and cash equivalents, including restricted cash, at end of period</w:t>
            </w:r>
          </w:p>
        </w:tc>
        <w:tc>
          <w:tcPr>
            <w:tcW w:w="2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b w:val="1"/>
                <w:bCs w:val="1"/>
                <w:color w:val="auto"/>
              </w:rPr>
              <w:t>278,865</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301,654</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396,294</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300" w:type="dxa"/>
            <w:vAlign w:val="bottom"/>
            <w:vMerge w:val="continue"/>
          </w:tcPr>
          <w:p>
            <w:pPr>
              <w:spacing w:after="0"/>
              <w:rPr>
                <w:sz w:val="16"/>
                <w:szCs w:val="16"/>
                <w:color w:val="auto"/>
              </w:rPr>
            </w:pPr>
          </w:p>
        </w:tc>
        <w:tc>
          <w:tcPr>
            <w:tcW w:w="28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179,924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Cash paid during the period for interest</w:t>
            </w: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173,842</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75,849</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Cash paid during the period for income taxes, net of tax refunds received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65,829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50,210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75,496</w:t>
            </w:r>
          </w:p>
        </w:tc>
        <w:tc>
          <w:tcPr>
            <w:tcW w:w="0" w:type="dxa"/>
            <w:vAlign w:val="bottom"/>
          </w:tcPr>
          <w:p>
            <w:pPr>
              <w:spacing w:after="0"/>
              <w:rPr>
                <w:sz w:val="1"/>
                <w:szCs w:val="1"/>
                <w:color w:val="auto"/>
              </w:rPr>
            </w:pPr>
          </w:p>
        </w:tc>
      </w:tr>
      <w:tr>
        <w:trPr>
          <w:trHeight w:val="235"/>
        </w:trPr>
        <w:tc>
          <w:tcPr>
            <w:tcW w:w="6300" w:type="dxa"/>
            <w:vAlign w:val="bottom"/>
          </w:tcPr>
          <w:p>
            <w:pPr>
              <w:ind w:left="360"/>
              <w:spacing w:after="0"/>
              <w:rPr>
                <w:sz w:val="20"/>
                <w:szCs w:val="20"/>
                <w:color w:val="auto"/>
              </w:rPr>
            </w:pPr>
            <w:r>
              <w:rPr>
                <w:rFonts w:ascii="Arial" w:cs="Arial" w:eastAsia="Arial" w:hAnsi="Arial"/>
                <w:sz w:val="16"/>
                <w:szCs w:val="16"/>
                <w:color w:val="auto"/>
              </w:rPr>
              <w:t>Purchases of property, plant and equipment included in accounts payable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10,180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16,720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-7169785</wp:posOffset>
            </wp:positionV>
            <wp:extent cx="6410325" cy="7194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6410325" cy="719455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10040"/>
          </w:cols>
          <w:pgMar w:left="920" w:top="527" w:right="920" w:bottom="0" w:gutter="0" w:footer="0" w:header="0"/>
          <w:type w:val="continuous"/>
        </w:sectPr>
      </w:pPr>
    </w:p>
    <w:bookmarkStart w:id="82" w:name="page83"/>
    <w:bookmarkEnd w:id="82"/>
    <w:p>
      <w:pPr>
        <w:ind w:left="4000"/>
        <w:spacing w:after="0"/>
        <w:rPr>
          <w:sz w:val="20"/>
          <w:szCs w:val="20"/>
          <w:color w:val="auto"/>
        </w:rPr>
      </w:pPr>
      <w:r>
        <w:rPr>
          <w:rFonts w:ascii="Arial" w:cs="Arial" w:eastAsia="Arial" w:hAnsi="Arial"/>
          <w:sz w:val="20"/>
          <w:szCs w:val="20"/>
          <w:b w:val="1"/>
          <w:bCs w:val="1"/>
          <w:color w:val="auto"/>
        </w:rPr>
        <w:t>Sotera Health Company</w:t>
      </w:r>
    </w:p>
    <w:p>
      <w:pPr>
        <w:spacing w:after="0" w:line="123" w:lineRule="exact"/>
        <w:rPr>
          <w:sz w:val="20"/>
          <w:szCs w:val="20"/>
          <w:color w:val="auto"/>
        </w:rPr>
      </w:pPr>
    </w:p>
    <w:p>
      <w:pPr>
        <w:ind w:left="3560"/>
        <w:spacing w:after="0"/>
        <w:rPr>
          <w:sz w:val="20"/>
          <w:szCs w:val="20"/>
          <w:color w:val="auto"/>
        </w:rPr>
      </w:pPr>
      <w:r>
        <w:rPr>
          <w:rFonts w:ascii="Arial" w:cs="Arial" w:eastAsia="Arial" w:hAnsi="Arial"/>
          <w:sz w:val="20"/>
          <w:szCs w:val="20"/>
          <w:b w:val="1"/>
          <w:bCs w:val="1"/>
          <w:color w:val="auto"/>
        </w:rPr>
        <w:t>Consolidated Statements of Equity</w:t>
      </w:r>
    </w:p>
    <w:p>
      <w:pPr>
        <w:spacing w:after="0" w:line="29" w:lineRule="exact"/>
        <w:rPr>
          <w:sz w:val="20"/>
          <w:szCs w:val="20"/>
          <w:color w:val="auto"/>
        </w:rPr>
      </w:pPr>
    </w:p>
    <w:p>
      <w:pPr>
        <w:ind w:left="4440"/>
        <w:spacing w:after="0"/>
        <w:rPr>
          <w:sz w:val="20"/>
          <w:szCs w:val="20"/>
          <w:color w:val="auto"/>
        </w:rPr>
      </w:pPr>
      <w:r>
        <w:rPr>
          <w:rFonts w:ascii="Arial" w:cs="Arial" w:eastAsia="Arial" w:hAnsi="Arial"/>
          <w:sz w:val="20"/>
          <w:szCs w:val="20"/>
          <w:b w:val="1"/>
          <w:bCs w:val="1"/>
          <w:i w:val="1"/>
          <w:iCs w:val="1"/>
          <w:color w:val="auto"/>
        </w:rPr>
        <w:t>(in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3"/>
                <w:szCs w:val="13"/>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4"/>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700" w:type="dxa"/>
            <w:vAlign w:val="bottom"/>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Borders>
              <w:bottom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jc w:val="right"/>
              <w:ind w:right="84"/>
              <w:spacing w:after="0" w:line="91"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jc w:val="center"/>
              <w:ind w:right="64"/>
              <w:spacing w:after="0" w:line="91"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60" w:type="dxa"/>
            <w:vAlign w:val="bottom"/>
          </w:tcPr>
          <w:p>
            <w:pPr>
              <w:spacing w:after="0"/>
              <w:rPr>
                <w:sz w:val="12"/>
                <w:szCs w:val="12"/>
                <w:color w:val="auto"/>
              </w:rPr>
            </w:pPr>
          </w:p>
        </w:tc>
        <w:tc>
          <w:tcPr>
            <w:tcW w:w="7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Common</w:t>
            </w:r>
          </w:p>
        </w:tc>
        <w:tc>
          <w:tcPr>
            <w:tcW w:w="8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84"/>
              <w:spacing w:after="0" w:line="144"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43"/>
              <w:spacing w:after="0" w:line="144" w:lineRule="exact"/>
              <w:rPr>
                <w:sz w:val="20"/>
                <w:szCs w:val="20"/>
                <w:color w:val="auto"/>
              </w:rPr>
            </w:pPr>
            <w:r>
              <w:rPr>
                <w:rFonts w:ascii="Arial" w:cs="Arial" w:eastAsia="Arial" w:hAnsi="Arial"/>
                <w:sz w:val="13"/>
                <w:szCs w:val="13"/>
                <w:b w:val="1"/>
                <w:bCs w:val="1"/>
                <w:color w:val="auto"/>
                <w:w w:val="90"/>
              </w:rPr>
              <w:t>Retained</w:t>
            </w:r>
          </w:p>
        </w:tc>
        <w:tc>
          <w:tcPr>
            <w:tcW w:w="80" w:type="dxa"/>
            <w:vAlign w:val="bottom"/>
          </w:tcPr>
          <w:p>
            <w:pPr>
              <w:spacing w:after="0"/>
              <w:rPr>
                <w:sz w:val="12"/>
                <w:szCs w:val="12"/>
                <w:color w:val="auto"/>
              </w:rPr>
            </w:pPr>
          </w:p>
        </w:tc>
        <w:tc>
          <w:tcPr>
            <w:tcW w:w="10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2"/>
                <w:szCs w:val="12"/>
                <w:color w:val="auto"/>
              </w:rPr>
            </w:pPr>
          </w:p>
        </w:tc>
        <w:tc>
          <w:tcPr>
            <w:tcW w:w="760" w:type="dxa"/>
            <w:vAlign w:val="bottom"/>
          </w:tcPr>
          <w:p>
            <w:pPr>
              <w:jc w:val="right"/>
              <w:ind w:right="167"/>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6"/>
              </w:rPr>
              <w:t>(Loss) Income</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429"/>
        </w:trPr>
        <w:tc>
          <w:tcPr>
            <w:tcW w:w="2700" w:type="dxa"/>
            <w:vAlign w:val="bottom"/>
          </w:tcPr>
          <w:p>
            <w:pPr>
              <w:spacing w:after="0"/>
              <w:rPr>
                <w:sz w:val="20"/>
                <w:szCs w:val="20"/>
                <w:color w:val="auto"/>
              </w:rPr>
            </w:pPr>
            <w:r>
              <w:rPr>
                <w:rFonts w:ascii="Arial" w:cs="Arial" w:eastAsia="Arial" w:hAnsi="Arial"/>
                <w:sz w:val="16"/>
                <w:szCs w:val="16"/>
                <w:b w:val="1"/>
                <w:bCs w:val="1"/>
                <w:color w:val="auto"/>
              </w:rPr>
              <w:t>Balance at January 1, 2022</w:t>
            </w: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rPr>
              <w:t>282,985</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 (33,545)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1,172,593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(472,246)</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(83,566)</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$ 586,096</w:t>
            </w:r>
          </w:p>
        </w:tc>
        <w:tc>
          <w:tcPr>
            <w:tcW w:w="0" w:type="dxa"/>
            <w:vAlign w:val="bottom"/>
          </w:tcPr>
          <w:p>
            <w:pPr>
              <w:spacing w:after="0"/>
              <w:rPr>
                <w:sz w:val="1"/>
                <w:szCs w:val="1"/>
                <w:color w:val="auto"/>
              </w:rPr>
            </w:pPr>
          </w:p>
        </w:tc>
      </w:tr>
      <w:tr>
        <w:trPr>
          <w:trHeight w:val="279"/>
        </w:trPr>
        <w:tc>
          <w:tcPr>
            <w:tcW w:w="2700" w:type="dxa"/>
            <w:vAlign w:val="bottom"/>
          </w:tcPr>
          <w:p>
            <w:pPr>
              <w:spacing w:after="0"/>
              <w:rPr>
                <w:sz w:val="20"/>
                <w:szCs w:val="20"/>
                <w:color w:val="auto"/>
              </w:rPr>
            </w:pPr>
            <w:r>
              <w:rPr>
                <w:rFonts w:ascii="Arial" w:cs="Arial" w:eastAsia="Arial" w:hAnsi="Arial"/>
                <w:sz w:val="16"/>
                <w:szCs w:val="16"/>
                <w:color w:val="auto"/>
              </w:rPr>
              <w:t>Share-based compensation plans</w:t>
            </w:r>
          </w:p>
        </w:tc>
        <w:tc>
          <w:tcPr>
            <w:tcW w:w="760" w:type="dxa"/>
            <w:vAlign w:val="bottom"/>
          </w:tcPr>
          <w:p>
            <w:pPr>
              <w:jc w:val="right"/>
              <w:spacing w:after="0"/>
              <w:rPr>
                <w:sz w:val="20"/>
                <w:szCs w:val="20"/>
                <w:color w:val="auto"/>
              </w:rPr>
            </w:pPr>
            <w:r>
              <w:rPr>
                <w:rFonts w:ascii="Arial" w:cs="Arial" w:eastAsia="Arial" w:hAnsi="Arial"/>
                <w:sz w:val="16"/>
                <w:szCs w:val="16"/>
                <w:color w:val="auto"/>
              </w:rPr>
              <w:t>(564)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3,770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20,799</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60"/>
              <w:spacing w:after="0"/>
              <w:rPr>
                <w:sz w:val="20"/>
                <w:szCs w:val="20"/>
                <w:color w:val="auto"/>
              </w:rPr>
            </w:pPr>
            <w:r>
              <w:rPr>
                <w:rFonts w:ascii="Arial" w:cs="Arial" w:eastAsia="Arial" w:hAnsi="Arial"/>
                <w:sz w:val="16"/>
                <w:szCs w:val="16"/>
                <w:color w:val="auto"/>
              </w:rPr>
              <w:t>Pension and post-retirement plan</w:t>
            </w:r>
          </w:p>
        </w:tc>
        <w:tc>
          <w:tcPr>
            <w:tcW w:w="760" w:type="dxa"/>
            <w:vAlign w:val="bottom"/>
            <w:vMerge w:val="restart"/>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20,790</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20,790</w:t>
            </w:r>
          </w:p>
        </w:tc>
        <w:tc>
          <w:tcPr>
            <w:tcW w:w="0" w:type="dxa"/>
            <w:vAlign w:val="bottom"/>
          </w:tcPr>
          <w:p>
            <w:pPr>
              <w:spacing w:after="0"/>
              <w:rPr>
                <w:sz w:val="1"/>
                <w:szCs w:val="1"/>
                <w:color w:val="auto"/>
              </w:rPr>
            </w:pPr>
          </w:p>
        </w:tc>
      </w:tr>
      <w:tr>
        <w:trPr>
          <w:trHeight w:val="204"/>
        </w:trPr>
        <w:tc>
          <w:tcPr>
            <w:tcW w:w="2700" w:type="dxa"/>
            <w:vAlign w:val="bottom"/>
          </w:tcPr>
          <w:p>
            <w:pPr>
              <w:ind w:left="340"/>
              <w:spacing w:after="0"/>
              <w:rPr>
                <w:sz w:val="20"/>
                <w:szCs w:val="20"/>
                <w:color w:val="auto"/>
              </w:rPr>
            </w:pPr>
            <w:r>
              <w:rPr>
                <w:rFonts w:ascii="Arial" w:cs="Arial" w:eastAsia="Arial" w:hAnsi="Arial"/>
                <w:sz w:val="16"/>
                <w:szCs w:val="16"/>
                <w:color w:val="auto"/>
              </w:rPr>
              <w:t>adjustments, net of tax</w:t>
            </w: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60"/>
              <w:spacing w:after="0"/>
              <w:rPr>
                <w:sz w:val="20"/>
                <w:szCs w:val="20"/>
                <w:color w:val="auto"/>
              </w:rPr>
            </w:pPr>
            <w:r>
              <w:rPr>
                <w:rFonts w:ascii="Arial" w:cs="Arial" w:eastAsia="Arial" w:hAnsi="Arial"/>
                <w:sz w:val="16"/>
                <w:szCs w:val="16"/>
                <w:color w:val="auto"/>
              </w:rPr>
              <w:t>Foreign currency translation</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(64,816)</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(64,816)</w:t>
            </w:r>
          </w:p>
        </w:tc>
        <w:tc>
          <w:tcPr>
            <w:tcW w:w="0" w:type="dxa"/>
            <w:vAlign w:val="bottom"/>
          </w:tcPr>
          <w:p>
            <w:pPr>
              <w:spacing w:after="0"/>
              <w:rPr>
                <w:sz w:val="1"/>
                <w:szCs w:val="1"/>
                <w:color w:val="auto"/>
              </w:rPr>
            </w:pPr>
          </w:p>
        </w:tc>
      </w:tr>
      <w:tr>
        <w:trPr>
          <w:trHeight w:val="235"/>
        </w:trPr>
        <w:tc>
          <w:tcPr>
            <w:tcW w:w="2700" w:type="dxa"/>
            <w:vAlign w:val="bottom"/>
          </w:tcPr>
          <w:p>
            <w:pPr>
              <w:ind w:left="160"/>
              <w:spacing w:after="0"/>
              <w:rPr>
                <w:sz w:val="20"/>
                <w:szCs w:val="20"/>
                <w:color w:val="auto"/>
              </w:rPr>
            </w:pPr>
            <w:r>
              <w:rPr>
                <w:rFonts w:ascii="Arial" w:cs="Arial" w:eastAsia="Arial" w:hAnsi="Arial"/>
                <w:sz w:val="16"/>
                <w:szCs w:val="16"/>
                <w:color w:val="auto"/>
              </w:rPr>
              <w:t>Interest rate derivatives, net of tax</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20,939</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20,939</w:t>
            </w:r>
          </w:p>
        </w:tc>
        <w:tc>
          <w:tcPr>
            <w:tcW w:w="0" w:type="dxa"/>
            <w:vAlign w:val="bottom"/>
          </w:tcPr>
          <w:p>
            <w:pPr>
              <w:spacing w:after="0"/>
              <w:rPr>
                <w:sz w:val="1"/>
                <w:szCs w:val="1"/>
                <w:color w:val="auto"/>
              </w:rPr>
            </w:pPr>
          </w:p>
        </w:tc>
      </w:tr>
      <w:tr>
        <w:trPr>
          <w:trHeight w:val="242"/>
        </w:trPr>
        <w:tc>
          <w:tcPr>
            <w:tcW w:w="2700" w:type="dxa"/>
            <w:vAlign w:val="bottom"/>
          </w:tcPr>
          <w:p>
            <w:pPr>
              <w:ind w:left="16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(233,570)</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(233,570)</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20"/>
                <w:szCs w:val="20"/>
                <w:color w:val="auto"/>
              </w:rPr>
            </w:pPr>
            <w:r>
              <w:rPr>
                <w:rFonts w:ascii="Arial" w:cs="Arial" w:eastAsia="Arial" w:hAnsi="Arial"/>
                <w:sz w:val="16"/>
                <w:szCs w:val="16"/>
                <w:b w:val="1"/>
                <w:bCs w:val="1"/>
                <w:color w:val="auto"/>
              </w:rPr>
              <w:t>Balance at December 31, 2022</w:t>
            </w: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rPr>
              <w:t>282,421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(29,775)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1,189,622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(705,816)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6"/>
                <w:szCs w:val="16"/>
                <w:b w:val="1"/>
                <w:bCs w:val="1"/>
                <w:color w:val="auto"/>
              </w:rPr>
              <w:t>(106,653)</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350,238</w:t>
            </w:r>
          </w:p>
        </w:tc>
        <w:tc>
          <w:tcPr>
            <w:tcW w:w="0" w:type="dxa"/>
            <w:vAlign w:val="bottom"/>
          </w:tcPr>
          <w:p>
            <w:pPr>
              <w:spacing w:after="0"/>
              <w:rPr>
                <w:sz w:val="1"/>
                <w:szCs w:val="1"/>
                <w:color w:val="auto"/>
              </w:rPr>
            </w:pPr>
          </w:p>
        </w:tc>
      </w:tr>
      <w:tr>
        <w:trPr>
          <w:trHeight w:val="279"/>
        </w:trPr>
        <w:tc>
          <w:tcPr>
            <w:tcW w:w="2700" w:type="dxa"/>
            <w:vAlign w:val="bottom"/>
          </w:tcPr>
          <w:p>
            <w:pPr>
              <w:spacing w:after="0"/>
              <w:rPr>
                <w:sz w:val="20"/>
                <w:szCs w:val="20"/>
                <w:color w:val="auto"/>
              </w:rPr>
            </w:pPr>
            <w:r>
              <w:rPr>
                <w:rFonts w:ascii="Arial" w:cs="Arial" w:eastAsia="Arial" w:hAnsi="Arial"/>
                <w:sz w:val="16"/>
                <w:szCs w:val="16"/>
                <w:color w:val="auto"/>
              </w:rPr>
              <w:t>Share-based compensation plans</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28,149</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60"/>
              <w:spacing w:after="0"/>
              <w:rPr>
                <w:sz w:val="20"/>
                <w:szCs w:val="20"/>
                <w:color w:val="auto"/>
              </w:rPr>
            </w:pPr>
            <w:r>
              <w:rPr>
                <w:rFonts w:ascii="Arial" w:cs="Arial" w:eastAsia="Arial" w:hAnsi="Arial"/>
                <w:sz w:val="16"/>
                <w:szCs w:val="16"/>
                <w:color w:val="auto"/>
              </w:rPr>
              <w:t>Pension and post-retirement plan</w:t>
            </w:r>
          </w:p>
        </w:tc>
        <w:tc>
          <w:tcPr>
            <w:tcW w:w="760" w:type="dxa"/>
            <w:vAlign w:val="bottom"/>
            <w:vMerge w:val="restart"/>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(10,506)</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(10,506)</w:t>
            </w:r>
          </w:p>
        </w:tc>
        <w:tc>
          <w:tcPr>
            <w:tcW w:w="0" w:type="dxa"/>
            <w:vAlign w:val="bottom"/>
          </w:tcPr>
          <w:p>
            <w:pPr>
              <w:spacing w:after="0"/>
              <w:rPr>
                <w:sz w:val="1"/>
                <w:szCs w:val="1"/>
                <w:color w:val="auto"/>
              </w:rPr>
            </w:pPr>
          </w:p>
        </w:tc>
      </w:tr>
      <w:tr>
        <w:trPr>
          <w:trHeight w:val="204"/>
        </w:trPr>
        <w:tc>
          <w:tcPr>
            <w:tcW w:w="2700" w:type="dxa"/>
            <w:vAlign w:val="bottom"/>
          </w:tcPr>
          <w:p>
            <w:pPr>
              <w:ind w:left="340"/>
              <w:spacing w:after="0"/>
              <w:rPr>
                <w:sz w:val="20"/>
                <w:szCs w:val="20"/>
                <w:color w:val="auto"/>
              </w:rPr>
            </w:pPr>
            <w:r>
              <w:rPr>
                <w:rFonts w:ascii="Arial" w:cs="Arial" w:eastAsia="Arial" w:hAnsi="Arial"/>
                <w:sz w:val="16"/>
                <w:szCs w:val="16"/>
                <w:color w:val="auto"/>
              </w:rPr>
              <w:t>adjustments, net of tax</w:t>
            </w: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60"/>
              <w:spacing w:after="0"/>
              <w:rPr>
                <w:sz w:val="20"/>
                <w:szCs w:val="20"/>
                <w:color w:val="auto"/>
              </w:rPr>
            </w:pPr>
            <w:r>
              <w:rPr>
                <w:rFonts w:ascii="Arial" w:cs="Arial" w:eastAsia="Arial" w:hAnsi="Arial"/>
                <w:sz w:val="16"/>
                <w:szCs w:val="16"/>
                <w:color w:val="auto"/>
              </w:rPr>
              <w:t>Foreign currency translation</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40,174</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40,174</w:t>
            </w:r>
          </w:p>
        </w:tc>
        <w:tc>
          <w:tcPr>
            <w:tcW w:w="0" w:type="dxa"/>
            <w:vAlign w:val="bottom"/>
          </w:tcPr>
          <w:p>
            <w:pPr>
              <w:spacing w:after="0"/>
              <w:rPr>
                <w:sz w:val="1"/>
                <w:szCs w:val="1"/>
                <w:color w:val="auto"/>
              </w:rPr>
            </w:pPr>
          </w:p>
        </w:tc>
      </w:tr>
      <w:tr>
        <w:trPr>
          <w:trHeight w:val="235"/>
        </w:trPr>
        <w:tc>
          <w:tcPr>
            <w:tcW w:w="2700" w:type="dxa"/>
            <w:vAlign w:val="bottom"/>
          </w:tcPr>
          <w:p>
            <w:pPr>
              <w:ind w:left="160"/>
              <w:spacing w:after="0"/>
              <w:rPr>
                <w:sz w:val="20"/>
                <w:szCs w:val="20"/>
                <w:color w:val="auto"/>
              </w:rPr>
            </w:pPr>
            <w:r>
              <w:rPr>
                <w:rFonts w:ascii="Arial" w:cs="Arial" w:eastAsia="Arial" w:hAnsi="Arial"/>
                <w:sz w:val="16"/>
                <w:szCs w:val="16"/>
                <w:color w:val="auto"/>
              </w:rPr>
              <w:t>Interest rate derivatives, net of tax</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(15,697)</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(15,697)</w:t>
            </w:r>
          </w:p>
        </w:tc>
        <w:tc>
          <w:tcPr>
            <w:tcW w:w="0" w:type="dxa"/>
            <w:vAlign w:val="bottom"/>
          </w:tcPr>
          <w:p>
            <w:pPr>
              <w:spacing w:after="0"/>
              <w:rPr>
                <w:sz w:val="1"/>
                <w:szCs w:val="1"/>
                <w:color w:val="auto"/>
              </w:rPr>
            </w:pPr>
          </w:p>
        </w:tc>
      </w:tr>
      <w:tr>
        <w:trPr>
          <w:trHeight w:val="242"/>
        </w:trPr>
        <w:tc>
          <w:tcPr>
            <w:tcW w:w="27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51,376</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51,376</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20"/>
                <w:szCs w:val="20"/>
                <w:color w:val="auto"/>
              </w:rPr>
            </w:pPr>
            <w:r>
              <w:rPr>
                <w:rFonts w:ascii="Arial" w:cs="Arial" w:eastAsia="Arial" w:hAnsi="Arial"/>
                <w:sz w:val="16"/>
                <w:szCs w:val="16"/>
                <w:b w:val="1"/>
                <w:bCs w:val="1"/>
                <w:color w:val="auto"/>
              </w:rPr>
              <w:t>Balance at December 31, 2023</w:t>
            </w: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rPr>
              <w:t>282,830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(27,182)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1,215,178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(654,440)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(92,682)</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443,734</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6"/>
                <w:szCs w:val="16"/>
                <w:color w:val="auto"/>
              </w:rPr>
              <w:t>Share-based compensation plans</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636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3,748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32,348</w:t>
            </w:r>
          </w:p>
        </w:tc>
        <w:tc>
          <w:tcPr>
            <w:tcW w:w="0" w:type="dxa"/>
            <w:vAlign w:val="bottom"/>
          </w:tcPr>
          <w:p>
            <w:pPr>
              <w:spacing w:after="0"/>
              <w:rPr>
                <w:sz w:val="1"/>
                <w:szCs w:val="1"/>
                <w:color w:val="auto"/>
              </w:rPr>
            </w:pPr>
          </w:p>
        </w:tc>
      </w:tr>
      <w:tr>
        <w:trPr>
          <w:trHeight w:val="235"/>
        </w:trPr>
        <w:tc>
          <w:tcPr>
            <w:tcW w:w="27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00" w:type="dxa"/>
            <w:vAlign w:val="bottom"/>
          </w:tcPr>
          <w:p>
            <w:pPr>
              <w:ind w:left="160"/>
              <w:spacing w:after="0"/>
              <w:rPr>
                <w:sz w:val="20"/>
                <w:szCs w:val="20"/>
                <w:color w:val="auto"/>
              </w:rPr>
            </w:pPr>
            <w:r>
              <w:rPr>
                <w:rFonts w:ascii="Arial" w:cs="Arial" w:eastAsia="Arial" w:hAnsi="Arial"/>
                <w:sz w:val="16"/>
                <w:szCs w:val="16"/>
                <w:color w:val="auto"/>
              </w:rPr>
              <w:t>Pension and post-retirement plan</w:t>
            </w:r>
          </w:p>
        </w:tc>
        <w:tc>
          <w:tcPr>
            <w:tcW w:w="760" w:type="dxa"/>
            <w:vAlign w:val="bottom"/>
            <w:vMerge w:val="restart"/>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8,462</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8,462</w:t>
            </w:r>
          </w:p>
        </w:tc>
        <w:tc>
          <w:tcPr>
            <w:tcW w:w="0" w:type="dxa"/>
            <w:vAlign w:val="bottom"/>
          </w:tcPr>
          <w:p>
            <w:pPr>
              <w:spacing w:after="0"/>
              <w:rPr>
                <w:sz w:val="1"/>
                <w:szCs w:val="1"/>
                <w:color w:val="auto"/>
              </w:rPr>
            </w:pPr>
          </w:p>
        </w:tc>
      </w:tr>
      <w:tr>
        <w:trPr>
          <w:trHeight w:val="204"/>
        </w:trPr>
        <w:tc>
          <w:tcPr>
            <w:tcW w:w="2700" w:type="dxa"/>
            <w:vAlign w:val="bottom"/>
          </w:tcPr>
          <w:p>
            <w:pPr>
              <w:ind w:left="340"/>
              <w:spacing w:after="0"/>
              <w:rPr>
                <w:sz w:val="20"/>
                <w:szCs w:val="20"/>
                <w:color w:val="auto"/>
              </w:rPr>
            </w:pPr>
            <w:r>
              <w:rPr>
                <w:rFonts w:ascii="Arial" w:cs="Arial" w:eastAsia="Arial" w:hAnsi="Arial"/>
                <w:sz w:val="16"/>
                <w:szCs w:val="16"/>
                <w:color w:val="auto"/>
              </w:rPr>
              <w:t>adjustments, net of tax</w:t>
            </w: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60"/>
              <w:spacing w:after="0"/>
              <w:rPr>
                <w:sz w:val="20"/>
                <w:szCs w:val="20"/>
                <w:color w:val="auto"/>
              </w:rPr>
            </w:pPr>
            <w:r>
              <w:rPr>
                <w:rFonts w:ascii="Arial" w:cs="Arial" w:eastAsia="Arial" w:hAnsi="Arial"/>
                <w:sz w:val="16"/>
                <w:szCs w:val="16"/>
                <w:color w:val="auto"/>
              </w:rPr>
              <w:t>Foreign currency translation</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(118,635)</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(118,635)</w:t>
            </w:r>
          </w:p>
        </w:tc>
        <w:tc>
          <w:tcPr>
            <w:tcW w:w="0" w:type="dxa"/>
            <w:vAlign w:val="bottom"/>
          </w:tcPr>
          <w:p>
            <w:pPr>
              <w:spacing w:after="0"/>
              <w:rPr>
                <w:sz w:val="1"/>
                <w:szCs w:val="1"/>
                <w:color w:val="auto"/>
              </w:rPr>
            </w:pPr>
          </w:p>
        </w:tc>
      </w:tr>
      <w:tr>
        <w:trPr>
          <w:trHeight w:val="235"/>
        </w:trPr>
        <w:tc>
          <w:tcPr>
            <w:tcW w:w="2700" w:type="dxa"/>
            <w:vAlign w:val="bottom"/>
          </w:tcPr>
          <w:p>
            <w:pPr>
              <w:ind w:left="160"/>
              <w:spacing w:after="0"/>
              <w:rPr>
                <w:sz w:val="20"/>
                <w:szCs w:val="20"/>
                <w:color w:val="auto"/>
              </w:rPr>
            </w:pPr>
            <w:r>
              <w:rPr>
                <w:rFonts w:ascii="Arial" w:cs="Arial" w:eastAsia="Arial" w:hAnsi="Arial"/>
                <w:sz w:val="16"/>
                <w:szCs w:val="16"/>
                <w:color w:val="auto"/>
              </w:rPr>
              <w:t>Interest rate derivatives, net of tax</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(5,396)</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(5,396)</w:t>
            </w:r>
          </w:p>
        </w:tc>
        <w:tc>
          <w:tcPr>
            <w:tcW w:w="0" w:type="dxa"/>
            <w:vAlign w:val="bottom"/>
          </w:tcPr>
          <w:p>
            <w:pPr>
              <w:spacing w:after="0"/>
              <w:rPr>
                <w:sz w:val="1"/>
                <w:szCs w:val="1"/>
                <w:color w:val="auto"/>
              </w:rPr>
            </w:pPr>
          </w:p>
        </w:tc>
      </w:tr>
      <w:tr>
        <w:trPr>
          <w:trHeight w:val="242"/>
        </w:trPr>
        <w:tc>
          <w:tcPr>
            <w:tcW w:w="27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44,398</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44,398</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20"/>
                <w:szCs w:val="20"/>
                <w:color w:val="auto"/>
              </w:rPr>
            </w:pPr>
            <w:r>
              <w:rPr>
                <w:rFonts w:ascii="Arial" w:cs="Arial" w:eastAsia="Arial" w:hAnsi="Arial"/>
                <w:sz w:val="16"/>
                <w:szCs w:val="16"/>
                <w:b w:val="1"/>
                <w:bCs w:val="1"/>
                <w:color w:val="auto"/>
              </w:rPr>
              <w:t>Balance at December 31, 2024</w:t>
            </w:r>
          </w:p>
        </w:tc>
        <w:tc>
          <w:tcPr>
            <w:tcW w:w="760" w:type="dxa"/>
            <w:vAlign w:val="bottom"/>
          </w:tcPr>
          <w:p>
            <w:pPr>
              <w:jc w:val="right"/>
              <w:ind w:right="4"/>
              <w:spacing w:after="0"/>
              <w:rPr>
                <w:sz w:val="20"/>
                <w:szCs w:val="20"/>
                <w:color w:val="auto"/>
              </w:rPr>
            </w:pPr>
            <w:r>
              <w:rPr>
                <w:rFonts w:ascii="Arial" w:cs="Arial" w:eastAsia="Arial" w:hAnsi="Arial"/>
                <w:sz w:val="16"/>
                <w:szCs w:val="16"/>
                <w:b w:val="1"/>
                <w:bCs w:val="1"/>
                <w:color w:val="auto"/>
              </w:rPr>
              <w:t>283,466</w:t>
            </w:r>
          </w:p>
        </w:tc>
        <w:tc>
          <w:tcPr>
            <w:tcW w:w="2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2,860</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 (23,434)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1,243,778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(610,042)</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(208,251)</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$ 404,911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-3820795</wp:posOffset>
            </wp:positionV>
            <wp:extent cx="5737860" cy="3827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5737860" cy="382778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notes to consolidated financial statements.</w:t>
      </w:r>
    </w:p>
    <w:p>
      <w:pPr>
        <w:sectPr>
          <w:pgSz w:w="11880" w:h="15480" w:orient="portrait"/>
          <w:cols w:equalWidth="0" w:num="1">
            <w:col w:w="9520"/>
          </w:cols>
          <w:pgMar w:left="920" w:top="52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520"/>
          </w:cols>
          <w:pgMar w:left="920" w:top="527" w:right="1440" w:bottom="0" w:gutter="0" w:footer="0" w:header="0"/>
          <w:type w:val="continuous"/>
        </w:sectPr>
      </w:pPr>
    </w:p>
    <w:bookmarkStart w:id="83" w:name="page84"/>
    <w:bookmarkEnd w:id="83"/>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left="347" w:hanging="347"/>
        <w:spacing w:after="0"/>
        <w:tabs>
          <w:tab w:leader="none" w:pos="347"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w:t>
      </w:r>
    </w:p>
    <w:p>
      <w:pPr>
        <w:spacing w:after="0" w:line="128" w:lineRule="exact"/>
        <w:rPr>
          <w:sz w:val="20"/>
          <w:szCs w:val="20"/>
          <w:color w:val="auto"/>
        </w:rPr>
      </w:pPr>
    </w:p>
    <w:p>
      <w:pPr>
        <w:ind w:left="7" w:right="100"/>
        <w:spacing w:after="0" w:line="259" w:lineRule="auto"/>
        <w:rPr>
          <w:sz w:val="20"/>
          <w:szCs w:val="20"/>
          <w:color w:val="auto"/>
        </w:rPr>
      </w:pPr>
      <w:r>
        <w:rPr>
          <w:rFonts w:ascii="Arial" w:cs="Arial" w:eastAsia="Arial" w:hAnsi="Arial"/>
          <w:sz w:val="20"/>
          <w:szCs w:val="20"/>
          <w:b w:val="1"/>
          <w:bCs w:val="1"/>
          <w:i w:val="1"/>
          <w:iCs w:val="1"/>
          <w:color w:val="auto"/>
        </w:rPr>
        <w:t xml:space="preserve">Principles of Consolidation </w:t>
      </w:r>
      <w:r>
        <w:rPr>
          <w:rFonts w:ascii="Arial" w:cs="Arial" w:eastAsia="Arial" w:hAnsi="Arial"/>
          <w:sz w:val="20"/>
          <w:szCs w:val="20"/>
          <w:color w:val="auto"/>
        </w:rPr>
        <w:t>– Sotera Health Company (also referred to herein as the “Company,” “we,” “our,” “us” or “its”),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leading global provider of mission-critical end-to-end sterilization solutions, lab testing and advisory services for the healthcare industry with operations primarily in the Americas, Europe and Asia.</w:t>
      </w:r>
    </w:p>
    <w:p>
      <w:pPr>
        <w:spacing w:after="0" w:line="198" w:lineRule="exact"/>
        <w:rPr>
          <w:sz w:val="20"/>
          <w:szCs w:val="20"/>
          <w:color w:val="auto"/>
        </w:rPr>
      </w:pPr>
    </w:p>
    <w:p>
      <w:pPr>
        <w:ind w:left="7" w:right="500"/>
        <w:spacing w:after="0" w:line="258" w:lineRule="auto"/>
        <w:rPr>
          <w:sz w:val="20"/>
          <w:szCs w:val="20"/>
          <w:color w:val="auto"/>
        </w:rPr>
      </w:pPr>
      <w:r>
        <w:rPr>
          <w:rFonts w:ascii="Arial" w:cs="Arial" w:eastAsia="Arial" w:hAnsi="Arial"/>
          <w:sz w:val="20"/>
          <w:szCs w:val="20"/>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99" w:lineRule="exact"/>
        <w:rPr>
          <w:sz w:val="20"/>
          <w:szCs w:val="20"/>
          <w:color w:val="auto"/>
        </w:rPr>
      </w:pPr>
    </w:p>
    <w:p>
      <w:pPr>
        <w:ind w:left="7" w:right="40"/>
        <w:spacing w:after="0" w:line="361" w:lineRule="auto"/>
        <w:rPr>
          <w:sz w:val="20"/>
          <w:szCs w:val="20"/>
          <w:color w:val="auto"/>
        </w:rPr>
      </w:pPr>
      <w:r>
        <w:rPr>
          <w:rFonts w:ascii="Arial" w:cs="Arial" w:eastAsia="Arial" w:hAnsi="Arial"/>
          <w:sz w:val="17"/>
          <w:szCs w:val="17"/>
          <w:color w:val="auto"/>
        </w:rPr>
        <w:t>We operate and report in three segments, Sterigenics, Nordion and Nelson Labs. We describe our reportable segments in Note 21, “Segment and Geographic Information.” All intercompany balances and transactions have been eliminated in consolidation.</w:t>
      </w:r>
    </w:p>
    <w:p>
      <w:pPr>
        <w:spacing w:after="0" w:line="116" w:lineRule="exact"/>
        <w:rPr>
          <w:sz w:val="20"/>
          <w:szCs w:val="20"/>
          <w:color w:val="auto"/>
        </w:rPr>
      </w:pPr>
    </w:p>
    <w:p>
      <w:pPr>
        <w:ind w:left="7" w:right="20"/>
        <w:spacing w:after="0" w:line="32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In preparing our consolidated financial statements in conformity with GAAP, we make estimates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affect the amounts reported and the accompanying notes. We regularly evaluate the estimates and assumptions used and revise them as new information becomes available. Actual results may vary from those estimates.</w:t>
      </w:r>
    </w:p>
    <w:p>
      <w:pPr>
        <w:spacing w:after="0" w:line="144" w:lineRule="exact"/>
        <w:rPr>
          <w:sz w:val="20"/>
          <w:szCs w:val="20"/>
          <w:color w:val="auto"/>
        </w:rPr>
      </w:pPr>
    </w:p>
    <w:p>
      <w:pPr>
        <w:ind w:left="7" w:right="80"/>
        <w:spacing w:after="0" w:line="259"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We consider all highly liquid investments purchased with an original maturity of three months 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less from the date of purchase to be cash equivalents. Cash and cash equivalents may include various deposit accounts and money market funds.</w:t>
      </w:r>
    </w:p>
    <w:p>
      <w:pPr>
        <w:spacing w:after="0" w:line="188" w:lineRule="exact"/>
        <w:rPr>
          <w:sz w:val="20"/>
          <w:szCs w:val="20"/>
          <w:color w:val="auto"/>
        </w:rPr>
      </w:pPr>
    </w:p>
    <w:p>
      <w:pPr>
        <w:ind w:left="7" w:right="140"/>
        <w:spacing w:after="0" w:line="246" w:lineRule="auto"/>
        <w:rPr>
          <w:sz w:val="20"/>
          <w:szCs w:val="20"/>
          <w:color w:val="auto"/>
        </w:rPr>
      </w:pPr>
      <w:r>
        <w:rPr>
          <w:rFonts w:ascii="Arial" w:cs="Arial" w:eastAsia="Arial" w:hAnsi="Arial"/>
          <w:sz w:val="22"/>
          <w:szCs w:val="22"/>
          <w:b w:val="1"/>
          <w:bCs w:val="1"/>
          <w:i w:val="1"/>
          <w:iCs w:val="1"/>
          <w:color w:val="auto"/>
        </w:rPr>
        <w:t>A</w:t>
      </w:r>
      <w:r>
        <w:rPr>
          <w:rFonts w:ascii="Arial" w:cs="Arial" w:eastAsia="Arial" w:hAnsi="Arial"/>
          <w:sz w:val="19"/>
          <w:szCs w:val="19"/>
          <w:b w:val="1"/>
          <w:bCs w:val="1"/>
          <w:i w:val="1"/>
          <w:iCs w:val="1"/>
          <w:color w:val="auto"/>
        </w:rPr>
        <w:t>ccounts Receivable -</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Accounts receivable consists of amounts billed and currently due from customers. The amounts due are</w:t>
      </w:r>
      <w:r>
        <w:rPr>
          <w:rFonts w:ascii="Arial" w:cs="Arial" w:eastAsia="Arial" w:hAnsi="Arial"/>
          <w:sz w:val="22"/>
          <w:szCs w:val="22"/>
          <w:b w:val="1"/>
          <w:bCs w:val="1"/>
          <w:i w:val="1"/>
          <w:iCs w:val="1"/>
          <w:color w:val="auto"/>
        </w:rPr>
        <w:t xml:space="preserve"> </w:t>
      </w:r>
      <w:r>
        <w:rPr>
          <w:rFonts w:ascii="Arial" w:cs="Arial" w:eastAsia="Arial" w:hAnsi="Arial"/>
          <w:sz w:val="19"/>
          <w:szCs w:val="19"/>
          <w:color w:val="auto"/>
        </w:rPr>
        <w:t>stated net of the allowance for uncollectible accounts. The Company maintains an allowance for uncollectible receivables to provide for the estimated amount of receivables that will not be collected.</w:t>
      </w:r>
    </w:p>
    <w:p>
      <w:pPr>
        <w:spacing w:after="0" w:line="199" w:lineRule="exact"/>
        <w:rPr>
          <w:sz w:val="20"/>
          <w:szCs w:val="20"/>
          <w:color w:val="auto"/>
        </w:rPr>
      </w:pPr>
    </w:p>
    <w:p>
      <w:pPr>
        <w:ind w:left="7"/>
        <w:spacing w:after="0" w:line="265" w:lineRule="auto"/>
        <w:rPr>
          <w:sz w:val="20"/>
          <w:szCs w:val="20"/>
          <w:color w:val="auto"/>
        </w:rPr>
      </w:pPr>
      <w:r>
        <w:rPr>
          <w:rFonts w:ascii="Arial" w:cs="Arial" w:eastAsia="Arial" w:hAnsi="Arial"/>
          <w:sz w:val="19"/>
          <w:szCs w:val="19"/>
          <w:b w:val="1"/>
          <w:bCs w:val="1"/>
          <w:i w:val="1"/>
          <w:iCs w:val="1"/>
          <w:color w:val="auto"/>
        </w:rPr>
        <w:t xml:space="preserve">Allowance for Uncollectible Accounts Receivable </w:t>
      </w:r>
      <w:r>
        <w:rPr>
          <w:rFonts w:ascii="Arial" w:cs="Arial" w:eastAsia="Arial" w:hAnsi="Arial"/>
          <w:sz w:val="19"/>
          <w:szCs w:val="19"/>
          <w:color w:val="auto"/>
        </w:rPr>
        <w:t>– We maintain an allowance for uncollectible accounts receivable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estimated losses in the collection of amounts owed to us by customers. We estimate the allowance based on analyzing a number of factors, including amounts written off historically, customer payment practices, customer financial information and credit ratings, current market conditions as well as the expected future economic conditions that may impact the collection of accounts receivable. We also analyze significant customer accounts on a regular basis and record a specific allowance when we become aware of a specific customer’s inability to pay. We generally do not charge interest on accounts receivable or require collateral from our customers.</w:t>
      </w:r>
    </w:p>
    <w:p>
      <w:pPr>
        <w:spacing w:after="0" w:line="195" w:lineRule="exact"/>
        <w:rPr>
          <w:sz w:val="20"/>
          <w:szCs w:val="20"/>
          <w:color w:val="auto"/>
        </w:rPr>
      </w:pPr>
    </w:p>
    <w:p>
      <w:pPr>
        <w:jc w:val="both"/>
        <w:ind w:left="7" w:right="60"/>
        <w:spacing w:after="0" w:line="313" w:lineRule="auto"/>
        <w:rPr>
          <w:sz w:val="20"/>
          <w:szCs w:val="20"/>
          <w:color w:val="auto"/>
        </w:rPr>
      </w:pPr>
      <w:r>
        <w:rPr>
          <w:rFonts w:ascii="Arial" w:cs="Arial" w:eastAsia="Arial" w:hAnsi="Arial"/>
          <w:sz w:val="17"/>
          <w:szCs w:val="17"/>
          <w:color w:val="auto"/>
        </w:rPr>
        <w:t>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54" w:lineRule="exact"/>
        <w:rPr>
          <w:sz w:val="20"/>
          <w:szCs w:val="20"/>
          <w:color w:val="auto"/>
        </w:rPr>
      </w:pPr>
    </w:p>
    <w:p>
      <w:pPr>
        <w:ind w:left="7" w:right="200"/>
        <w:spacing w:after="0" w:line="265" w:lineRule="auto"/>
        <w:rPr>
          <w:sz w:val="20"/>
          <w:szCs w:val="20"/>
          <w:color w:val="auto"/>
        </w:rPr>
      </w:pPr>
      <w:r>
        <w:rPr>
          <w:rFonts w:ascii="Arial" w:cs="Arial" w:eastAsia="Arial" w:hAnsi="Arial"/>
          <w:sz w:val="19"/>
          <w:szCs w:val="19"/>
          <w:b w:val="1"/>
          <w:bCs w:val="1"/>
          <w:i w:val="1"/>
          <w:iCs w:val="1"/>
          <w:color w:val="auto"/>
        </w:rPr>
        <w:t xml:space="preserve">Inventories </w:t>
      </w:r>
      <w:r>
        <w:rPr>
          <w:rFonts w:ascii="Arial" w:cs="Arial" w:eastAsia="Arial" w:hAnsi="Arial"/>
          <w:sz w:val="19"/>
          <w:szCs w:val="19"/>
          <w:color w:val="auto"/>
        </w:rPr>
        <w:t>– Inventories as of December 31, 2024 and 2023 are held at Nordion. Inventories are stated at the lower of cost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net realizable value. Cost of material, labor, and manufacturing overhead are determined using standard cost, which approximates average cost. We review inventory on an ongoing basis, considering factors such as deterioration and obsolescence. We record a reserve for excess and obsolete inventory, which was immaterial at December 31, 2024 and 2023,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93" w:lineRule="exact"/>
        <w:rPr>
          <w:sz w:val="20"/>
          <w:szCs w:val="20"/>
          <w:color w:val="auto"/>
        </w:rPr>
      </w:pPr>
    </w:p>
    <w:p>
      <w:pPr>
        <w:ind w:left="7" w:right="140"/>
        <w:spacing w:after="0" w:line="299"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 Property, plant, and equipment is carried at cost, or initially at fair value if acquired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less accumulated depreciation and amortization. Except for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one to five</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10047"/>
          </w:cols>
          <w:pgMar w:left="913" w:top="544" w:right="92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360"/>
        <w:spacing w:after="0" w:line="306" w:lineRule="auto"/>
        <w:rPr>
          <w:sz w:val="20"/>
          <w:szCs w:val="20"/>
          <w:color w:val="auto"/>
        </w:rPr>
      </w:pPr>
      <w:r>
        <w:rPr>
          <w:rFonts w:ascii="Arial" w:cs="Arial" w:eastAsia="Arial" w:hAnsi="Arial"/>
          <w:sz w:val="17"/>
          <w:szCs w:val="17"/>
          <w:color w:val="auto"/>
        </w:rPr>
        <w:t>years. For software obtained or developed for internal use, all external direct costs for materials and services and certain personnel costs incurred to develop the software during the application development stage are capitalized. At December 31, 2024 and 2023, we had undepreciated software costs of $11.4 million and $7.9 million, respectively, included in property, plant, and equipment, net. We recognized $4.2 million, $3.3 million and $2.2 million, of depreciation expense related to software costs for the years ending December 31, 2024, 2023 and 2022, respectively.</w:t>
      </w:r>
    </w:p>
    <w:p>
      <w:pPr>
        <w:sectPr>
          <w:pgSz w:w="11880" w:h="15480" w:orient="portrait"/>
          <w:cols w:equalWidth="0" w:num="1">
            <w:col w:w="10040"/>
          </w:cols>
          <w:pgMar w:left="920" w:top="544" w:right="920" w:bottom="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computed using the assets’ estimated useful lives as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51435</wp:posOffset>
            </wp:positionV>
            <wp:extent cx="6410325" cy="911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6410325" cy="91186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20"/>
          <w:szCs w:val="20"/>
          <w:color w:val="auto"/>
        </w:rPr>
        <w:t>Buildings and building improvements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Machinery and equipment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Leasehold improvements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Furniture and fixtures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Computer hardware and 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15–44 years</w:t>
      </w:r>
    </w:p>
    <w:p>
      <w:pPr>
        <w:spacing w:after="0" w:line="84"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auto"/>
        </w:rPr>
        <w:t>3–30 years</w:t>
      </w:r>
    </w:p>
    <w:p>
      <w:pPr>
        <w:spacing w:after="0" w:line="61"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auto"/>
        </w:rPr>
        <w:t>2–20 years</w:t>
      </w:r>
    </w:p>
    <w:p>
      <w:pPr>
        <w:spacing w:after="0" w:line="61" w:lineRule="exact"/>
        <w:rPr>
          <w:sz w:val="20"/>
          <w:szCs w:val="20"/>
          <w:color w:val="auto"/>
        </w:rPr>
      </w:pPr>
    </w:p>
    <w:p>
      <w:pPr>
        <w:jc w:val="right"/>
        <w:ind w:right="40"/>
        <w:spacing w:after="0"/>
        <w:rPr>
          <w:sz w:val="20"/>
          <w:szCs w:val="20"/>
          <w:color w:val="auto"/>
        </w:rPr>
      </w:pPr>
      <w:r>
        <w:rPr>
          <w:rFonts w:ascii="Arial" w:cs="Arial" w:eastAsia="Arial" w:hAnsi="Arial"/>
          <w:sz w:val="19"/>
          <w:szCs w:val="19"/>
          <w:color w:val="auto"/>
        </w:rPr>
        <w:t>3–10 years</w:t>
      </w:r>
    </w:p>
    <w:p>
      <w:pPr>
        <w:spacing w:after="0" w:line="61"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1–7 years</w:t>
      </w:r>
    </w:p>
    <w:p>
      <w:pPr>
        <w:spacing w:after="0" w:line="200" w:lineRule="exact"/>
        <w:rPr>
          <w:sz w:val="20"/>
          <w:szCs w:val="20"/>
          <w:color w:val="auto"/>
        </w:rPr>
      </w:pPr>
    </w:p>
    <w:p>
      <w:pPr>
        <w:sectPr>
          <w:pgSz w:w="11880" w:h="15480" w:orient="portrait"/>
          <w:cols w:equalWidth="0" w:num="2">
            <w:col w:w="8320" w:space="720"/>
            <w:col w:w="1000"/>
          </w:cols>
          <w:pgMar w:left="920" w:top="544" w:right="920" w:bottom="0" w:gutter="0" w:footer="0" w:header="0"/>
          <w:type w:val="continuous"/>
        </w:sectPr>
      </w:pPr>
    </w:p>
    <w:p>
      <w:pPr>
        <w:spacing w:after="0" w:line="13"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66" w:lineRule="exact"/>
        <w:rPr>
          <w:sz w:val="20"/>
          <w:szCs w:val="20"/>
          <w:color w:val="auto"/>
        </w:rPr>
      </w:pPr>
    </w:p>
    <w:p>
      <w:pPr>
        <w:ind w:right="420"/>
        <w:spacing w:after="0" w:line="298" w:lineRule="auto"/>
        <w:rPr>
          <w:sz w:val="20"/>
          <w:szCs w:val="20"/>
          <w:color w:val="auto"/>
        </w:rPr>
      </w:pPr>
      <w:r>
        <w:rPr>
          <w:rFonts w:ascii="Arial" w:cs="Arial" w:eastAsia="Arial" w:hAnsi="Arial"/>
          <w:sz w:val="19"/>
          <w:szCs w:val="19"/>
          <w:color w:val="auto"/>
        </w:rPr>
        <w:t>Upon sale or retirement of assets, the cost and related accumulated depreciation is removed from the Consolidated Balance Sheets, and the resulting gain or loss is reflected as a component of operating income.</w:t>
      </w:r>
    </w:p>
    <w:p>
      <w:pPr>
        <w:spacing w:after="0" w:line="161" w:lineRule="exact"/>
        <w:rPr>
          <w:sz w:val="20"/>
          <w:szCs w:val="20"/>
          <w:color w:val="auto"/>
        </w:rPr>
      </w:pPr>
    </w:p>
    <w:p>
      <w:pPr>
        <w:ind w:right="320"/>
        <w:spacing w:after="0" w:line="254" w:lineRule="auto"/>
        <w:rPr>
          <w:sz w:val="20"/>
          <w:szCs w:val="20"/>
          <w:color w:val="auto"/>
        </w:rPr>
      </w:pPr>
      <w:r>
        <w:rPr>
          <w:rFonts w:ascii="Arial" w:cs="Arial" w:eastAsia="Arial" w:hAnsi="Arial"/>
          <w:sz w:val="20"/>
          <w:szCs w:val="20"/>
          <w:b w:val="1"/>
          <w:bCs w:val="1"/>
          <w:i w:val="1"/>
          <w:iCs w:val="1"/>
          <w:color w:val="auto"/>
        </w:rPr>
        <w:t xml:space="preserve">Leases </w:t>
      </w:r>
      <w:r>
        <w:rPr>
          <w:rFonts w:ascii="Arial" w:cs="Arial" w:eastAsia="Arial" w:hAnsi="Arial"/>
          <w:sz w:val="20"/>
          <w:szCs w:val="20"/>
          <w:color w:val="auto"/>
        </w:rPr>
        <w:t>– We determine if an agreement contains a lease and classify our leases as operating or finance at the lease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commencement date. Leases with an initial term of twelve months or less are recognized as lease expense on a straight-line basis over the lease term and are not recorded on the Consolidated Balance Sheets. Non-lease components are accounted for separately from the lease components for all asset classes.</w:t>
      </w:r>
    </w:p>
    <w:p>
      <w:pPr>
        <w:spacing w:after="0" w:line="204"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69" w:lineRule="exact"/>
        <w:rPr>
          <w:sz w:val="20"/>
          <w:szCs w:val="20"/>
          <w:color w:val="auto"/>
        </w:rPr>
      </w:pPr>
    </w:p>
    <w:p>
      <w:pPr>
        <w:ind w:right="140"/>
        <w:spacing w:after="0" w:line="264" w:lineRule="auto"/>
        <w:rPr>
          <w:sz w:val="20"/>
          <w:szCs w:val="20"/>
          <w:color w:val="auto"/>
        </w:rPr>
      </w:pPr>
      <w:r>
        <w:rPr>
          <w:rFonts w:ascii="Arial" w:cs="Arial" w:eastAsia="Arial" w:hAnsi="Arial"/>
          <w:sz w:val="19"/>
          <w:szCs w:val="19"/>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 We recognize operating lease costs on a straight-line basis over the term of the lease in “Cost of revenues” or “Selling, general and administrative expenses” on the Consolidated Statements of Operations and Comprehensive Income (Loss) depending on the nature of the underlying asset.</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i w:val="1"/>
          <w:iCs w:val="1"/>
          <w:color w:val="auto"/>
        </w:rPr>
        <w:t xml:space="preserve">Goodwill and Other Indefinite-Lived Intangibles </w:t>
      </w:r>
      <w:r>
        <w:rPr>
          <w:rFonts w:ascii="Arial" w:cs="Arial" w:eastAsia="Arial" w:hAnsi="Arial"/>
          <w:sz w:val="20"/>
          <w:szCs w:val="20"/>
          <w:color w:val="auto"/>
        </w:rPr>
        <w:t>– Goodwill and other indefinite-lived intangible assets, primarily certain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regulatory licenses and tradenames, are tested for impairment annually as of October 1. If circumstances change during interim periods between annual tests that would indicate that the carrying amount of such assets may not be recoverable, the Company tests such assets at an interim date for impairment. Factors that necessitate an interim impairment assessment include prolonged negative industry or economic trends and significant underperformance relative to historical or projected future operating results.</w:t>
      </w:r>
    </w:p>
    <w:p>
      <w:pPr>
        <w:sectPr>
          <w:pgSz w:w="11880" w:h="15480" w:orient="portrait"/>
          <w:cols w:equalWidth="0" w:num="1">
            <w:col w:w="10040"/>
          </w:cols>
          <w:pgMar w:left="920" w:top="54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10040"/>
          </w:cols>
          <w:pgMar w:left="920" w:top="544" w:right="92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We performed a quantitative assessment of all reporting units (Sterigenics, Nordion and Nelson Labs) as of October 1, 2024. The fair value of each reporting unit was calculated using a discounted cash flow analysis which was dependent on subjective market participant assumptions determined by management. We further corroborated these discounted cash flow analyses utilizing a market approach to determine the estimated enterprise fair value. Assumptions used in the analyses included discount rates, revenue growth rates and projected operating cash flows. Estimates of future cash flows are based upon relevant data at a point-in-time, are subject to change, and could vary from actual results. The estimated fair value of each reporting unit exceeded its carrying amount by a sufficient margin to support a positive assertion that goodwill is not impaired.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There have been no other significant events or circumstances that occurred since the annual assessment date of October 1 that would change the conclusions reached above.</w:t>
      </w:r>
    </w:p>
    <w:p>
      <w:pPr>
        <w:spacing w:after="0" w:line="173"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b w:val="1"/>
          <w:bCs w:val="1"/>
          <w:i w:val="1"/>
          <w:iCs w:val="1"/>
          <w:color w:val="auto"/>
        </w:rPr>
        <w:t xml:space="preserve">Derivative Instruments </w:t>
      </w:r>
      <w:r>
        <w:rPr>
          <w:rFonts w:ascii="Arial" w:cs="Arial" w:eastAsia="Arial" w:hAnsi="Arial"/>
          <w:sz w:val="17"/>
          <w:szCs w:val="17"/>
          <w:color w:val="auto"/>
        </w:rPr>
        <w:t>– We may enter into derivative instruments and hedging activities to manage, where possible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economically efficient, commodity price risk, foreign currency exchange rate risk and interest rate risk related to borrowings. We also have identified embedded derivatives in certain supply and customer contracts. Certain interest rate derivatives are designated as cash flow hedges allowing for changes in fair value to be recorded through “Other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74" w:lineRule="exact"/>
        <w:rPr>
          <w:sz w:val="20"/>
          <w:szCs w:val="20"/>
          <w:color w:val="auto"/>
        </w:rPr>
      </w:pPr>
    </w:p>
    <w:p>
      <w:pPr>
        <w:ind w:right="20"/>
        <w:spacing w:after="0" w:line="265" w:lineRule="auto"/>
        <w:rPr>
          <w:sz w:val="20"/>
          <w:szCs w:val="20"/>
          <w:color w:val="auto"/>
        </w:rPr>
      </w:pPr>
      <w:r>
        <w:rPr>
          <w:rFonts w:ascii="Arial" w:cs="Arial" w:eastAsia="Arial" w:hAnsi="Arial"/>
          <w:sz w:val="19"/>
          <w:szCs w:val="19"/>
          <w:b w:val="1"/>
          <w:bCs w:val="1"/>
          <w:i w:val="1"/>
          <w:iCs w:val="1"/>
          <w:color w:val="auto"/>
        </w:rPr>
        <w:t xml:space="preserve">Pension, Post-Retirement and Other Post-Employment Benefit Plans – </w:t>
      </w:r>
      <w:r>
        <w:rPr>
          <w:rFonts w:ascii="Arial" w:cs="Arial" w:eastAsia="Arial" w:hAnsi="Arial"/>
          <w:sz w:val="19"/>
          <w:szCs w:val="19"/>
          <w:color w:val="auto"/>
        </w:rPr>
        <w:t>We sponsor a defined-contribution retirement plan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covers substantially all U.S. employees. We also sponsor various post-employment benefit plans at our Nordion business in Canada, including defined benefit and defined contribution pension plans, retirement compensation arrangements and plans that provide extended health care coverage to retired 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95" w:lineRule="exact"/>
        <w:rPr>
          <w:sz w:val="20"/>
          <w:szCs w:val="20"/>
          <w:color w:val="auto"/>
        </w:rPr>
      </w:pPr>
    </w:p>
    <w:p>
      <w:pPr>
        <w:ind w:right="40"/>
        <w:spacing w:after="0" w:line="325" w:lineRule="auto"/>
        <w:rPr>
          <w:sz w:val="20"/>
          <w:szCs w:val="20"/>
          <w:color w:val="auto"/>
        </w:rPr>
      </w:pPr>
      <w:r>
        <w:rPr>
          <w:rFonts w:ascii="Arial" w:cs="Arial" w:eastAsia="Arial" w:hAnsi="Arial"/>
          <w:sz w:val="17"/>
          <w:szCs w:val="17"/>
          <w:color w:val="auto"/>
        </w:rPr>
        <w:t>These costs and obligations are affected by assumptions including the discount rate, the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47" w:lineRule="exact"/>
        <w:rPr>
          <w:sz w:val="20"/>
          <w:szCs w:val="20"/>
          <w:color w:val="auto"/>
        </w:rPr>
      </w:pPr>
    </w:p>
    <w:p>
      <w:pPr>
        <w:ind w:right="220"/>
        <w:spacing w:after="0" w:line="306" w:lineRule="auto"/>
        <w:rPr>
          <w:sz w:val="20"/>
          <w:szCs w:val="20"/>
          <w:color w:val="auto"/>
        </w:rPr>
      </w:pPr>
      <w:r>
        <w:rPr>
          <w:rFonts w:ascii="Arial" w:cs="Arial" w:eastAsia="Arial" w:hAnsi="Arial"/>
          <w:sz w:val="17"/>
          <w:szCs w:val="17"/>
          <w:color w:val="auto"/>
        </w:rPr>
        <w:t>We recognize the over/under funded status of defined benefit pension and post-retirement benefits plans in our Consolidated Balance Sheets. This amount is measured as the difference between the fair value of plan assets and the projected benefit obligation (“PBO”). Changes in the funded status of the plans are recorded in other comprehensive income (loss) in the year they occur. We measure plan assets and obligations as of the balance sheet date. We provide additional information about our pension and other post-retirement benefits plans in Note 11, “Employee Benefits.”</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Amortization of net gain or loss included in accumulated other comprehensive income (loss) is reclassified to net periodic pension cost if, as of the beginning of the year, that gain or loss exceeds 10% of the greater of the PBO or the market related value of the plan assets (the ‘corridor’). As most of the plan’s participants are no longer actively accruing benefits, the average remaining life expectancy is used.</w:t>
      </w:r>
    </w:p>
    <w:p>
      <w:pPr>
        <w:spacing w:after="0" w:line="201" w:lineRule="exact"/>
        <w:rPr>
          <w:sz w:val="20"/>
          <w:szCs w:val="20"/>
          <w:color w:val="auto"/>
        </w:rPr>
      </w:pPr>
    </w:p>
    <w:p>
      <w:pPr>
        <w:ind w:right="20"/>
        <w:spacing w:after="0" w:line="307" w:lineRule="auto"/>
        <w:rPr>
          <w:sz w:val="20"/>
          <w:szCs w:val="20"/>
          <w:color w:val="auto"/>
        </w:rPr>
      </w:pPr>
      <w:r>
        <w:rPr>
          <w:rFonts w:ascii="Arial" w:cs="Arial" w:eastAsia="Arial" w:hAnsi="Arial"/>
          <w:sz w:val="17"/>
          <w:szCs w:val="17"/>
          <w:b w:val="1"/>
          <w:bCs w:val="1"/>
          <w:i w:val="1"/>
          <w:iCs w:val="1"/>
          <w:color w:val="auto"/>
        </w:rPr>
        <w:t xml:space="preserve">Asset Retirement Obligations (“ARO”) </w:t>
      </w:r>
      <w:r>
        <w:rPr>
          <w:rFonts w:ascii="Arial" w:cs="Arial" w:eastAsia="Arial" w:hAnsi="Arial"/>
          <w:sz w:val="17"/>
          <w:szCs w:val="17"/>
          <w:color w:val="auto"/>
        </w:rPr>
        <w:t>– ARO are legal obligations associated with the retirement of long-lived assets 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exit of a leased facility. We 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10040"/>
          </w:cols>
          <w:pgMar w:left="920" w:top="544" w:right="92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9"/>
          <w:szCs w:val="19"/>
          <w:b w:val="1"/>
          <w:bCs w:val="1"/>
          <w:i w:val="1"/>
          <w:iCs w:val="1"/>
          <w:color w:val="auto"/>
        </w:rPr>
        <w:t xml:space="preserve">Debt Issuance Costs, Premiums and Discounts </w:t>
      </w:r>
      <w:r>
        <w:rPr>
          <w:rFonts w:ascii="Arial" w:cs="Arial" w:eastAsia="Arial" w:hAnsi="Arial"/>
          <w:sz w:val="19"/>
          <w:szCs w:val="19"/>
          <w:color w:val="auto"/>
        </w:rPr>
        <w:t>– We have incurred costs in connection with obtaining financing as well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premiums and discounts associated with our long-term debt. The portion of these fees that are capitalized are recorded as a reduction of debt on the Consolidated Balance Sheets and amortized into interest expense over the term of the debt agreement. Debt issuance costs associated with the Company’s revolving credit facilities are classified as assets unless there are outstanding borrowings under such arrangements.</w:t>
      </w:r>
    </w:p>
    <w:p>
      <w:pPr>
        <w:spacing w:after="0" w:line="191"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b w:val="1"/>
          <w:bCs w:val="1"/>
          <w:i w:val="1"/>
          <w:iCs w:val="1"/>
          <w:color w:val="auto"/>
        </w:rPr>
        <w:t xml:space="preserve">Concentration of Credit Risk, Other Risks and Uncertainties </w:t>
      </w:r>
      <w:r>
        <w:rPr>
          <w:rFonts w:ascii="Arial" w:cs="Arial" w:eastAsia="Arial" w:hAnsi="Arial"/>
          <w:sz w:val="20"/>
          <w:szCs w:val="20"/>
          <w:color w:val="auto"/>
        </w:rPr>
        <w:t>– We maintain cash and cash equivalents in the form of demand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deposits in accounts with 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Our net revenues and accounts receivable are derived from customers located primarily in North America and Europe.</w:t>
      </w:r>
    </w:p>
    <w:p>
      <w:pPr>
        <w:spacing w:after="0" w:line="252" w:lineRule="exact"/>
        <w:rPr>
          <w:sz w:val="20"/>
          <w:szCs w:val="20"/>
          <w:color w:val="auto"/>
        </w:rPr>
      </w:pPr>
    </w:p>
    <w:p>
      <w:pPr>
        <w:ind w:right="660"/>
        <w:spacing w:after="0" w:line="271" w:lineRule="auto"/>
        <w:rPr>
          <w:sz w:val="20"/>
          <w:szCs w:val="20"/>
          <w:color w:val="auto"/>
        </w:rPr>
      </w:pPr>
      <w:r>
        <w:rPr>
          <w:rFonts w:ascii="Arial" w:cs="Arial" w:eastAsia="Arial" w:hAnsi="Arial"/>
          <w:sz w:val="20"/>
          <w:szCs w:val="20"/>
          <w:color w:val="auto"/>
        </w:rPr>
        <w:t>No customer accounted for 10% or more of accounts receivable at December 31, 2024 and 2023, or 10% or more of net revenues for the years ended December 31, 2024, 2023 and 2022.</w:t>
      </w:r>
    </w:p>
    <w:p>
      <w:pPr>
        <w:spacing w:after="0" w:line="18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b w:val="1"/>
          <w:bCs w:val="1"/>
          <w:i w:val="1"/>
          <w:iCs w:val="1"/>
          <w:color w:val="auto"/>
        </w:rPr>
        <w:t xml:space="preserve">Income Taxes </w:t>
      </w:r>
      <w:r>
        <w:rPr>
          <w:rFonts w:ascii="Arial" w:cs="Arial" w:eastAsia="Arial" w:hAnsi="Arial"/>
          <w:sz w:val="20"/>
          <w:szCs w:val="20"/>
          <w:color w:val="auto"/>
        </w:rPr>
        <w:t>–We use the liability method of accounting for income taxes whereby we recognize deferred tax assets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liabilities for the future tax 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 We are subject to a tax on Global Intangible Low Taxed Income (“GILTI”) which we record as a period cost.</w:t>
      </w:r>
    </w:p>
    <w:p>
      <w:pPr>
        <w:spacing w:after="0" w:line="176"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Our policy is to recognize interest and penalties related to income tax matters as a component of the provision for income taxes in our Consolidated Statements of Operations and Comprehensive Income (Loss).</w:t>
      </w:r>
    </w:p>
    <w:p>
      <w:pPr>
        <w:spacing w:after="0" w:line="184"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 The functional currency of our foreign subsidiaries is generally the local currency.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assets and liabilities are 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w:t>
      </w:r>
    </w:p>
    <w:p>
      <w:pPr>
        <w:spacing w:after="0" w:line="158"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color w:val="auto"/>
        </w:rPr>
        <w:t>Gains or losses arising from foreign currency transactions are recognized in the Consolidated Statements of Operations and Comprehensive Income (Loss) as foreign exchange loss (gain). The Company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 For the years ended December 31, 2024, 2023 and 2022, foreign exchange loss related primarily to short-term losses (offset by short-term gains) on sales denominated in currencies other than the functional currency of our operating entities.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10040"/>
          </w:cols>
          <w:pgMar w:left="920" w:top="544" w:right="92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6"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i w:val="1"/>
          <w:iCs w:val="1"/>
          <w:color w:val="auto"/>
        </w:rPr>
        <w:t xml:space="preserve">Revenue Recognition </w:t>
      </w:r>
      <w:r>
        <w:rPr>
          <w:rFonts w:ascii="Arial" w:cs="Arial" w:eastAsia="Arial" w:hAnsi="Arial"/>
          <w:sz w:val="19"/>
          <w:szCs w:val="19"/>
          <w:color w:val="auto"/>
        </w:rPr>
        <w:t>– Revenue is recognized when control of promised goods or services is transferred to customers in 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amount that reflects the consideration to which the Company expects to be entitled in exchange for those goods or services. The majority of our sales agreements contain performance obligations satisfied at a point-in-time when control of promised goods or services have transferred to our customers. Sales recognized over time are generally accounted for using an input measure to determine progress completed as of the end of the period.</w:t>
      </w:r>
    </w:p>
    <w:p>
      <w:pPr>
        <w:spacing w:after="0" w:line="193"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Refunds, returns, warranties and other related obligations are not material to any of our segments and we do not incur material incremental costs to secure customer contracts.</w:t>
      </w:r>
    </w:p>
    <w:p>
      <w:pPr>
        <w:spacing w:after="0" w:line="186" w:lineRule="exact"/>
        <w:rPr>
          <w:sz w:val="20"/>
          <w:szCs w:val="20"/>
          <w:color w:val="auto"/>
        </w:rPr>
      </w:pPr>
    </w:p>
    <w:p>
      <w:pPr>
        <w:ind w:right="280"/>
        <w:spacing w:after="0" w:line="303" w:lineRule="auto"/>
        <w:rPr>
          <w:sz w:val="20"/>
          <w:szCs w:val="20"/>
          <w:color w:val="auto"/>
        </w:rPr>
      </w:pPr>
      <w:r>
        <w:rPr>
          <w:rFonts w:ascii="Arial" w:cs="Arial" w:eastAsia="Arial" w:hAnsi="Arial"/>
          <w:sz w:val="17"/>
          <w:szCs w:val="17"/>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customers’ purchase orders. Given the relatively short turnaround times, performance obligations are generally satisfied at a point-in-time upon the completion of sterilization or irradiation processing and approval by our quality assurance process. Sterigenics segment revenues are included in service revenues in our Consolidated Statements of Operations and Comprehensive Income (Loss).</w:t>
      </w:r>
    </w:p>
    <w:p>
      <w:pPr>
        <w:spacing w:after="0" w:line="166"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Our Nordion segment is a global provider of Co-60 and gamma irradiation systems, which are key components to the gamma sterilization process. Revenue from the sale of Co-60 sources is recognized as product revenue at a point-in-time upon satisfaction of our performance obligations for delivery of existing sources. Revenue from the sale of gamma irradiation systems is recognized as product revenue over time using an input measure of costs incurred and is immaterial to the overall business. Revenues from Co-60 installation and disposal and gamma irradiation systems refurbishments and installations are recognized as service revenue.</w:t>
      </w:r>
    </w:p>
    <w:p>
      <w:pPr>
        <w:spacing w:after="0" w:line="209"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We do not capitalize sales commissions because substantially all of our sales commission programs have an amortization period of one year or less. Furthermore, costs to fulfill a contract are not material.</w:t>
      </w:r>
    </w:p>
    <w:p>
      <w:pPr>
        <w:spacing w:after="0" w:line="186" w:lineRule="exact"/>
        <w:rPr>
          <w:sz w:val="20"/>
          <w:szCs w:val="20"/>
          <w:color w:val="auto"/>
        </w:rPr>
      </w:pPr>
    </w:p>
    <w:p>
      <w:pPr>
        <w:ind w:right="360"/>
        <w:spacing w:after="0" w:line="306" w:lineRule="auto"/>
        <w:rPr>
          <w:sz w:val="20"/>
          <w:szCs w:val="20"/>
          <w:color w:val="auto"/>
        </w:rPr>
      </w:pPr>
      <w:r>
        <w:rPr>
          <w:rFonts w:ascii="Arial" w:cs="Arial" w:eastAsia="Arial" w:hAnsi="Arial"/>
          <w:sz w:val="17"/>
          <w:szCs w:val="17"/>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65" w:lineRule="exact"/>
        <w:rPr>
          <w:sz w:val="20"/>
          <w:szCs w:val="20"/>
          <w:color w:val="auto"/>
        </w:rPr>
      </w:pPr>
    </w:p>
    <w:p>
      <w:pPr>
        <w:jc w:val="both"/>
        <w:ind w:right="40"/>
        <w:spacing w:after="0" w:line="258" w:lineRule="auto"/>
        <w:rPr>
          <w:sz w:val="20"/>
          <w:szCs w:val="20"/>
          <w:color w:val="auto"/>
        </w:rPr>
      </w:pPr>
      <w:r>
        <w:rPr>
          <w:rFonts w:ascii="Arial" w:cs="Arial" w:eastAsia="Arial" w:hAnsi="Arial"/>
          <w:sz w:val="20"/>
          <w:szCs w:val="20"/>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97"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b w:val="1"/>
          <w:bCs w:val="1"/>
          <w:i w:val="1"/>
          <w:iCs w:val="1"/>
          <w:color w:val="auto"/>
        </w:rPr>
        <w:t xml:space="preserve">Share-Based Compensation </w:t>
      </w:r>
      <w:r>
        <w:rPr>
          <w:rFonts w:ascii="Arial" w:cs="Arial" w:eastAsia="Arial" w:hAnsi="Arial"/>
          <w:sz w:val="17"/>
          <w:szCs w:val="17"/>
          <w:color w:val="auto"/>
        </w:rPr>
        <w:t>– Equity-based awards issued to employees under the Sotera Health Company 2020 Omnibus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Plan (“2020 Plan”) include restricted stock units (“RSUs”) and stock options that vest over time. Prior to our initial public offering (the “IPO” as described in Note 14, “Stockholders' Equity”), equity-based awards were issued to employees and non-employee directors in the form of partnership interests in our predecessor, Sotera Health Topco Parent, L.P. (“Topco Parent”), which vested based on either time (“time vesting awards”) or the achievement of certain performance and market conditions (“performance awards” and, together with the time vesting awards, the “pre-IPO awards”). In connection with the IPO, Topco Parent made in-kind distributions of restricted shares of our common stock to holders of pre-IPO awards as described in Note 14, “Stockholders' Equity.” The restricted shares of our common stock distributed in respect of pre-IPO time vesting awards vest through June 2025; expense related to these unvested awards will be recognized over the remaining vesting period. Expense attributable to the performance awards was recognized in its entirety in the year ended December 31, 2020 as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10040"/>
          </w:cols>
          <w:pgMar w:left="920" w:top="544" w:right="920" w:bottom="0" w:gutter="0" w:footer="0" w:header="0"/>
          <w:type w:val="continuous"/>
        </w:sectPr>
      </w:pPr>
    </w:p>
    <w:bookmarkStart w:id="88" w:name="page89"/>
    <w:bookmarkEnd w:id="88"/>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7"/>
        <w:spacing w:after="0" w:line="263" w:lineRule="auto"/>
        <w:rPr>
          <w:sz w:val="20"/>
          <w:szCs w:val="20"/>
          <w:color w:val="auto"/>
        </w:rPr>
      </w:pPr>
      <w:r>
        <w:rPr>
          <w:rFonts w:ascii="Arial" w:cs="Arial" w:eastAsia="Arial" w:hAnsi="Arial"/>
          <w:sz w:val="19"/>
          <w:szCs w:val="19"/>
          <w:color w:val="auto"/>
        </w:rPr>
        <w:t>the related performance conditions were considered probable of achievement and the implied service condition was met. Share-based compensation expense is recognized in the Consolidated Statements of Operations and Comprehensive Income (Loss), primarily within “Selling, general and administrative expenses” at the grant date fair value over the requisite service period (one to four years for awards granted under the 2020 Plan and five years for time vesting pre-IPO awards on a straight-line basis). Fair value of the pre-IPO awards was estimated on the date of grant using a simulation-based option valuation model incorporating multiple and variable assumptions over time, including assumptions such as employee forfeitures, unit price volatility and dividend assumptions. We use the Black-Scholes option pricing model to measure the grant date fair value of stock options awarded under the 2020 Plan using certain valuation assumptions. Share-based compensation expense for all awards recognizes forfeitures as they occur.</w:t>
      </w:r>
    </w:p>
    <w:p>
      <w:pPr>
        <w:spacing w:after="0" w:line="195" w:lineRule="exact"/>
        <w:rPr>
          <w:sz w:val="20"/>
          <w:szCs w:val="20"/>
          <w:color w:val="auto"/>
        </w:rPr>
      </w:pPr>
    </w:p>
    <w:p>
      <w:pPr>
        <w:ind w:left="7" w:right="80"/>
        <w:spacing w:after="0" w:line="295" w:lineRule="auto"/>
        <w:rPr>
          <w:sz w:val="20"/>
          <w:szCs w:val="20"/>
          <w:color w:val="auto"/>
        </w:rPr>
      </w:pPr>
      <w:r>
        <w:rPr>
          <w:rFonts w:ascii="Arial" w:cs="Arial" w:eastAsia="Arial" w:hAnsi="Arial"/>
          <w:sz w:val="17"/>
          <w:szCs w:val="17"/>
          <w:b w:val="1"/>
          <w:bCs w:val="1"/>
          <w:i w:val="1"/>
          <w:iCs w:val="1"/>
          <w:color w:val="auto"/>
        </w:rPr>
        <w:t xml:space="preserve">Earnings (Loss) Per Share </w:t>
      </w:r>
      <w:r>
        <w:rPr>
          <w:rFonts w:ascii="Arial" w:cs="Arial" w:eastAsia="Arial" w:hAnsi="Arial"/>
          <w:sz w:val="17"/>
          <w:szCs w:val="17"/>
          <w:color w:val="auto"/>
        </w:rPr>
        <w:t>– In periods in which the Company has net income, earnings per share information is determined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the two-class method, which includes the weighted-average number of common shares outstanding during the period and securities that participate in dividends (“participating securities”). Our unvested restricted common stock distributed in respect of partnership interests in Topco Parent (“pre-IPO Class B-1 restricted stock awards”) has the right to receive non-forfeitable dividends or dividend equivalents if the Company declares dividends on its common stock. Under the two-class method, earnings are allocated to both common stock shares and participating securities based on their respective weighted-average shares outstanding for the period. Diluted earnings (loss) per common share incorporates the dilutive effect of common stock equivalents on an average basis during the period, if dilutive, in which case the dilutive effect of such securities is calculated using the more dilutive of (a) the two-class method, or (b) treasury stock method, as applicable, to the potentially dilutive instruments. Unvested restricted common stock is not included in the weighted average common shares outstanding figure within earnings per share until the period in which the vesting condition is satisfied. In periods in which the Company has a net loss, the two-class method is not applicable because the pre-IPO Class B-1 restricted stock awards do not participate in losses. Refer to Note 16, “Earnings (Loss) Per Share” for additional information.</w:t>
      </w:r>
    </w:p>
    <w:p>
      <w:pPr>
        <w:spacing w:after="0" w:line="169" w:lineRule="exact"/>
        <w:rPr>
          <w:sz w:val="20"/>
          <w:szCs w:val="20"/>
          <w:color w:val="auto"/>
        </w:rPr>
      </w:pPr>
    </w:p>
    <w:p>
      <w:pPr>
        <w:ind w:left="7" w:right="60"/>
        <w:spacing w:after="0" w:line="254" w:lineRule="auto"/>
        <w:rPr>
          <w:sz w:val="20"/>
          <w:szCs w:val="20"/>
          <w:color w:val="auto"/>
        </w:rPr>
      </w:pPr>
      <w:r>
        <w:rPr>
          <w:rFonts w:ascii="Arial" w:cs="Arial" w:eastAsia="Arial" w:hAnsi="Arial"/>
          <w:sz w:val="20"/>
          <w:szCs w:val="20"/>
          <w:b w:val="1"/>
          <w:bCs w:val="1"/>
          <w:i w:val="1"/>
          <w:iCs w:val="1"/>
          <w:color w:val="auto"/>
        </w:rPr>
        <w:t xml:space="preserve">Treasury Stock </w:t>
      </w:r>
      <w:r>
        <w:rPr>
          <w:rFonts w:ascii="Arial" w:cs="Arial" w:eastAsia="Arial" w:hAnsi="Arial"/>
          <w:sz w:val="20"/>
          <w:szCs w:val="20"/>
          <w:color w:val="auto"/>
        </w:rPr>
        <w:t>– The Company records repurchases of its own common stock at cost. Repurchased common stock is presented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a reduction of equity in the Consolidated Balance Sheets. The difference between the repurchase and reissue price of the Company’s own stock is added to or deducted from additional paid-in capital. The cost of Treasury Stock reissued is calculated using a weighted average cost method.</w:t>
      </w:r>
    </w:p>
    <w:p>
      <w:pPr>
        <w:spacing w:after="0" w:line="202" w:lineRule="exact"/>
        <w:rPr>
          <w:sz w:val="20"/>
          <w:szCs w:val="20"/>
          <w:color w:val="auto"/>
        </w:rPr>
      </w:pPr>
    </w:p>
    <w:p>
      <w:pPr>
        <w:ind w:left="7" w:right="100"/>
        <w:spacing w:after="0" w:line="301" w:lineRule="auto"/>
        <w:rPr>
          <w:sz w:val="20"/>
          <w:szCs w:val="20"/>
          <w:color w:val="auto"/>
        </w:rPr>
      </w:pP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color w:val="auto"/>
        </w:rPr>
        <w:t>– Certain conditions may exist as of the date of the consolidated financial statements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result in a loss to the Company but will only be resolved when one or more future events occur or fail to occur. Such liabilities for loss contingencies arising from claims, assessments, litigation, fines, penalties, settlement agreements,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78"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Recent Accounting Standards</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Adoption of Accounting Standard Updates</w:t>
      </w:r>
    </w:p>
    <w:p>
      <w:pPr>
        <w:spacing w:after="0" w:line="208" w:lineRule="exact"/>
        <w:rPr>
          <w:sz w:val="20"/>
          <w:szCs w:val="20"/>
          <w:color w:val="auto"/>
        </w:rPr>
      </w:pPr>
    </w:p>
    <w:p>
      <w:pPr>
        <w:ind w:left="7" w:right="100"/>
        <w:spacing w:after="0" w:line="254" w:lineRule="auto"/>
        <w:rPr>
          <w:sz w:val="20"/>
          <w:szCs w:val="20"/>
          <w:color w:val="auto"/>
        </w:rPr>
      </w:pPr>
      <w:r>
        <w:rPr>
          <w:rFonts w:ascii="Arial" w:cs="Arial" w:eastAsia="Arial" w:hAnsi="Arial"/>
          <w:sz w:val="20"/>
          <w:szCs w:val="20"/>
          <w:color w:val="auto"/>
        </w:rPr>
        <w:t>In the year ended December 31, 2024, we adopted Accounting Standards Update (“ASU”) 2023-07-Segment Reporting (Topic 280): Improvements to Reportable Segment Disclosures. The amendments in ASU 2023-07 require an entity to provide enhanced disclosures about significant segment expenses. The adoption of this standard did not have a material impact on our consolidated financial statements and disclosures.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ASUs Issued But Not Yet Adopted</w:t>
      </w:r>
    </w:p>
    <w:p>
      <w:pPr>
        <w:spacing w:after="0" w:line="208" w:lineRule="exact"/>
        <w:rPr>
          <w:sz w:val="20"/>
          <w:szCs w:val="20"/>
          <w:color w:val="auto"/>
        </w:rPr>
      </w:pPr>
    </w:p>
    <w:p>
      <w:pPr>
        <w:ind w:left="7"/>
        <w:spacing w:after="0" w:line="300" w:lineRule="auto"/>
        <w:rPr>
          <w:sz w:val="20"/>
          <w:szCs w:val="20"/>
          <w:color w:val="auto"/>
        </w:rPr>
      </w:pPr>
      <w:r>
        <w:rPr>
          <w:rFonts w:ascii="Arial" w:cs="Arial" w:eastAsia="Arial" w:hAnsi="Arial"/>
          <w:sz w:val="17"/>
          <w:szCs w:val="17"/>
          <w:color w:val="auto"/>
        </w:rPr>
        <w:t>In December 2023, the FASB issued ASU 2023-09-Income Taxes (Topic 740): Improvements to Income Tax Disclosures. The amendments in this ASU require entities to disclose, on an annual basis, specific categories in the reconciliation of the provision (benefit) for income taxes to the statutory rate and provide additional information for reconciling items that meet a quantitative threshold. Additionally, the update requires entities to disclose a disaggregation of taxes paid by category (federal, state and foreign taxes) as well as individual jurisdictions. For public business entities, the amendments in this ASU are effective for annual periods beginning after December 15, 2024. The Company is in the process of evaluating the impact of this standard on our consolidated financial statements and disclosures.</w:t>
      </w:r>
    </w:p>
    <w:p>
      <w:pPr>
        <w:sectPr>
          <w:pgSz w:w="11880" w:h="15480" w:orient="portrait"/>
          <w:cols w:equalWidth="0" w:num="1">
            <w:col w:w="10047"/>
          </w:cols>
          <w:pgMar w:left="913" w:top="544" w:right="920" w:bottom="0" w:gutter="0" w:footer="0" w:header="0"/>
        </w:sectPr>
      </w:pPr>
    </w:p>
    <w:p>
      <w:pPr>
        <w:spacing w:after="0" w:line="35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10047"/>
          </w:cols>
          <w:pgMar w:left="913" w:top="544" w:right="920" w:bottom="0" w:gutter="0" w:footer="0" w:header="0"/>
          <w:type w:val="continuous"/>
        </w:sectPr>
      </w:pPr>
    </w:p>
    <w:bookmarkStart w:id="89" w:name="page90"/>
    <w:bookmarkEnd w:id="89"/>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7" w:right="40"/>
        <w:spacing w:after="0" w:line="299" w:lineRule="auto"/>
        <w:rPr>
          <w:sz w:val="20"/>
          <w:szCs w:val="20"/>
          <w:color w:val="auto"/>
        </w:rPr>
      </w:pPr>
      <w:r>
        <w:rPr>
          <w:rFonts w:ascii="Arial" w:cs="Arial" w:eastAsia="Arial" w:hAnsi="Arial"/>
          <w:sz w:val="17"/>
          <w:szCs w:val="17"/>
          <w:color w:val="auto"/>
        </w:rPr>
        <w:t>In November 2024, the FASB issued ASU 2024-03-Income Statement-Reporting Comprehensive Income-Expense Disaggregation Disclosures (Subtopic 220-40): Disaggregation of Income Statement Expenses. The amendments in this ASU requires entities to disaggregate certain expense captions into specified categories in disclosures within the footnotes to the financial statements. The Company is in the process of evaluating the impact of this standard on our consolidated financial statements and disclosures. In January 2025, the FASB issued ASU 2025-01, which revises the effective date of ASU 2024-03 and clarifies that entities are required to adopt the guidance in annual reporting periods beginning after December 15, 2026, and interim periods within annual reporting periods beginning after December 15, 2027. The Company is in the process of evaluating the impact of this standard on our consolidated financial statements and disclosures.</w:t>
      </w:r>
    </w:p>
    <w:p>
      <w:pPr>
        <w:spacing w:after="0" w:line="279" w:lineRule="exact"/>
        <w:rPr>
          <w:sz w:val="20"/>
          <w:szCs w:val="20"/>
          <w:color w:val="auto"/>
        </w:rPr>
      </w:pPr>
    </w:p>
    <w:p>
      <w:pPr>
        <w:ind w:left="347" w:hanging="347"/>
        <w:spacing w:after="0"/>
        <w:tabs>
          <w:tab w:leader="none" w:pos="347"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30" w:lineRule="exact"/>
        <w:rPr>
          <w:sz w:val="20"/>
          <w:szCs w:val="20"/>
          <w:color w:val="auto"/>
        </w:rPr>
      </w:pPr>
    </w:p>
    <w:p>
      <w:pPr>
        <w:ind w:left="7" w:right="420"/>
        <w:spacing w:after="0" w:line="271" w:lineRule="auto"/>
        <w:rPr>
          <w:sz w:val="20"/>
          <w:szCs w:val="20"/>
          <w:color w:val="auto"/>
        </w:rPr>
      </w:pPr>
      <w:r>
        <w:rPr>
          <w:rFonts w:ascii="Arial" w:cs="Arial" w:eastAsia="Arial" w:hAnsi="Arial"/>
          <w:sz w:val="20"/>
          <w:szCs w:val="20"/>
          <w:color w:val="auto"/>
        </w:rPr>
        <w:t>The following table shows disaggregated net revenues from contracts with external customers by timing of revenue and by segment for the years ended December 31, 2024, 2023 and 2022:</w:t>
      </w:r>
    </w:p>
    <w:p>
      <w:pPr>
        <w:spacing w:after="0" w:line="259" w:lineRule="exact"/>
        <w:rPr>
          <w:sz w:val="20"/>
          <w:szCs w:val="20"/>
          <w:color w:val="auto"/>
        </w:rPr>
      </w:pPr>
    </w:p>
    <w:tbl>
      <w:tblPr>
        <w:tblLayout w:type="fixed"/>
        <w:tblInd w:w="47"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6"/>
                <w:szCs w:val="16"/>
                <w:b w:val="1"/>
                <w:bCs w:val="1"/>
                <w:color w:val="auto"/>
                <w:w w:val="89"/>
              </w:rPr>
              <w:t>Year Ended December 31, 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5"/>
        </w:trPr>
        <w:tc>
          <w:tcPr>
            <w:tcW w:w="4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85"/>
              </w:rPr>
              <w:t>Sterigenics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Nordion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6"/>
              </w:rPr>
              <w:t>Nelson Labs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w w:val="84"/>
              </w:rPr>
              <w:t>Consolidated</w:t>
            </w:r>
          </w:p>
        </w:tc>
      </w:tr>
      <w:tr>
        <w:trPr>
          <w:trHeight w:val="256"/>
        </w:trPr>
        <w:tc>
          <w:tcPr>
            <w:tcW w:w="4960" w:type="dxa"/>
            <w:vAlign w:val="bottom"/>
          </w:tcPr>
          <w:p>
            <w:pPr>
              <w:spacing w:after="0"/>
              <w:rPr>
                <w:sz w:val="20"/>
                <w:szCs w:val="20"/>
                <w:color w:val="auto"/>
              </w:rPr>
            </w:pPr>
            <w:r>
              <w:rPr>
                <w:rFonts w:ascii="Arial" w:cs="Arial" w:eastAsia="Arial" w:hAnsi="Arial"/>
                <w:sz w:val="20"/>
                <w:szCs w:val="20"/>
                <w:b w:val="1"/>
                <w:bCs w:val="1"/>
                <w:color w:val="auto"/>
              </w:rPr>
              <w:t>Point in time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697,853</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171,285</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869,138</w:t>
            </w:r>
          </w:p>
        </w:tc>
      </w:tr>
      <w:tr>
        <w:trPr>
          <w:trHeight w:val="283"/>
        </w:trPr>
        <w:tc>
          <w:tcPr>
            <w:tcW w:w="4960" w:type="dxa"/>
            <w:vAlign w:val="bottom"/>
          </w:tcPr>
          <w:p>
            <w:pPr>
              <w:spacing w:after="0"/>
              <w:rPr>
                <w:sz w:val="20"/>
                <w:szCs w:val="20"/>
                <w:color w:val="auto"/>
              </w:rPr>
            </w:pPr>
            <w:r>
              <w:rPr>
                <w:rFonts w:ascii="Arial" w:cs="Arial" w:eastAsia="Arial" w:hAnsi="Arial"/>
                <w:sz w:val="20"/>
                <w:szCs w:val="20"/>
                <w:b w:val="1"/>
                <w:bCs w:val="1"/>
                <w:color w:val="auto"/>
              </w:rPr>
              <w:t>Over time</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229,233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231,303</w:t>
            </w:r>
          </w:p>
        </w:tc>
      </w:tr>
      <w:tr>
        <w:trPr>
          <w:trHeight w:val="240"/>
        </w:trPr>
        <w:tc>
          <w:tcPr>
            <w:tcW w:w="49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697,853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173,355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229,233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1,100,441</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8"/>
        </w:trPr>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6"/>
                <w:szCs w:val="16"/>
                <w:b w:val="1"/>
                <w:bCs w:val="1"/>
                <w:color w:val="auto"/>
                <w:w w:val="89"/>
              </w:rPr>
              <w:t>Year Ended December 31, 2023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5"/>
        </w:trPr>
        <w:tc>
          <w:tcPr>
            <w:tcW w:w="4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85"/>
              </w:rPr>
              <w:t>Sterigenics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Nordion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6"/>
              </w:rPr>
              <w:t>Nelson Labs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w w:val="84"/>
              </w:rPr>
              <w:t>Consolidated</w:t>
            </w:r>
          </w:p>
        </w:tc>
      </w:tr>
      <w:tr>
        <w:trPr>
          <w:trHeight w:val="256"/>
        </w:trPr>
        <w:tc>
          <w:tcPr>
            <w:tcW w:w="4960" w:type="dxa"/>
            <w:vAlign w:val="bottom"/>
          </w:tcPr>
          <w:p>
            <w:pPr>
              <w:spacing w:after="0"/>
              <w:rPr>
                <w:sz w:val="20"/>
                <w:szCs w:val="20"/>
                <w:color w:val="auto"/>
              </w:rPr>
            </w:pPr>
            <w:r>
              <w:rPr>
                <w:rFonts w:ascii="Arial" w:cs="Arial" w:eastAsia="Arial" w:hAnsi="Arial"/>
                <w:sz w:val="20"/>
                <w:szCs w:val="20"/>
                <w:b w:val="1"/>
                <w:bCs w:val="1"/>
                <w:color w:val="auto"/>
              </w:rPr>
              <w:t>Point in time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667,130</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153,747</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820,877</w:t>
            </w:r>
          </w:p>
        </w:tc>
      </w:tr>
      <w:tr>
        <w:trPr>
          <w:trHeight w:val="283"/>
        </w:trPr>
        <w:tc>
          <w:tcPr>
            <w:tcW w:w="4960" w:type="dxa"/>
            <w:vAlign w:val="bottom"/>
          </w:tcPr>
          <w:p>
            <w:pPr>
              <w:spacing w:after="0"/>
              <w:rPr>
                <w:sz w:val="20"/>
                <w:szCs w:val="20"/>
                <w:color w:val="auto"/>
              </w:rPr>
            </w:pPr>
            <w:r>
              <w:rPr>
                <w:rFonts w:ascii="Arial" w:cs="Arial" w:eastAsia="Arial" w:hAnsi="Arial"/>
                <w:sz w:val="20"/>
                <w:szCs w:val="20"/>
                <w:b w:val="1"/>
                <w:bCs w:val="1"/>
                <w:color w:val="auto"/>
              </w:rPr>
              <w:t>Over time</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221,699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228,411</w:t>
            </w:r>
          </w:p>
        </w:tc>
      </w:tr>
      <w:tr>
        <w:trPr>
          <w:trHeight w:val="240"/>
        </w:trPr>
        <w:tc>
          <w:tcPr>
            <w:tcW w:w="49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667,130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160,459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221,699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1,049,288</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28"/>
        </w:trPr>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6"/>
                <w:szCs w:val="16"/>
                <w:b w:val="1"/>
                <w:bCs w:val="1"/>
                <w:color w:val="auto"/>
                <w:w w:val="89"/>
              </w:rPr>
              <w:t>Year Ended December 31, 2022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5"/>
        </w:trPr>
        <w:tc>
          <w:tcPr>
            <w:tcW w:w="4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85"/>
              </w:rPr>
              <w:t>Sterigenics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Nordion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w w:val="86"/>
              </w:rPr>
              <w:t>Nelson Labs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w w:val="84"/>
              </w:rPr>
              <w:t>Consolidated</w:t>
            </w:r>
          </w:p>
        </w:tc>
      </w:tr>
      <w:tr>
        <w:trPr>
          <w:trHeight w:val="256"/>
        </w:trPr>
        <w:tc>
          <w:tcPr>
            <w:tcW w:w="4960" w:type="dxa"/>
            <w:vAlign w:val="bottom"/>
          </w:tcPr>
          <w:p>
            <w:pPr>
              <w:spacing w:after="0"/>
              <w:rPr>
                <w:sz w:val="20"/>
                <w:szCs w:val="20"/>
                <w:color w:val="auto"/>
              </w:rPr>
            </w:pPr>
            <w:r>
              <w:rPr>
                <w:rFonts w:ascii="Arial" w:cs="Arial" w:eastAsia="Arial" w:hAnsi="Arial"/>
                <w:sz w:val="20"/>
                <w:szCs w:val="20"/>
                <w:b w:val="1"/>
                <w:bCs w:val="1"/>
                <w:color w:val="auto"/>
              </w:rPr>
              <w:t>Point in time</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626,646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147,499</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774,145</w:t>
            </w:r>
          </w:p>
        </w:tc>
      </w:tr>
      <w:tr>
        <w:trPr>
          <w:trHeight w:val="283"/>
        </w:trPr>
        <w:tc>
          <w:tcPr>
            <w:tcW w:w="4960" w:type="dxa"/>
            <w:vAlign w:val="bottom"/>
          </w:tcPr>
          <w:p>
            <w:pPr>
              <w:spacing w:after="0"/>
              <w:rPr>
                <w:sz w:val="20"/>
                <w:szCs w:val="20"/>
                <w:color w:val="auto"/>
              </w:rPr>
            </w:pPr>
            <w:r>
              <w:rPr>
                <w:rFonts w:ascii="Arial" w:cs="Arial" w:eastAsia="Arial" w:hAnsi="Arial"/>
                <w:sz w:val="20"/>
                <w:szCs w:val="20"/>
                <w:b w:val="1"/>
                <w:bCs w:val="1"/>
                <w:color w:val="auto"/>
              </w:rPr>
              <w:t>Over time</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6,140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223,402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229,542</w:t>
            </w:r>
          </w:p>
        </w:tc>
      </w:tr>
      <w:tr>
        <w:trPr>
          <w:trHeight w:val="240"/>
        </w:trPr>
        <w:tc>
          <w:tcPr>
            <w:tcW w:w="496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626,646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153,639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223,402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1,003,687</w:t>
            </w:r>
          </w:p>
        </w:tc>
      </w:tr>
      <w:tr>
        <w:trPr>
          <w:trHeight w:val="20"/>
        </w:trPr>
        <w:tc>
          <w:tcPr>
            <w:tcW w:w="4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-2647950</wp:posOffset>
            </wp:positionV>
            <wp:extent cx="6410325" cy="5702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6410325" cy="5702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-1605280</wp:posOffset>
            </wp:positionV>
            <wp:extent cx="6410325" cy="570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6410325" cy="5702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-563245</wp:posOffset>
            </wp:positionV>
            <wp:extent cx="6410325" cy="570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pacing w:after="0" w:line="223" w:lineRule="exact"/>
        <w:rPr>
          <w:sz w:val="20"/>
          <w:szCs w:val="20"/>
          <w:color w:val="auto"/>
        </w:rPr>
      </w:pPr>
    </w:p>
    <w:p>
      <w:pPr>
        <w:ind w:left="7" w:right="200"/>
        <w:spacing w:after="0" w:line="271" w:lineRule="auto"/>
        <w:rPr>
          <w:sz w:val="20"/>
          <w:szCs w:val="20"/>
          <w:color w:val="auto"/>
        </w:rPr>
      </w:pPr>
      <w:r>
        <w:rPr>
          <w:rFonts w:ascii="Arial" w:cs="Arial" w:eastAsia="Arial" w:hAnsi="Arial"/>
          <w:sz w:val="19"/>
          <w:szCs w:val="19"/>
          <w:color w:val="auto"/>
        </w:rPr>
        <w:t>When we receive consideration from a customer prior to transferring goods or services under the terms of a sales contract, we record deferred revenue, which represents a contract liability. Deferred revenue totaled $15.1 million and $13.5 million at December 31, 2024 and 2023, respectively. We recognize deferred revenue after we have transferred control of the goods or services to the customer and all revenue recognition criteria are met.</w:t>
      </w:r>
    </w:p>
    <w:p>
      <w:pPr>
        <w:spacing w:after="0" w:line="300" w:lineRule="exact"/>
        <w:rPr>
          <w:sz w:val="20"/>
          <w:szCs w:val="20"/>
          <w:color w:val="auto"/>
        </w:rPr>
      </w:pPr>
    </w:p>
    <w:p>
      <w:pPr>
        <w:ind w:left="347" w:hanging="347"/>
        <w:spacing w:after="0"/>
        <w:tabs>
          <w:tab w:leader="none" w:pos="347"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Inventories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20"/>
          <w:szCs w:val="20"/>
          <w:color w:val="auto"/>
        </w:rPr>
        <w:t>Inventories consisted of the following:</w:t>
      </w:r>
    </w:p>
    <w:p>
      <w:pPr>
        <w:spacing w:after="0" w:line="185"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90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Raw materials and supplies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40" w:type="dxa"/>
            <w:vAlign w:val="bottom"/>
            <w:gridSpan w:val="3"/>
            <w:vMerge w:val="continue"/>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42,408</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43,411</w:t>
            </w:r>
          </w:p>
        </w:tc>
        <w:tc>
          <w:tcPr>
            <w:tcW w:w="0" w:type="dxa"/>
            <w:vAlign w:val="bottom"/>
          </w:tcPr>
          <w:p>
            <w:pPr>
              <w:spacing w:after="0"/>
              <w:rPr>
                <w:sz w:val="1"/>
                <w:szCs w:val="1"/>
                <w:color w:val="auto"/>
              </w:rPr>
            </w:pPr>
          </w:p>
        </w:tc>
      </w:tr>
      <w:tr>
        <w:trPr>
          <w:trHeight w:val="276"/>
        </w:trPr>
        <w:tc>
          <w:tcPr>
            <w:tcW w:w="7540" w:type="dxa"/>
            <w:vAlign w:val="bottom"/>
            <w:gridSpan w:val="3"/>
          </w:tcPr>
          <w:p>
            <w:pPr>
              <w:spacing w:after="0"/>
              <w:rPr>
                <w:sz w:val="20"/>
                <w:szCs w:val="20"/>
                <w:color w:val="auto"/>
              </w:rPr>
            </w:pPr>
            <w:r>
              <w:rPr>
                <w:rFonts w:ascii="Arial" w:cs="Arial" w:eastAsia="Arial" w:hAnsi="Arial"/>
                <w:sz w:val="20"/>
                <w:szCs w:val="20"/>
                <w:color w:val="auto"/>
              </w:rPr>
              <w:t>Work-in-process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929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471</w:t>
            </w:r>
          </w:p>
        </w:tc>
        <w:tc>
          <w:tcPr>
            <w:tcW w:w="0" w:type="dxa"/>
            <w:vAlign w:val="bottom"/>
          </w:tcPr>
          <w:p>
            <w:pPr>
              <w:spacing w:after="0"/>
              <w:rPr>
                <w:sz w:val="1"/>
                <w:szCs w:val="1"/>
                <w:color w:val="auto"/>
              </w:rPr>
            </w:pPr>
          </w:p>
        </w:tc>
      </w:tr>
      <w:tr>
        <w:trPr>
          <w:trHeight w:val="283"/>
        </w:trPr>
        <w:tc>
          <w:tcPr>
            <w:tcW w:w="7540" w:type="dxa"/>
            <w:vAlign w:val="bottom"/>
            <w:gridSpan w:val="3"/>
          </w:tcPr>
          <w:p>
            <w:pPr>
              <w:spacing w:after="0"/>
              <w:rPr>
                <w:sz w:val="20"/>
                <w:szCs w:val="20"/>
                <w:color w:val="auto"/>
              </w:rPr>
            </w:pPr>
            <w:r>
              <w:rPr>
                <w:rFonts w:ascii="Arial" w:cs="Arial" w:eastAsia="Arial" w:hAnsi="Arial"/>
                <w:sz w:val="20"/>
                <w:szCs w:val="20"/>
                <w:color w:val="auto"/>
              </w:rPr>
              <w:t>Finished goods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6,039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4,670</w:t>
            </w: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49,376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48,552</w:t>
            </w:r>
          </w:p>
        </w:tc>
        <w:tc>
          <w:tcPr>
            <w:tcW w:w="0" w:type="dxa"/>
            <w:vAlign w:val="bottom"/>
          </w:tcPr>
          <w:p>
            <w:pPr>
              <w:spacing w:after="0"/>
              <w:rPr>
                <w:sz w:val="1"/>
                <w:szCs w:val="1"/>
                <w:color w:val="auto"/>
              </w:rPr>
            </w:pPr>
          </w:p>
        </w:tc>
      </w:tr>
      <w:tr>
        <w:trPr>
          <w:trHeight w:val="280"/>
        </w:trPr>
        <w:tc>
          <w:tcPr>
            <w:tcW w:w="7540" w:type="dxa"/>
            <w:vAlign w:val="bottom"/>
            <w:gridSpan w:val="3"/>
          </w:tcPr>
          <w:p>
            <w:pPr>
              <w:spacing w:after="0"/>
              <w:rPr>
                <w:sz w:val="20"/>
                <w:szCs w:val="20"/>
                <w:color w:val="auto"/>
              </w:rPr>
            </w:pPr>
            <w:r>
              <w:rPr>
                <w:rFonts w:ascii="Arial" w:cs="Arial" w:eastAsia="Arial" w:hAnsi="Arial"/>
                <w:sz w:val="20"/>
                <w:szCs w:val="20"/>
                <w:color w:val="auto"/>
              </w:rPr>
              <w:t>Reserve for excess and obsolete inventory</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40"/>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Inventories, net</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49,158</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48,316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-1094740</wp:posOffset>
            </wp:positionV>
            <wp:extent cx="6410325" cy="1101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10047"/>
          </w:cols>
          <w:pgMar w:left="913" w:top="544" w:right="920" w:bottom="0" w:gutter="0" w:footer="0" w:header="0"/>
          <w:type w:val="continuous"/>
        </w:sectPr>
      </w:pPr>
    </w:p>
    <w:bookmarkStart w:id="90" w:name="page91"/>
    <w:bookmarkEnd w:id="90"/>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ind w:left="347" w:hanging="347"/>
        <w:spacing w:after="0"/>
        <w:tabs>
          <w:tab w:leader="none" w:pos="347"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Prepaid Expenses and Other Current Assets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20"/>
          <w:szCs w:val="20"/>
          <w:color w:val="auto"/>
        </w:rPr>
        <w:t>Prepaid expenses and other current assets consisted of the following:</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Pr>
          <w:p>
            <w:pPr>
              <w:spacing w:after="0"/>
              <w:rPr>
                <w:sz w:val="18"/>
                <w:szCs w:val="18"/>
                <w:color w:val="auto"/>
              </w:rPr>
            </w:pPr>
          </w:p>
        </w:tc>
        <w:tc>
          <w:tcPr>
            <w:tcW w:w="96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Prepaid taxes</w:t>
            </w:r>
          </w:p>
        </w:tc>
        <w:tc>
          <w:tcPr>
            <w:tcW w:w="6240" w:type="dxa"/>
            <w:vAlign w:val="bottom"/>
            <w:gridSpan w:val="2"/>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300" w:type="dxa"/>
            <w:vAlign w:val="bottom"/>
            <w:vMerge w:val="continue"/>
          </w:tcPr>
          <w:p>
            <w:pPr>
              <w:spacing w:after="0"/>
              <w:rPr>
                <w:sz w:val="22"/>
                <w:szCs w:val="22"/>
                <w:color w:val="auto"/>
              </w:rPr>
            </w:pPr>
          </w:p>
        </w:tc>
        <w:tc>
          <w:tcPr>
            <w:tcW w:w="6240" w:type="dxa"/>
            <w:vAlign w:val="bottom"/>
            <w:gridSpan w:val="2"/>
            <w:vMerge w:val="continue"/>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4,993</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4,129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Prepaid business insurance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6,993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7,174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Prepaid rent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1,223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1,150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Customer contract assets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15,213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17,785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Current deposits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807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715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Prepaid maintenance contracts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422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Value added tax receivable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3,614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4,306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Prepaid software licensing</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2,590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2,503</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Stock supplies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4,025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3,669</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Embedded derivatives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2,689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1,225</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8,246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10,768</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Prepaid expenses and other current assets</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51,031</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53,846</w:t>
            </w:r>
          </w:p>
        </w:tc>
        <w:tc>
          <w:tcPr>
            <w:tcW w:w="0" w:type="dxa"/>
            <w:vAlign w:val="bottom"/>
          </w:tcPr>
          <w:p>
            <w:pPr>
              <w:spacing w:after="0"/>
              <w:rPr>
                <w:sz w:val="1"/>
                <w:szCs w:val="1"/>
                <w:color w:val="auto"/>
              </w:rPr>
            </w:pPr>
          </w:p>
        </w:tc>
      </w:tr>
      <w:tr>
        <w:trPr>
          <w:trHeight w:val="20"/>
        </w:trPr>
        <w:tc>
          <w:tcPr>
            <w:tcW w:w="758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6.  Property, Plant and Equipment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75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580" w:type="dxa"/>
            <w:vAlign w:val="bottom"/>
            <w:gridSpan w:val="4"/>
          </w:tcPr>
          <w:p>
            <w:pPr>
              <w:spacing w:after="0"/>
              <w:rPr>
                <w:sz w:val="20"/>
                <w:szCs w:val="20"/>
                <w:color w:val="auto"/>
              </w:rPr>
            </w:pPr>
            <w:r>
              <w:rPr>
                <w:rFonts w:ascii="Arial" w:cs="Arial" w:eastAsia="Arial" w:hAnsi="Arial"/>
                <w:sz w:val="20"/>
                <w:szCs w:val="20"/>
                <w:color w:val="auto"/>
              </w:rPr>
              <w:t>Property, plant, and equipment, net, consisted of the following:</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Pr>
          <w:p>
            <w:pPr>
              <w:spacing w:after="0"/>
              <w:rPr>
                <w:sz w:val="18"/>
                <w:szCs w:val="18"/>
                <w:color w:val="auto"/>
              </w:rPr>
            </w:pPr>
          </w:p>
        </w:tc>
        <w:tc>
          <w:tcPr>
            <w:tcW w:w="96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4"/>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Land and buildings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7540" w:type="dxa"/>
            <w:vAlign w:val="bottom"/>
            <w:gridSpan w:val="3"/>
            <w:vMerge w:val="continue"/>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418,038</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345,309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Leasehold improvements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98,028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82,582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Machinery, equipment, including Co-60</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757,568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710,000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Furniture and fixtures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9,118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8,754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Computer hardware and software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58,767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51,437</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Asset retirement costs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7,368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6,590</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Construction-in-progress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250,418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247,019</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6"/>
              </w:rPr>
              <w:t>1,599,305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1,451,691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Arial" w:cs="Arial" w:eastAsia="Arial" w:hAnsi="Arial"/>
                <w:sz w:val="20"/>
                <w:szCs w:val="20"/>
                <w:color w:val="auto"/>
              </w:rPr>
              <w:t>Less accumulated depreciation</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(562,413)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(504,777)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Property, plant and equipment, net</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6"/>
              </w:rPr>
              <w:t>1,036,892</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946,914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-4965700</wp:posOffset>
            </wp:positionV>
            <wp:extent cx="6410325" cy="2165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6410325" cy="21659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-1804670</wp:posOffset>
            </wp:positionV>
            <wp:extent cx="6410325" cy="1811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6410325" cy="1811655"/>
                    </a:xfrm>
                    <a:prstGeom prst="rect">
                      <a:avLst/>
                    </a:prstGeom>
                    <a:noFill/>
                  </pic:spPr>
                </pic:pic>
              </a:graphicData>
            </a:graphic>
          </wp:anchor>
        </w:drawing>
      </w:r>
    </w:p>
    <w:p>
      <w:pPr>
        <w:spacing w:after="0" w:line="223" w:lineRule="exact"/>
        <w:rPr>
          <w:sz w:val="20"/>
          <w:szCs w:val="20"/>
          <w:color w:val="auto"/>
        </w:rPr>
      </w:pPr>
    </w:p>
    <w:p>
      <w:pPr>
        <w:ind w:left="7" w:right="180"/>
        <w:spacing w:after="0" w:line="251" w:lineRule="auto"/>
        <w:rPr>
          <w:sz w:val="20"/>
          <w:szCs w:val="20"/>
          <w:color w:val="auto"/>
        </w:rPr>
      </w:pPr>
      <w:r>
        <w:rPr>
          <w:rFonts w:ascii="Arial" w:cs="Arial" w:eastAsia="Arial" w:hAnsi="Arial"/>
          <w:sz w:val="20"/>
          <w:szCs w:val="20"/>
          <w:color w:val="auto"/>
        </w:rPr>
        <w:t>Depreciation and amortization expense for property, plant, and equipment, including property under finance leases, was $84.3 million, $76.6 million and $64.3 million for the years ended December 31, 2024, 2023 and 2022, respectively. Capitalized interest totaled $16.2 million, $12.2 million and $3.7 million for the years ended December 31, 2024, 2023 and 2022, respectively, and was recorded as a reduction in “Interest expense, net” in the Consolidated Statements of Operations and Comprehensive Income (Loss).</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10047"/>
          </w:cols>
          <w:pgMar w:left="913" w:top="544" w:right="920" w:bottom="0" w:gutter="0" w:footer="0" w:header="0"/>
          <w:type w:val="continuous"/>
        </w:sectPr>
      </w:pPr>
    </w:p>
    <w:bookmarkStart w:id="91" w:name="page92"/>
    <w:bookmarkEnd w:id="91"/>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ind w:left="347" w:hanging="347"/>
        <w:spacing w:after="0"/>
        <w:tabs>
          <w:tab w:leader="none" w:pos="347"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20"/>
          <w:szCs w:val="20"/>
          <w:color w:val="auto"/>
        </w:rPr>
        <w:t>Changes to goodwill during the years ended December 31, 2024 and 2023 were as follows:</w:t>
      </w:r>
    </w:p>
    <w:p>
      <w:pPr>
        <w:spacing w:after="0" w:line="302"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25"/>
              <w:spacing w:after="0"/>
              <w:rPr>
                <w:sz w:val="20"/>
                <w:szCs w:val="20"/>
                <w:color w:val="auto"/>
              </w:rPr>
            </w:pPr>
            <w:r>
              <w:rPr>
                <w:rFonts w:ascii="Arial" w:cs="Arial" w:eastAsia="Arial" w:hAnsi="Arial"/>
                <w:sz w:val="16"/>
                <w:szCs w:val="16"/>
                <w:b w:val="1"/>
                <w:bCs w:val="1"/>
                <w:color w:val="auto"/>
                <w:w w:val="85"/>
              </w:rPr>
              <w:t>Sterigenics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05"/>
              <w:spacing w:after="0"/>
              <w:rPr>
                <w:sz w:val="20"/>
                <w:szCs w:val="20"/>
                <w:color w:val="auto"/>
              </w:rPr>
            </w:pPr>
            <w:r>
              <w:rPr>
                <w:rFonts w:ascii="Arial" w:cs="Arial" w:eastAsia="Arial" w:hAnsi="Arial"/>
                <w:sz w:val="16"/>
                <w:szCs w:val="16"/>
                <w:b w:val="1"/>
                <w:bCs w:val="1"/>
                <w:color w:val="auto"/>
              </w:rPr>
              <w:t>Nordion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84"/>
              <w:spacing w:after="0"/>
              <w:rPr>
                <w:sz w:val="20"/>
                <w:szCs w:val="20"/>
                <w:color w:val="auto"/>
              </w:rPr>
            </w:pPr>
            <w:r>
              <w:rPr>
                <w:rFonts w:ascii="Arial" w:cs="Arial" w:eastAsia="Arial" w:hAnsi="Arial"/>
                <w:sz w:val="16"/>
                <w:szCs w:val="16"/>
                <w:b w:val="1"/>
                <w:bCs w:val="1"/>
                <w:color w:val="auto"/>
                <w:w w:val="86"/>
              </w:rPr>
              <w:t>Nelson Labs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2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gridSpan w:val="3"/>
            <w:vMerge w:val="restart"/>
          </w:tcPr>
          <w:p>
            <w:pPr>
              <w:spacing w:after="0"/>
              <w:rPr>
                <w:sz w:val="20"/>
                <w:szCs w:val="20"/>
                <w:color w:val="auto"/>
              </w:rPr>
            </w:pPr>
            <w:r>
              <w:rPr>
                <w:rFonts w:ascii="Arial" w:cs="Arial" w:eastAsia="Arial" w:hAnsi="Arial"/>
                <w:sz w:val="20"/>
                <w:szCs w:val="20"/>
                <w:color w:val="auto"/>
              </w:rPr>
              <w:t>Goodwill at January 1, 2023</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960" w:type="dxa"/>
            <w:vAlign w:val="bottom"/>
            <w:gridSpan w:val="3"/>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657,458</w:t>
            </w:r>
          </w:p>
        </w:tc>
        <w:tc>
          <w:tcPr>
            <w:tcW w:w="3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270,966</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173,344</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1,101,768</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Changes due to foreign currency exchange rates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5,963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9,422</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Goodwill at December 31, 2023</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659,888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276,929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174,373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1,111,190</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20"/>
                <w:szCs w:val="20"/>
                <w:color w:val="auto"/>
              </w:rPr>
              <w:t>Changes due to foreign currency exchange rates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(6,666)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(21,444)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(30,117)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Goodwill at December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653,222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255,485</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172,366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1,081,073</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20"/>
                <w:szCs w:val="20"/>
                <w:color w:val="auto"/>
              </w:rPr>
              <w:t>Other intangible assets consisted of the following:</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50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24"/>
                <w:szCs w:val="24"/>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660" w:type="dxa"/>
            <w:vAlign w:val="bottom"/>
            <w:vMerge w:val="restart"/>
          </w:tcPr>
          <w:p>
            <w:pPr>
              <w:spacing w:after="0"/>
              <w:rPr>
                <w:sz w:val="20"/>
                <w:szCs w:val="20"/>
                <w:color w:val="auto"/>
              </w:rPr>
            </w:pPr>
            <w:r>
              <w:rPr>
                <w:rFonts w:ascii="Arial" w:cs="Arial" w:eastAsia="Arial" w:hAnsi="Arial"/>
                <w:sz w:val="16"/>
                <w:szCs w:val="16"/>
                <w:b w:val="1"/>
                <w:bCs w:val="1"/>
                <w:color w:val="auto"/>
                <w:w w:val="86"/>
              </w:rPr>
              <w:t>As of December 31, 2024</w:t>
            </w:r>
          </w:p>
        </w:tc>
        <w:tc>
          <w:tcPr>
            <w:tcW w:w="3300" w:type="dxa"/>
            <w:vAlign w:val="bottom"/>
            <w:gridSpan w:val="2"/>
            <w:vMerge w:val="restart"/>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24"/>
              <w:spacing w:after="0" w:line="170"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1160" w:type="dxa"/>
            <w:vAlign w:val="bottom"/>
            <w:gridSpan w:val="2"/>
          </w:tcPr>
          <w:p>
            <w:pPr>
              <w:jc w:val="center"/>
              <w:spacing w:after="0" w:line="170" w:lineRule="exact"/>
              <w:rPr>
                <w:sz w:val="20"/>
                <w:szCs w:val="20"/>
                <w:color w:val="auto"/>
              </w:rPr>
            </w:pPr>
            <w:r>
              <w:rPr>
                <w:rFonts w:ascii="Arial" w:cs="Arial" w:eastAsia="Arial" w:hAnsi="Arial"/>
                <w:sz w:val="16"/>
                <w:szCs w:val="16"/>
                <w:b w:val="1"/>
                <w:bCs w:val="1"/>
                <w:color w:val="auto"/>
                <w:w w:val="89"/>
              </w:rPr>
              <w:t>Amortization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rPr>
              <w:t>Finite-lived intangible assets</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960" w:type="dxa"/>
            <w:vAlign w:val="bottom"/>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20"/>
                <w:szCs w:val="20"/>
                <w:b w:val="1"/>
                <w:bCs w:val="1"/>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646,965</w:t>
            </w:r>
          </w:p>
        </w:tc>
        <w:tc>
          <w:tcPr>
            <w:tcW w:w="3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537,871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Customer relationships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Proprietary technology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73,464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52,976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Trade names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2,531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1,651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Land-use rights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8,493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2,008</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Sealed source and supply agreements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192,630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110,668</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4,344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3,655</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Total finite-lived intangible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928,427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708,829</w:t>
            </w:r>
          </w:p>
        </w:tc>
        <w:tc>
          <w:tcPr>
            <w:tcW w:w="0" w:type="dxa"/>
            <w:vAlign w:val="bottom"/>
          </w:tcPr>
          <w:p>
            <w:pPr>
              <w:spacing w:after="0"/>
              <w:rPr>
                <w:sz w:val="1"/>
                <w:szCs w:val="1"/>
                <w:color w:val="auto"/>
              </w:rPr>
            </w:pPr>
          </w:p>
        </w:tc>
      </w:tr>
      <w:tr>
        <w:trPr>
          <w:trHeight w:val="556"/>
        </w:trPr>
        <w:tc>
          <w:tcPr>
            <w:tcW w:w="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Indefinite-lived intangible 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Regulatory licenses and other</w:t>
            </w:r>
            <w:r>
              <w:rPr>
                <w:rFonts w:ascii="Arial" w:cs="Arial" w:eastAsia="Arial" w:hAnsi="Arial"/>
                <w:sz w:val="25"/>
                <w:szCs w:val="25"/>
                <w:color w:val="auto"/>
                <w:vertAlign w:val="superscript"/>
              </w:rPr>
              <w: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72,550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Trade names / trademarks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25,505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Total indefinite-lived intangible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98,055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Total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1,026,482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708,829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660" w:type="dxa"/>
            <w:vAlign w:val="bottom"/>
            <w:vMerge w:val="restart"/>
          </w:tcPr>
          <w:p>
            <w:pPr>
              <w:spacing w:after="0"/>
              <w:rPr>
                <w:sz w:val="20"/>
                <w:szCs w:val="20"/>
                <w:color w:val="auto"/>
              </w:rPr>
            </w:pPr>
            <w:r>
              <w:rPr>
                <w:rFonts w:ascii="Arial" w:cs="Arial" w:eastAsia="Arial" w:hAnsi="Arial"/>
                <w:sz w:val="16"/>
                <w:szCs w:val="16"/>
                <w:b w:val="1"/>
                <w:bCs w:val="1"/>
                <w:color w:val="auto"/>
                <w:w w:val="86"/>
              </w:rPr>
              <w:t>As of December 31, 2023</w:t>
            </w:r>
          </w:p>
        </w:tc>
        <w:tc>
          <w:tcPr>
            <w:tcW w:w="3300" w:type="dxa"/>
            <w:vAlign w:val="bottom"/>
            <w:gridSpan w:val="2"/>
            <w:vMerge w:val="restart"/>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Accumulated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3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24"/>
              <w:spacing w:after="0" w:line="170"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4"/>
                <w:szCs w:val="14"/>
                <w:color w:val="auto"/>
              </w:rPr>
            </w:pPr>
          </w:p>
        </w:tc>
        <w:tc>
          <w:tcPr>
            <w:tcW w:w="1160" w:type="dxa"/>
            <w:vAlign w:val="bottom"/>
            <w:gridSpan w:val="2"/>
          </w:tcPr>
          <w:p>
            <w:pPr>
              <w:jc w:val="center"/>
              <w:spacing w:after="0" w:line="170" w:lineRule="exact"/>
              <w:rPr>
                <w:sz w:val="20"/>
                <w:szCs w:val="20"/>
                <w:color w:val="auto"/>
              </w:rPr>
            </w:pPr>
            <w:r>
              <w:rPr>
                <w:rFonts w:ascii="Arial" w:cs="Arial" w:eastAsia="Arial" w:hAnsi="Arial"/>
                <w:sz w:val="16"/>
                <w:szCs w:val="16"/>
                <w:b w:val="1"/>
                <w:bCs w:val="1"/>
                <w:color w:val="auto"/>
                <w:w w:val="89"/>
              </w:rPr>
              <w:t>Amortization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rPr>
              <w:t>Finite-lived intangible assets</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960" w:type="dxa"/>
            <w:vAlign w:val="bottom"/>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Customer relationships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657,673</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485,188</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Proprietary technology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84,918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56,846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Trade names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2,567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1,207</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Land-use rights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8,756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1,855</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Sealed source and supply agreements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208,919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107,561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4,517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2,905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Total finite-lived intangible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967,350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655,562</w:t>
            </w:r>
          </w:p>
        </w:tc>
        <w:tc>
          <w:tcPr>
            <w:tcW w:w="0" w:type="dxa"/>
            <w:vAlign w:val="bottom"/>
          </w:tcPr>
          <w:p>
            <w:pPr>
              <w:spacing w:after="0"/>
              <w:rPr>
                <w:sz w:val="1"/>
                <w:szCs w:val="1"/>
                <w:color w:val="auto"/>
              </w:rPr>
            </w:pPr>
          </w:p>
        </w:tc>
      </w:tr>
      <w:tr>
        <w:trPr>
          <w:trHeight w:val="559"/>
        </w:trPr>
        <w:tc>
          <w:tcPr>
            <w:tcW w:w="4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Indefinite-lived intangible 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Regulatory licenses and other</w:t>
            </w:r>
            <w:r>
              <w:rPr>
                <w:rFonts w:ascii="Arial" w:cs="Arial" w:eastAsia="Arial" w:hAnsi="Arial"/>
                <w:sz w:val="25"/>
                <w:szCs w:val="25"/>
                <w:color w:val="auto"/>
                <w:vertAlign w:val="superscript"/>
              </w:rPr>
              <w:t>(a)</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78,684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960" w:type="dxa"/>
            <w:vAlign w:val="bottom"/>
            <w:gridSpan w:val="3"/>
          </w:tcPr>
          <w:p>
            <w:pPr>
              <w:ind w:left="480"/>
              <w:spacing w:after="0"/>
              <w:rPr>
                <w:sz w:val="20"/>
                <w:szCs w:val="20"/>
                <w:color w:val="auto"/>
              </w:rPr>
            </w:pPr>
            <w:r>
              <w:rPr>
                <w:rFonts w:ascii="Arial" w:cs="Arial" w:eastAsia="Arial" w:hAnsi="Arial"/>
                <w:sz w:val="20"/>
                <w:szCs w:val="20"/>
                <w:color w:val="auto"/>
              </w:rPr>
              <w:t>Trade names / trademarks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25,846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Total indefinite-lived intangible assets</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104,530</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960" w:type="dxa"/>
            <w:vAlign w:val="bottom"/>
            <w:gridSpan w:val="3"/>
          </w:tcPr>
          <w:p>
            <w:pPr>
              <w:spacing w:after="0"/>
              <w:rPr>
                <w:sz w:val="20"/>
                <w:szCs w:val="20"/>
                <w:color w:val="auto"/>
              </w:rPr>
            </w:pPr>
            <w:r>
              <w:rPr>
                <w:rFonts w:ascii="Arial" w:cs="Arial" w:eastAsia="Arial" w:hAnsi="Arial"/>
                <w:sz w:val="20"/>
                <w:szCs w:val="20"/>
                <w:b w:val="1"/>
                <w:bCs w:val="1"/>
                <w:color w:val="auto"/>
              </w:rPr>
              <w:t>Total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1,071,880</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655,562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-7156450</wp:posOffset>
            </wp:positionV>
            <wp:extent cx="6410325" cy="924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6410325" cy="92456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-5460365</wp:posOffset>
            </wp:positionV>
            <wp:extent cx="6410325" cy="5467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6410325" cy="5467350"/>
                    </a:xfrm>
                    <a:prstGeom prst="rect">
                      <a:avLst/>
                    </a:prstGeom>
                    <a:noFill/>
                  </pic:spPr>
                </pic:pic>
              </a:graphicData>
            </a:graphic>
          </wp:anchor>
        </w:drawing>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10047"/>
          </w:cols>
          <w:pgMar w:left="913" w:top="544" w:right="920" w:bottom="0" w:gutter="0" w:footer="0" w:header="0"/>
          <w:type w:val="continuous"/>
        </w:sectPr>
      </w:pPr>
    </w:p>
    <w:bookmarkStart w:id="92" w:name="page93"/>
    <w:bookmarkEnd w:id="92"/>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267" w:right="60" w:hanging="267"/>
        <w:spacing w:after="0" w:line="252" w:lineRule="auto"/>
        <w:tabs>
          <w:tab w:leader="none" w:pos="267" w:val="left"/>
        </w:tabs>
        <w:numPr>
          <w:ilvl w:val="0"/>
          <w:numId w:val="41"/>
        </w:numPr>
        <w:rPr>
          <w:rFonts w:ascii="Arial" w:cs="Arial" w:eastAsia="Arial" w:hAnsi="Arial"/>
          <w:sz w:val="24"/>
          <w:szCs w:val="24"/>
          <w:color w:val="auto"/>
          <w:vertAlign w:val="superscript"/>
        </w:rPr>
      </w:pPr>
      <w:r>
        <w:rPr>
          <w:rFonts w:ascii="Arial" w:cs="Arial" w:eastAsia="Arial" w:hAnsi="Arial"/>
          <w:sz w:val="19"/>
          <w:szCs w:val="19"/>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75 years of history.</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20"/>
          <w:szCs w:val="20"/>
          <w:color w:val="auto"/>
        </w:rPr>
        <w:t>Amounts include the impact of foreign currency translation. Fully amortized amounts are written off.</w:t>
      </w:r>
    </w:p>
    <w:p>
      <w:pPr>
        <w:spacing w:after="0" w:line="231" w:lineRule="exact"/>
        <w:rPr>
          <w:sz w:val="20"/>
          <w:szCs w:val="20"/>
          <w:color w:val="auto"/>
        </w:rPr>
      </w:pPr>
    </w:p>
    <w:p>
      <w:pPr>
        <w:ind w:left="7" w:right="140"/>
        <w:spacing w:after="0" w:line="312" w:lineRule="auto"/>
        <w:rPr>
          <w:sz w:val="20"/>
          <w:szCs w:val="20"/>
          <w:color w:val="auto"/>
        </w:rPr>
      </w:pPr>
      <w:r>
        <w:rPr>
          <w:rFonts w:ascii="Arial" w:cs="Arial" w:eastAsia="Arial" w:hAnsi="Arial"/>
          <w:sz w:val="17"/>
          <w:szCs w:val="17"/>
          <w:color w:val="auto"/>
        </w:rPr>
        <w:t>Amortization expense for finite-lived intangible assets was $79.4 million, $81.3 million, and $81.6 million for the years ended December 31, 2024, 2023 and 2022, respectively. $62.0 million, $63.8 million, and $62.9 million was included in “Amortization of intangible assets” in the Consolidated Statements of Operations and Comprehensive Income (Loss) for the years ended December 31, 2024, 2023 and 2022, whereas the remainder was included in “Cost of revenues.”</w:t>
      </w:r>
    </w:p>
    <w:p>
      <w:pPr>
        <w:spacing w:after="0" w:line="160" w:lineRule="exact"/>
        <w:rPr>
          <w:sz w:val="20"/>
          <w:szCs w:val="20"/>
          <w:color w:val="auto"/>
        </w:rPr>
      </w:pPr>
    </w:p>
    <w:p>
      <w:pPr>
        <w:ind w:left="7" w:right="180"/>
        <w:spacing w:after="0" w:line="271" w:lineRule="auto"/>
        <w:rPr>
          <w:sz w:val="20"/>
          <w:szCs w:val="20"/>
          <w:color w:val="auto"/>
        </w:rPr>
      </w:pPr>
      <w:r>
        <w:rPr>
          <w:rFonts w:ascii="Arial" w:cs="Arial" w:eastAsia="Arial" w:hAnsi="Arial"/>
          <w:sz w:val="20"/>
          <w:szCs w:val="20"/>
          <w:color w:val="auto"/>
        </w:rPr>
        <w:t>The estimated aggregate amortization expense for finite-lived intangible assets for each of the next five years and thereafter is as follows:</w:t>
      </w:r>
    </w:p>
    <w:p>
      <w:pPr>
        <w:spacing w:after="0" w:line="13"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88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96"/>
        </w:trPr>
        <w:tc>
          <w:tcPr>
            <w:tcW w:w="1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2025</w:t>
            </w:r>
          </w:p>
        </w:tc>
        <w:tc>
          <w:tcPr>
            <w:tcW w:w="7140" w:type="dxa"/>
            <w:vAlign w:val="bottom"/>
          </w:tcPr>
          <w:p>
            <w:pPr>
              <w:spacing w:after="0"/>
              <w:rPr>
                <w:sz w:val="24"/>
                <w:szCs w:val="24"/>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41,338</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2026</w:t>
            </w:r>
          </w:p>
        </w:tc>
        <w:tc>
          <w:tcPr>
            <w:tcW w:w="7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21,379</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2027</w:t>
            </w:r>
          </w:p>
        </w:tc>
        <w:tc>
          <w:tcPr>
            <w:tcW w:w="7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20,303</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2028</w:t>
            </w:r>
          </w:p>
        </w:tc>
        <w:tc>
          <w:tcPr>
            <w:tcW w:w="7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19,755</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2029</w:t>
            </w:r>
          </w:p>
        </w:tc>
        <w:tc>
          <w:tcPr>
            <w:tcW w:w="7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19,645</w:t>
            </w:r>
          </w:p>
        </w:tc>
      </w:tr>
      <w:tr>
        <w:trPr>
          <w:trHeight w:val="283"/>
        </w:trPr>
        <w:tc>
          <w:tcPr>
            <w:tcW w:w="884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97,178</w:t>
            </w:r>
          </w:p>
        </w:tc>
      </w:tr>
      <w:tr>
        <w:trPr>
          <w:trHeight w:val="240"/>
        </w:trPr>
        <w:tc>
          <w:tcPr>
            <w:tcW w:w="8840" w:type="dxa"/>
            <w:vAlign w:val="bottom"/>
            <w:gridSpan w:val="2"/>
          </w:tcPr>
          <w:p>
            <w:pPr>
              <w:spacing w:after="0"/>
              <w:rPr>
                <w:sz w:val="20"/>
                <w:szCs w:val="20"/>
                <w:color w:val="auto"/>
              </w:rPr>
            </w:pPr>
            <w:r>
              <w:rPr>
                <w:rFonts w:ascii="Arial" w:cs="Arial" w:eastAsia="Arial" w:hAnsi="Arial"/>
                <w:sz w:val="20"/>
                <w:szCs w:val="20"/>
                <w:b w:val="1"/>
                <w:bCs w:val="1"/>
                <w:color w:val="auto"/>
              </w:rPr>
              <w:t>Total</w:t>
            </w: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219,598</w:t>
            </w:r>
          </w:p>
        </w:tc>
      </w:tr>
      <w:tr>
        <w:trPr>
          <w:trHeight w:val="20"/>
        </w:trPr>
        <w:tc>
          <w:tcPr>
            <w:tcW w:w="1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-1272540</wp:posOffset>
            </wp:positionV>
            <wp:extent cx="6410325" cy="127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223"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weighted-average remaining amortization periods of the finite-lived intangible assets by major intangible asset class as of</w:t>
      </w:r>
    </w:p>
    <w:p>
      <w:pPr>
        <w:spacing w:after="0" w:line="59" w:lineRule="exact"/>
        <w:rPr>
          <w:sz w:val="20"/>
          <w:szCs w:val="20"/>
          <w:color w:val="auto"/>
        </w:rPr>
      </w:pPr>
    </w:p>
    <w:p>
      <w:pPr>
        <w:ind w:left="7"/>
        <w:spacing w:after="0"/>
        <w:rPr>
          <w:sz w:val="20"/>
          <w:szCs w:val="20"/>
          <w:color w:val="auto"/>
        </w:rPr>
      </w:pPr>
      <w:r>
        <w:rPr>
          <w:rFonts w:ascii="Arial" w:cs="Arial" w:eastAsia="Arial" w:hAnsi="Arial"/>
          <w:sz w:val="20"/>
          <w:szCs w:val="20"/>
          <w:color w:val="auto"/>
        </w:rPr>
        <w:t>December 31, 2024 were as follows:</w:t>
      </w:r>
    </w:p>
    <w:p>
      <w:pPr>
        <w:spacing w:after="0" w:line="250" w:lineRule="exact"/>
        <w:rPr>
          <w:sz w:val="20"/>
          <w:szCs w:val="20"/>
          <w:color w:val="auto"/>
        </w:rPr>
      </w:pPr>
    </w:p>
    <w:tbl>
      <w:tblPr>
        <w:tblLayout w:type="fixed"/>
        <w:tblInd w:w="7"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420" w:type="dxa"/>
            <w:vAlign w:val="bottom"/>
          </w:tcPr>
          <w:p>
            <w:pPr>
              <w:jc w:val="center"/>
              <w:ind w:left="2382"/>
              <w:spacing w:after="0"/>
              <w:rPr>
                <w:sz w:val="20"/>
                <w:szCs w:val="20"/>
                <w:color w:val="auto"/>
              </w:rPr>
            </w:pPr>
            <w:r>
              <w:rPr>
                <w:rFonts w:ascii="Arial" w:cs="Arial" w:eastAsia="Arial" w:hAnsi="Arial"/>
                <w:sz w:val="20"/>
                <w:szCs w:val="20"/>
                <w:b w:val="1"/>
                <w:bCs w:val="1"/>
                <w:color w:val="auto"/>
                <w:w w:val="87"/>
              </w:rPr>
              <w:t>Weighted average</w:t>
            </w:r>
          </w:p>
        </w:tc>
      </w:tr>
      <w:tr>
        <w:trPr>
          <w:trHeight w:val="196"/>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420" w:type="dxa"/>
            <w:vAlign w:val="bottom"/>
          </w:tcPr>
          <w:p>
            <w:pPr>
              <w:jc w:val="center"/>
              <w:ind w:left="2382"/>
              <w:spacing w:after="0" w:line="196" w:lineRule="exact"/>
              <w:rPr>
                <w:sz w:val="20"/>
                <w:szCs w:val="20"/>
                <w:color w:val="auto"/>
              </w:rPr>
            </w:pPr>
            <w:r>
              <w:rPr>
                <w:rFonts w:ascii="Arial" w:cs="Arial" w:eastAsia="Arial" w:hAnsi="Arial"/>
                <w:sz w:val="20"/>
                <w:szCs w:val="20"/>
                <w:b w:val="1"/>
                <w:bCs w:val="1"/>
                <w:color w:val="auto"/>
                <w:w w:val="89"/>
              </w:rPr>
              <w:t>remaining</w:t>
            </w:r>
          </w:p>
        </w:tc>
      </w:tr>
      <w:tr>
        <w:trPr>
          <w:trHeight w:val="217"/>
        </w:trPr>
        <w:tc>
          <w:tcPr>
            <w:tcW w:w="4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years)</w:t>
            </w:r>
          </w:p>
        </w:tc>
        <w:tc>
          <w:tcPr>
            <w:tcW w:w="4420" w:type="dxa"/>
            <w:vAlign w:val="bottom"/>
          </w:tcPr>
          <w:p>
            <w:pPr>
              <w:jc w:val="center"/>
              <w:ind w:left="2382"/>
              <w:spacing w:after="0" w:line="217" w:lineRule="exact"/>
              <w:rPr>
                <w:sz w:val="20"/>
                <w:szCs w:val="20"/>
                <w:color w:val="auto"/>
              </w:rPr>
            </w:pPr>
            <w:r>
              <w:rPr>
                <w:rFonts w:ascii="Arial" w:cs="Arial" w:eastAsia="Arial" w:hAnsi="Arial"/>
                <w:sz w:val="20"/>
                <w:szCs w:val="20"/>
                <w:b w:val="1"/>
                <w:bCs w:val="1"/>
                <w:color w:val="auto"/>
                <w:w w:val="89"/>
              </w:rPr>
              <w:t>amortization period</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20"/>
                <w:szCs w:val="20"/>
                <w:color w:val="auto"/>
              </w:rPr>
              <w:t>Customer relationships</w:t>
            </w:r>
          </w:p>
        </w:tc>
        <w:tc>
          <w:tcPr>
            <w:tcW w:w="4420" w:type="dxa"/>
            <w:vAlign w:val="bottom"/>
          </w:tcPr>
          <w:p>
            <w:pPr>
              <w:jc w:val="right"/>
              <w:spacing w:after="0"/>
              <w:rPr>
                <w:sz w:val="20"/>
                <w:szCs w:val="20"/>
                <w:color w:val="auto"/>
              </w:rPr>
            </w:pPr>
            <w:r>
              <w:rPr>
                <w:rFonts w:ascii="Arial" w:cs="Arial" w:eastAsia="Arial" w:hAnsi="Arial"/>
                <w:sz w:val="20"/>
                <w:szCs w:val="20"/>
                <w:b w:val="1"/>
                <w:bCs w:val="1"/>
                <w:color w:val="auto"/>
              </w:rPr>
              <w:t>8.4</w:t>
            </w:r>
          </w:p>
        </w:tc>
      </w:tr>
      <w:tr>
        <w:trPr>
          <w:trHeight w:val="309"/>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20"/>
                <w:szCs w:val="20"/>
                <w:color w:val="auto"/>
              </w:rPr>
              <w:t>Proprietary technology</w:t>
            </w:r>
          </w:p>
        </w:tc>
        <w:tc>
          <w:tcPr>
            <w:tcW w:w="4420" w:type="dxa"/>
            <w:vAlign w:val="bottom"/>
          </w:tcPr>
          <w:p>
            <w:pPr>
              <w:jc w:val="right"/>
              <w:spacing w:after="0"/>
              <w:rPr>
                <w:sz w:val="20"/>
                <w:szCs w:val="20"/>
                <w:color w:val="auto"/>
              </w:rPr>
            </w:pPr>
            <w:r>
              <w:rPr>
                <w:rFonts w:ascii="Arial" w:cs="Arial" w:eastAsia="Arial" w:hAnsi="Arial"/>
                <w:sz w:val="20"/>
                <w:szCs w:val="20"/>
                <w:b w:val="1"/>
                <w:bCs w:val="1"/>
                <w:color w:val="auto"/>
              </w:rPr>
              <w:t>10.0</w:t>
            </w:r>
          </w:p>
        </w:tc>
      </w:tr>
      <w:tr>
        <w:trPr>
          <w:trHeight w:val="309"/>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20"/>
                <w:szCs w:val="20"/>
                <w:color w:val="auto"/>
              </w:rPr>
              <w:t>Trade names</w:t>
            </w:r>
          </w:p>
        </w:tc>
        <w:tc>
          <w:tcPr>
            <w:tcW w:w="4420" w:type="dxa"/>
            <w:vAlign w:val="bottom"/>
          </w:tcPr>
          <w:p>
            <w:pPr>
              <w:jc w:val="right"/>
              <w:spacing w:after="0"/>
              <w:rPr>
                <w:sz w:val="20"/>
                <w:szCs w:val="20"/>
                <w:color w:val="auto"/>
              </w:rPr>
            </w:pPr>
            <w:r>
              <w:rPr>
                <w:rFonts w:ascii="Arial" w:cs="Arial" w:eastAsia="Arial" w:hAnsi="Arial"/>
                <w:sz w:val="20"/>
                <w:szCs w:val="20"/>
                <w:b w:val="1"/>
                <w:bCs w:val="1"/>
                <w:color w:val="auto"/>
              </w:rPr>
              <w:t>1.8</w:t>
            </w:r>
          </w:p>
        </w:tc>
      </w:tr>
      <w:tr>
        <w:trPr>
          <w:trHeight w:val="309"/>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20"/>
                <w:szCs w:val="20"/>
                <w:color w:val="auto"/>
              </w:rPr>
              <w:t>Land-use rights</w:t>
            </w:r>
          </w:p>
        </w:tc>
        <w:tc>
          <w:tcPr>
            <w:tcW w:w="4420" w:type="dxa"/>
            <w:vAlign w:val="bottom"/>
          </w:tcPr>
          <w:p>
            <w:pPr>
              <w:jc w:val="right"/>
              <w:spacing w:after="0"/>
              <w:rPr>
                <w:sz w:val="20"/>
                <w:szCs w:val="20"/>
                <w:color w:val="auto"/>
              </w:rPr>
            </w:pPr>
            <w:r>
              <w:rPr>
                <w:rFonts w:ascii="Arial" w:cs="Arial" w:eastAsia="Arial" w:hAnsi="Arial"/>
                <w:sz w:val="20"/>
                <w:szCs w:val="20"/>
                <w:b w:val="1"/>
                <w:bCs w:val="1"/>
                <w:color w:val="auto"/>
              </w:rPr>
              <w:t>31.7</w:t>
            </w:r>
          </w:p>
        </w:tc>
      </w:tr>
      <w:tr>
        <w:trPr>
          <w:trHeight w:val="309"/>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20"/>
                <w:szCs w:val="20"/>
                <w:color w:val="auto"/>
              </w:rPr>
              <w:t>Sealed source and supply agreements</w:t>
            </w:r>
          </w:p>
        </w:tc>
        <w:tc>
          <w:tcPr>
            <w:tcW w:w="4420" w:type="dxa"/>
            <w:vAlign w:val="bottom"/>
          </w:tcPr>
          <w:p>
            <w:pPr>
              <w:jc w:val="right"/>
              <w:spacing w:after="0"/>
              <w:rPr>
                <w:sz w:val="20"/>
                <w:szCs w:val="20"/>
                <w:color w:val="auto"/>
              </w:rPr>
            </w:pPr>
            <w:r>
              <w:rPr>
                <w:rFonts w:ascii="Arial" w:cs="Arial" w:eastAsia="Arial" w:hAnsi="Arial"/>
                <w:sz w:val="20"/>
                <w:szCs w:val="20"/>
                <w:b w:val="1"/>
                <w:bCs w:val="1"/>
                <w:color w:val="auto"/>
              </w:rPr>
              <w:t>10.0</w:t>
            </w:r>
          </w:p>
        </w:tc>
      </w:tr>
      <w:tr>
        <w:trPr>
          <w:trHeight w:val="309"/>
        </w:trPr>
        <w:tc>
          <w:tcPr>
            <w:tcW w:w="4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20"/>
                <w:szCs w:val="20"/>
                <w:color w:val="auto"/>
              </w:rPr>
              <w:t>Other</w:t>
            </w:r>
          </w:p>
        </w:tc>
        <w:tc>
          <w:tcPr>
            <w:tcW w:w="442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-1179830</wp:posOffset>
            </wp:positionV>
            <wp:extent cx="6382385" cy="1201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6382385" cy="1201420"/>
                    </a:xfrm>
                    <a:prstGeom prst="rect">
                      <a:avLst/>
                    </a:prstGeom>
                    <a:noFill/>
                  </pic:spPr>
                </pic:pic>
              </a:graphicData>
            </a:graphic>
          </wp:anchor>
        </w:drawing>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10047"/>
          </w:cols>
          <w:pgMar w:left="913" w:top="544" w:right="920" w:bottom="0" w:gutter="0" w:footer="0" w:header="0"/>
          <w:type w:val="continuous"/>
        </w:sectPr>
      </w:pPr>
    </w:p>
    <w:bookmarkStart w:id="93" w:name="page94"/>
    <w:bookmarkEnd w:id="93"/>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ind w:left="347" w:hanging="347"/>
        <w:spacing w:after="0"/>
        <w:tabs>
          <w:tab w:leader="none" w:pos="347"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Accrued Liabilities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20"/>
          <w:szCs w:val="20"/>
          <w:color w:val="auto"/>
        </w:rPr>
        <w:t>Accrued liabilities consisted of the following:</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180" w:type="dxa"/>
            <w:vAlign w:val="bottom"/>
            <w:gridSpan w:val="5"/>
          </w:tcPr>
          <w:p>
            <w:pPr>
              <w:spacing w:after="0"/>
              <w:rPr>
                <w:sz w:val="20"/>
                <w:szCs w:val="20"/>
                <w:color w:val="auto"/>
              </w:rPr>
            </w:pPr>
            <w:r>
              <w:rPr>
                <w:rFonts w:ascii="Arial" w:cs="Arial" w:eastAsia="Arial" w:hAnsi="Arial"/>
                <w:sz w:val="16"/>
                <w:szCs w:val="16"/>
                <w:b w:val="1"/>
                <w:bCs w:val="1"/>
                <w:color w:val="auto"/>
              </w:rPr>
              <w:t>As of December 31,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gridSpan w:val="5"/>
            <w:vMerge w:val="restart"/>
          </w:tcPr>
          <w:p>
            <w:pPr>
              <w:spacing w:after="0"/>
              <w:rPr>
                <w:sz w:val="20"/>
                <w:szCs w:val="20"/>
                <w:color w:val="auto"/>
              </w:rPr>
            </w:pPr>
            <w:r>
              <w:rPr>
                <w:rFonts w:ascii="Arial" w:cs="Arial" w:eastAsia="Arial" w:hAnsi="Arial"/>
                <w:sz w:val="20"/>
                <w:szCs w:val="20"/>
                <w:color w:val="auto"/>
              </w:rPr>
              <w:t>Accrued employee compensation</w:t>
            </w: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180" w:type="dxa"/>
            <w:vAlign w:val="bottom"/>
            <w:gridSpan w:val="5"/>
            <w:vMerge w:val="continue"/>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37,018</w:t>
            </w: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35,037</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Georgia EO litigation settlement reserve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35,000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Illinois EO litigation settlement reserve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288</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Other legal reserves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1,480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Accrued interest expense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25,321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26,681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Embedded derivatives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4,098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414</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Professional fees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12,572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12,691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Accrued utilities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1,651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2,056</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Insurance accrual</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2,326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2,922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Accrued taxes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20"/>
                <w:szCs w:val="20"/>
                <w:b w:val="1"/>
                <w:bCs w:val="1"/>
                <w:color w:val="auto"/>
              </w:rPr>
              <w:t>3,923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2,407</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Other</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3,554</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3,495</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180" w:type="dxa"/>
            <w:vAlign w:val="bottom"/>
            <w:gridSpan w:val="5"/>
          </w:tcPr>
          <w:p>
            <w:pPr>
              <w:spacing w:after="0"/>
              <w:rPr>
                <w:sz w:val="20"/>
                <w:szCs w:val="20"/>
                <w:color w:val="auto"/>
              </w:rPr>
            </w:pPr>
            <w:r>
              <w:rPr>
                <w:rFonts w:ascii="Arial" w:cs="Arial" w:eastAsia="Arial" w:hAnsi="Arial"/>
                <w:sz w:val="20"/>
                <w:szCs w:val="20"/>
                <w:b w:val="1"/>
                <w:bCs w:val="1"/>
                <w:color w:val="auto"/>
              </w:rPr>
              <w:t>Accrued liabilities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90,463</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122,471</w:t>
            </w:r>
          </w:p>
        </w:tc>
        <w:tc>
          <w:tcPr>
            <w:tcW w:w="0" w:type="dxa"/>
            <w:vAlign w:val="bottom"/>
          </w:tcPr>
          <w:p>
            <w:pPr>
              <w:spacing w:after="0"/>
              <w:rPr>
                <w:sz w:val="1"/>
                <w:szCs w:val="1"/>
                <w:color w:val="auto"/>
              </w:rPr>
            </w:pPr>
          </w:p>
        </w:tc>
      </w:tr>
      <w:tr>
        <w:trPr>
          <w:trHeight w:val="20"/>
        </w:trPr>
        <w:tc>
          <w:tcPr>
            <w:tcW w:w="4220" w:type="dxa"/>
            <w:vAlign w:val="bottom"/>
            <w:gridSpan w:val="6"/>
            <w:vMerge w:val="restart"/>
          </w:tcPr>
          <w:p>
            <w:pPr>
              <w:spacing w:after="0"/>
              <w:rPr>
                <w:sz w:val="20"/>
                <w:szCs w:val="20"/>
                <w:color w:val="auto"/>
              </w:rPr>
            </w:pPr>
            <w:r>
              <w:rPr>
                <w:rFonts w:ascii="Arial" w:cs="Arial" w:eastAsia="Arial" w:hAnsi="Arial"/>
                <w:sz w:val="20"/>
                <w:szCs w:val="20"/>
                <w:b w:val="1"/>
                <w:bCs w:val="1"/>
                <w:color w:val="auto"/>
              </w:rPr>
              <w:t>9.  Long-Term Debt</w:t>
            </w: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422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220" w:type="dxa"/>
            <w:vAlign w:val="bottom"/>
            <w:gridSpan w:val="6"/>
          </w:tcPr>
          <w:p>
            <w:pPr>
              <w:spacing w:after="0"/>
              <w:rPr>
                <w:sz w:val="20"/>
                <w:szCs w:val="20"/>
                <w:color w:val="auto"/>
              </w:rPr>
            </w:pPr>
            <w:r>
              <w:rPr>
                <w:rFonts w:ascii="Arial" w:cs="Arial" w:eastAsia="Arial" w:hAnsi="Arial"/>
                <w:sz w:val="20"/>
                <w:szCs w:val="20"/>
                <w:color w:val="auto"/>
              </w:rPr>
              <w:t>Long-term debt consisted of the following:</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680" w:type="dxa"/>
            <w:vAlign w:val="bottom"/>
            <w:gridSpan w:val="3"/>
            <w:vMerge w:val="restart"/>
          </w:tcPr>
          <w:p>
            <w:pPr>
              <w:spacing w:after="0"/>
              <w:rPr>
                <w:sz w:val="20"/>
                <w:szCs w:val="20"/>
                <w:color w:val="auto"/>
              </w:rPr>
            </w:pPr>
            <w:r>
              <w:rPr>
                <w:rFonts w:ascii="Arial" w:cs="Arial" w:eastAsia="Arial" w:hAnsi="Arial"/>
                <w:sz w:val="16"/>
                <w:szCs w:val="16"/>
                <w:b w:val="1"/>
                <w:bCs w:val="1"/>
                <w:color w:val="auto"/>
                <w:w w:val="88"/>
              </w:rPr>
              <w:t>As of December 31, 2024</w:t>
            </w:r>
          </w:p>
        </w:tc>
        <w:tc>
          <w:tcPr>
            <w:tcW w:w="2500" w:type="dxa"/>
            <w:vAlign w:val="bottom"/>
            <w:gridSpan w:val="2"/>
            <w:vMerge w:val="restart"/>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right"/>
              <w:ind w:right="105"/>
              <w:spacing w:after="0"/>
              <w:rPr>
                <w:sz w:val="20"/>
                <w:szCs w:val="20"/>
                <w:color w:val="auto"/>
              </w:rPr>
            </w:pPr>
            <w:r>
              <w:rPr>
                <w:rFonts w:ascii="Arial" w:cs="Arial" w:eastAsia="Arial" w:hAnsi="Arial"/>
                <w:sz w:val="16"/>
                <w:szCs w:val="16"/>
                <w:b w:val="1"/>
                <w:bCs w:val="1"/>
                <w:color w:val="auto"/>
                <w:w w:val="88"/>
              </w:rPr>
              <w:t>Gross Amount</w:t>
            </w:r>
          </w:p>
        </w:tc>
        <w:tc>
          <w:tcPr>
            <w:tcW w:w="12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Unamortized Debt</w:t>
            </w:r>
          </w:p>
        </w:tc>
        <w:tc>
          <w:tcPr>
            <w:tcW w:w="1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6"/>
                <w:szCs w:val="16"/>
                <w:b w:val="1"/>
                <w:bCs w:val="1"/>
                <w:color w:val="auto"/>
              </w:rPr>
              <w:t>Unamortized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restart"/>
          </w:tcPr>
          <w:p>
            <w:pPr>
              <w:jc w:val="right"/>
              <w:ind w:right="163"/>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4"/>
                <w:szCs w:val="14"/>
                <w:color w:val="auto"/>
              </w:rPr>
            </w:pPr>
          </w:p>
        </w:tc>
        <w:tc>
          <w:tcPr>
            <w:tcW w:w="1680" w:type="dxa"/>
            <w:vAlign w:val="bottom"/>
            <w:tcBorders>
              <w:bottom w:val="single" w:sz="8" w:color="auto"/>
            </w:tcBorders>
            <w:gridSpan w:val="3"/>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05"/>
              <w:spacing w:after="0" w:line="170" w:lineRule="exact"/>
              <w:rPr>
                <w:sz w:val="20"/>
                <w:szCs w:val="20"/>
                <w:color w:val="auto"/>
              </w:rPr>
            </w:pPr>
            <w:r>
              <w:rPr>
                <w:rFonts w:ascii="Arial" w:cs="Arial" w:eastAsia="Arial" w:hAnsi="Arial"/>
                <w:sz w:val="16"/>
                <w:szCs w:val="16"/>
                <w:b w:val="1"/>
                <w:bCs w:val="1"/>
                <w:color w:val="auto"/>
                <w:w w:val="83"/>
              </w:rPr>
              <w:t>Issuance Costs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jc w:val="right"/>
              <w:ind w:right="500"/>
              <w:spacing w:after="0" w:line="170" w:lineRule="exact"/>
              <w:rPr>
                <w:sz w:val="20"/>
                <w:szCs w:val="20"/>
                <w:color w:val="auto"/>
              </w:rPr>
            </w:pPr>
            <w:r>
              <w:rPr>
                <w:rFonts w:ascii="Arial" w:cs="Arial" w:eastAsia="Arial" w:hAnsi="Arial"/>
                <w:sz w:val="16"/>
                <w:szCs w:val="16"/>
                <w:b w:val="1"/>
                <w:bCs w:val="1"/>
                <w:color w:val="auto"/>
                <w:w w:val="84"/>
              </w:rPr>
              <w:t>Discount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gridSpan w:val="5"/>
            <w:vMerge w:val="restart"/>
          </w:tcPr>
          <w:p>
            <w:pPr>
              <w:spacing w:after="0"/>
              <w:rPr>
                <w:sz w:val="20"/>
                <w:szCs w:val="20"/>
                <w:color w:val="auto"/>
              </w:rPr>
            </w:pPr>
            <w:r>
              <w:rPr>
                <w:rFonts w:ascii="Arial" w:cs="Arial" w:eastAsia="Arial" w:hAnsi="Arial"/>
                <w:sz w:val="20"/>
                <w:szCs w:val="20"/>
                <w:color w:val="auto"/>
              </w:rPr>
              <w:t>Secured notes due 2031</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4180" w:type="dxa"/>
            <w:vAlign w:val="bottom"/>
            <w:gridSpan w:val="5"/>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750,000</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20"/>
                <w:szCs w:val="20"/>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(3,707)</w:t>
            </w:r>
          </w:p>
        </w:tc>
        <w:tc>
          <w:tcPr>
            <w:tcW w:w="12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20"/>
                <w:szCs w:val="20"/>
                <w:b w:val="1"/>
                <w:bCs w:val="1"/>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746,293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Term loan due 2031</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1,505,577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(6,508)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6"/>
              </w:rPr>
              <w:t>(22,459)</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1,476,610</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2,255,577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(10,215)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w w:val="96"/>
              </w:rPr>
              <w:t>(22,459)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w w:val="94"/>
              </w:rPr>
              <w:t>2,222,903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Less current portion</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15,094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(65)</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(226)</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14,803</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180" w:type="dxa"/>
            <w:vAlign w:val="bottom"/>
            <w:gridSpan w:val="5"/>
          </w:tcPr>
          <w:p>
            <w:pPr>
              <w:spacing w:after="0"/>
              <w:rPr>
                <w:sz w:val="20"/>
                <w:szCs w:val="20"/>
                <w:color w:val="auto"/>
              </w:rPr>
            </w:pPr>
            <w:r>
              <w:rPr>
                <w:rFonts w:ascii="Arial" w:cs="Arial" w:eastAsia="Arial" w:hAnsi="Arial"/>
                <w:sz w:val="20"/>
                <w:szCs w:val="20"/>
                <w:b w:val="1"/>
                <w:bCs w:val="1"/>
                <w:color w:val="auto"/>
              </w:rPr>
              <w:t>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2,240,483</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(10,150)</w:t>
            </w:r>
          </w:p>
        </w:tc>
        <w:tc>
          <w:tcPr>
            <w:tcW w:w="12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6"/>
              </w:rPr>
              <w:t>(22,233)</w:t>
            </w:r>
          </w:p>
        </w:tc>
        <w:tc>
          <w:tcPr>
            <w:tcW w:w="1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2,208,100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gridSpan w:val="4"/>
            <w:vMerge w:val="restart"/>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24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700" w:type="dxa"/>
            <w:vAlign w:val="bottom"/>
            <w:tcBorders>
              <w:bottom w:val="single" w:sz="8" w:color="auto"/>
            </w:tcBorders>
            <w:gridSpan w:val="4"/>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6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86"/>
              </w:rPr>
              <w:t>As of December 31, 2023</w:t>
            </w:r>
          </w:p>
        </w:tc>
        <w:tc>
          <w:tcPr>
            <w:tcW w:w="2520" w:type="dxa"/>
            <w:vAlign w:val="bottom"/>
            <w:gridSpan w:val="3"/>
            <w:vMerge w:val="restart"/>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vMerge w:val="restart"/>
          </w:tcPr>
          <w:p>
            <w:pPr>
              <w:jc w:val="right"/>
              <w:ind w:right="105"/>
              <w:spacing w:after="0"/>
              <w:rPr>
                <w:sz w:val="20"/>
                <w:szCs w:val="20"/>
                <w:color w:val="auto"/>
              </w:rPr>
            </w:pPr>
            <w:r>
              <w:rPr>
                <w:rFonts w:ascii="Arial" w:cs="Arial" w:eastAsia="Arial" w:hAnsi="Arial"/>
                <w:sz w:val="16"/>
                <w:szCs w:val="16"/>
                <w:b w:val="1"/>
                <w:bCs w:val="1"/>
                <w:color w:val="auto"/>
                <w:w w:val="88"/>
              </w:rPr>
              <w:t>Gross Amount</w:t>
            </w:r>
          </w:p>
        </w:tc>
        <w:tc>
          <w:tcPr>
            <w:tcW w:w="12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Unamortized Debt</w:t>
            </w:r>
          </w:p>
        </w:tc>
        <w:tc>
          <w:tcPr>
            <w:tcW w:w="1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6"/>
                <w:szCs w:val="16"/>
                <w:b w:val="1"/>
                <w:bCs w:val="1"/>
                <w:color w:val="auto"/>
              </w:rPr>
              <w:t>Unamortized Debt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restart"/>
          </w:tcPr>
          <w:p>
            <w:pPr>
              <w:jc w:val="right"/>
              <w:ind w:right="163"/>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05"/>
              <w:spacing w:after="0" w:line="170" w:lineRule="exact"/>
              <w:rPr>
                <w:sz w:val="20"/>
                <w:szCs w:val="20"/>
                <w:color w:val="auto"/>
              </w:rPr>
            </w:pPr>
            <w:r>
              <w:rPr>
                <w:rFonts w:ascii="Arial" w:cs="Arial" w:eastAsia="Arial" w:hAnsi="Arial"/>
                <w:sz w:val="16"/>
                <w:szCs w:val="16"/>
                <w:b w:val="1"/>
                <w:bCs w:val="1"/>
                <w:color w:val="auto"/>
                <w:w w:val="83"/>
              </w:rPr>
              <w:t>Issuance Costs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jc w:val="right"/>
              <w:ind w:right="500"/>
              <w:spacing w:after="0" w:line="170" w:lineRule="exact"/>
              <w:rPr>
                <w:sz w:val="20"/>
                <w:szCs w:val="20"/>
                <w:color w:val="auto"/>
              </w:rPr>
            </w:pPr>
            <w:r>
              <w:rPr>
                <w:rFonts w:ascii="Arial" w:cs="Arial" w:eastAsia="Arial" w:hAnsi="Arial"/>
                <w:sz w:val="16"/>
                <w:szCs w:val="16"/>
                <w:b w:val="1"/>
                <w:bCs w:val="1"/>
                <w:color w:val="auto"/>
                <w:w w:val="84"/>
              </w:rPr>
              <w:t>Discount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80" w:type="dxa"/>
            <w:vAlign w:val="bottom"/>
            <w:gridSpan w:val="5"/>
            <w:vMerge w:val="restart"/>
          </w:tcPr>
          <w:p>
            <w:pPr>
              <w:spacing w:after="0"/>
              <w:rPr>
                <w:sz w:val="20"/>
                <w:szCs w:val="20"/>
                <w:color w:val="auto"/>
              </w:rPr>
            </w:pPr>
            <w:r>
              <w:rPr>
                <w:rFonts w:ascii="Arial" w:cs="Arial" w:eastAsia="Arial" w:hAnsi="Arial"/>
                <w:sz w:val="20"/>
                <w:szCs w:val="20"/>
                <w:color w:val="auto"/>
              </w:rPr>
              <w:t>Term loan, due 2026</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180" w:type="dxa"/>
            <w:vAlign w:val="bottom"/>
            <w:gridSpan w:val="5"/>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1,763,100</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(1,606)</w:t>
            </w:r>
          </w:p>
        </w:tc>
        <w:tc>
          <w:tcPr>
            <w:tcW w:w="5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6"/>
              </w:rPr>
              <w:t>(10,298)</w:t>
            </w:r>
          </w:p>
        </w:tc>
        <w:tc>
          <w:tcPr>
            <w:tcW w:w="12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1,751,196</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Term loan B, due 2026</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497,500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(7,616)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6"/>
              </w:rPr>
              <w:t>(12,609)</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477,275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2,260,600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(9,222)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6"/>
              </w:rPr>
              <w:t>(22,907)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2,228,471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180" w:type="dxa"/>
            <w:vAlign w:val="bottom"/>
            <w:gridSpan w:val="5"/>
          </w:tcPr>
          <w:p>
            <w:pPr>
              <w:spacing w:after="0"/>
              <w:rPr>
                <w:sz w:val="20"/>
                <w:szCs w:val="20"/>
                <w:color w:val="auto"/>
              </w:rPr>
            </w:pPr>
            <w:r>
              <w:rPr>
                <w:rFonts w:ascii="Arial" w:cs="Arial" w:eastAsia="Arial" w:hAnsi="Arial"/>
                <w:sz w:val="20"/>
                <w:szCs w:val="20"/>
                <w:color w:val="auto"/>
              </w:rPr>
              <w:t>Less current portion</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5,000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4,797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180" w:type="dxa"/>
            <w:vAlign w:val="bottom"/>
            <w:gridSpan w:val="5"/>
          </w:tcPr>
          <w:p>
            <w:pPr>
              <w:spacing w:after="0"/>
              <w:rPr>
                <w:sz w:val="20"/>
                <w:szCs w:val="20"/>
                <w:color w:val="auto"/>
              </w:rPr>
            </w:pPr>
            <w:r>
              <w:rPr>
                <w:rFonts w:ascii="Arial" w:cs="Arial" w:eastAsia="Arial" w:hAnsi="Arial"/>
                <w:sz w:val="20"/>
                <w:szCs w:val="20"/>
                <w:b w:val="1"/>
                <w:bCs w:val="1"/>
                <w:color w:val="auto"/>
              </w:rPr>
              <w:t>Long-term debt</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2,255,600</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(9,146)</w:t>
            </w:r>
          </w:p>
        </w:tc>
        <w:tc>
          <w:tcPr>
            <w:tcW w:w="5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6"/>
              </w:rPr>
              <w:t>(22,780)</w:t>
            </w:r>
          </w:p>
        </w:tc>
        <w:tc>
          <w:tcPr>
            <w:tcW w:w="12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w w:val="94"/>
              </w:rPr>
              <w:t>2,223,674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-5681345</wp:posOffset>
            </wp:positionV>
            <wp:extent cx="6410325" cy="2165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6410325" cy="21659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-2417445</wp:posOffset>
            </wp:positionV>
            <wp:extent cx="6410325" cy="924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6410325" cy="92456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-917575</wp:posOffset>
            </wp:positionV>
            <wp:extent cx="6410325" cy="924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216"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Debt Facilities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Senior Secured Credit Facilities</w:t>
      </w:r>
    </w:p>
    <w:p>
      <w:pPr>
        <w:spacing w:after="0" w:line="125" w:lineRule="exact"/>
        <w:rPr>
          <w:sz w:val="20"/>
          <w:szCs w:val="20"/>
          <w:color w:val="auto"/>
        </w:rPr>
      </w:pPr>
    </w:p>
    <w:p>
      <w:pPr>
        <w:ind w:left="7" w:right="40"/>
        <w:spacing w:after="0" w:line="306" w:lineRule="auto"/>
        <w:rPr>
          <w:sz w:val="20"/>
          <w:szCs w:val="20"/>
          <w:color w:val="auto"/>
        </w:rPr>
      </w:pPr>
      <w:r>
        <w:rPr>
          <w:rFonts w:ascii="Arial" w:cs="Arial" w:eastAsia="Arial" w:hAnsi="Arial"/>
          <w:sz w:val="17"/>
          <w:szCs w:val="17"/>
          <w:color w:val="auto"/>
        </w:rPr>
        <w:t>On December 13, 2019,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(as amended through Amendment No. 4, the “Credit Agreement”). The total borrowing capacity under the Revolving Credit Facility is $423.8 million. The Senior Secured Credit Facilities also provide SHH the right at any time and under certain conditions to</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10047"/>
          </w:cols>
          <w:pgMar w:left="913" w:top="544" w:right="92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request incremental term loans or incremental revolving credit commitments based on a formula defined in the Senior Secured Credit Facilities.</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color w:val="auto"/>
        </w:rPr>
        <w:t>On May 30, 2024, the Company and SHH entered into Amendment No. 4 (“Amendment No. 4”) to the Senior Secured Credit Facilities. Among other changes, Amendment No. 4 provides for Refinancing Term Loans to SHH in an aggregate principal amount of $1,509.4 million. Pursuant to Amendment No. 4, the Refinancing Term Loans shall have an applicable interest rate margin per annum equal to (i) ABR plus 2.25% for ABR Loans (as defined in the Credit Agreement), (ii) daily simple Secured Overnight Financing Rate (“SOFR”) plus 3.25% for RFR Loans (as defined in the Credit Agreement) and (iii) Term SOFR plus 3.25% for Term Benchmark Loans (as defined in the Credit Agreement), in each case with a 0.00% applicable floor and the applicable interest rate margin shall be subject to a pricing step-down of 0.25% when the Senior Secured Leverage Ratio (as defined in the Credit Agreement) is less than or equal to 3.30:1.00. The Refinancing Term Loans amortize at a rate of 1.00% per annum and mature on May 30, 2031. The weighted average interest rate on borrowings under the Refinancing Term Loans for the year ended December 31, 2024 was 8.29%.</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On May 30, 2024, SHH, the Company, certain subsidiaries of the Company (the “Guarantors”), and Wilmington Trust, National Association, as trustee, paying agent, registrar, transfer agent and notes collateral agent, entered into an Indenture (the “Indenture”) governing SHH’s $750.0 million aggregate principal amount of 7.375% senior secured notes due 2031 (the “Secured Notes”) issued in May 2024. The Secured Notes will pay interest semiannually in arrears on June 1 and December 1 of each year, beginning on December 1, 2024, at a rate of 7.375% per year, and will mature on June 1, 2031. The Secured Notes may be redeemed, at any time or from time to time, in whole or in part, on or after June 1, 2027 at the redemption prices specified in the Indenture, together with accrued and unpaid interest, if any, thereon to, but excluding, the redemption date. At any time or from time to time, prior to June 1, 2027, the Secured Notes may be redeemed, in whole or in part, at a redemption price equal to 100% of the aggregate principal amount thereof plus a make-whole premium, together with accrued and unpaid interest, if any, thereon to, but excluding, the redemption date. In addition, at any time or from time to time, prior to June 1, 2027, SHH may redeem up to 40% of the aggregate principal amount of the Secured Notes (including any additional Secured Notes issued under the Indenture) with an amount not to exceed the net cash proceeds from certain equity offerings at a redemption price equal to 107.375% of the aggregate principal amount thereof plus accrued and unpaid interest, if any, thereon to, but excluding, the redemption date. Further, at any time or from time to time, on or before June 1, 2027, SHH may redeem up to 10% of the then outstanding aggregate principal amount of Secured Notes (including any additional Secured Notes issued under the Indenture) during each of the twelve-month periods ending after the issue date, at a redemption price equal to 103% of the aggregate principal amount thereof, plus accrued and unpaid interest, if any, thereon to, but excluding, the redemption date.</w:t>
      </w:r>
    </w:p>
    <w:p>
      <w:pPr>
        <w:spacing w:after="0" w:line="200" w:lineRule="exact"/>
        <w:rPr>
          <w:sz w:val="20"/>
          <w:szCs w:val="20"/>
          <w:color w:val="auto"/>
        </w:rPr>
      </w:pPr>
    </w:p>
    <w:p>
      <w:pPr>
        <w:spacing w:after="0" w:line="212"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The obligations under the Indenture are secured on a first-lien basis by security interests in substantially all of the assets of SHH, the Company and the Guarantors (other than any excluded assets) that secure the Credit Agreement on a pari passu basis, subject to certain limitations, exceptions and permitted liens. These obligations are secured pursuant to a security agreement, dated as of May 30, 2024, by and among SHH, the Company, the other grantors party thereto, and Wilmington Trust, National Association (the “Security Agreement”), as may be amended from time to time, and related financing statements.</w:t>
      </w:r>
    </w:p>
    <w:p>
      <w:pPr>
        <w:spacing w:after="0" w:line="165" w:lineRule="exact"/>
        <w:rPr>
          <w:sz w:val="20"/>
          <w:szCs w:val="20"/>
          <w:color w:val="auto"/>
        </w:rPr>
      </w:pPr>
    </w:p>
    <w:p>
      <w:pPr>
        <w:ind w:right="20"/>
        <w:spacing w:after="0" w:line="361" w:lineRule="auto"/>
        <w:rPr>
          <w:sz w:val="20"/>
          <w:szCs w:val="20"/>
          <w:color w:val="auto"/>
        </w:rPr>
      </w:pPr>
      <w:r>
        <w:rPr>
          <w:rFonts w:ascii="Arial" w:cs="Arial" w:eastAsia="Arial" w:hAnsi="Arial"/>
          <w:sz w:val="17"/>
          <w:szCs w:val="17"/>
          <w:color w:val="auto"/>
        </w:rPr>
        <w:t>The Company used the combined net proceeds from the Refinancing Terms Loans and Secured Notes, along with cash on hand, to refinance its previously outstanding $1,763.1 million Term Loan due 2026 and $496.3 million Term Loan B due 2026.</w:t>
      </w:r>
    </w:p>
    <w:p>
      <w:pPr>
        <w:spacing w:after="0" w:line="118"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auto"/>
        </w:rPr>
        <w:t>On March 1, 2024, the Company and SHH entered into Amendment No. 3 (“Amendment No. 3”) to the Revolving Credit Facility. Among other changes, Amendment No. 3 provides (i) for new commitments under the existing Revolving Credit Facility to replace the existing revolving commitments in an aggregate principal amount of $83.0 million, (ii) that certain of the lenders providing revolving credit commitments shall also provide additional commitments for the issuance of letters of credit under the Revolving Credit Facility in an aggregate principal amount of $37.5 million and (iii) for the extension of the maturity date of the Revolving Credit Facility to March 1, 2029.</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10040"/>
          </w:cols>
          <w:pgMar w:left="920" w:top="544" w:right="920" w:bottom="0" w:gutter="0" w:footer="0" w:header="0"/>
          <w:type w:val="continuous"/>
        </w:sectPr>
      </w:pPr>
    </w:p>
    <w:bookmarkStart w:id="95" w:name="page96"/>
    <w:bookmarkEnd w:id="95"/>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7" w:right="20"/>
        <w:spacing w:after="0" w:line="292" w:lineRule="auto"/>
        <w:rPr>
          <w:sz w:val="20"/>
          <w:szCs w:val="20"/>
          <w:color w:val="auto"/>
        </w:rPr>
      </w:pPr>
      <w:r>
        <w:rPr>
          <w:rFonts w:ascii="Arial" w:cs="Arial" w:eastAsia="Arial" w:hAnsi="Arial"/>
          <w:sz w:val="17"/>
          <w:szCs w:val="17"/>
          <w:color w:val="auto"/>
        </w:rPr>
        <w:t>The Senior Secured Credit Facilities and the Indenture contain additional covenants that, among other things, restrict, subject to certain exceptions, limitations and qualifications, our ability and the ability of our restricted subsidiaries to engage in certain activities, such as incur additional indebtedness or permit to exist any lien on any property or asset now owned or hereafter acquired, as specified in the Senior Secured Credit Facilities and the Indenture. The Senior Secured Credit Facilities and the Indenture also contain certain customary affirmative covenants and events of default, including upon a change of control. In addition, an event of default under the Senior Secured Credit Facilities and the Indenture would occur if the Company or certain of its subsidiaries received one or more enforceable judgments for payment in an aggregate amount in excess of the greater of</w:t>
      </w:r>
    </w:p>
    <w:p>
      <w:pPr>
        <w:spacing w:after="0" w:line="1" w:lineRule="exact"/>
        <w:rPr>
          <w:sz w:val="20"/>
          <w:szCs w:val="20"/>
          <w:color w:val="auto"/>
        </w:rPr>
      </w:pPr>
    </w:p>
    <w:p>
      <w:pPr>
        <w:ind w:left="7" w:right="20" w:hanging="7"/>
        <w:spacing w:after="0" w:line="247" w:lineRule="auto"/>
        <w:tabs>
          <w:tab w:leader="none" w:pos="241" w:val="left"/>
        </w:tabs>
        <w:numPr>
          <w:ilvl w:val="0"/>
          <w:numId w:val="43"/>
        </w:numPr>
        <w:rPr>
          <w:rFonts w:ascii="Arial" w:cs="Arial" w:eastAsia="Arial" w:hAnsi="Arial"/>
          <w:sz w:val="20"/>
          <w:szCs w:val="20"/>
          <w:color w:val="auto"/>
        </w:rPr>
      </w:pPr>
      <w:r>
        <w:rPr>
          <w:rFonts w:ascii="Arial" w:cs="Arial" w:eastAsia="Arial" w:hAnsi="Arial"/>
          <w:sz w:val="20"/>
          <w:szCs w:val="20"/>
          <w:color w:val="auto"/>
        </w:rPr>
        <w:t>$162.6 million or (ii) 30.0% of consolidated EBITDA or LTM EBITDA (as defined in the Credit Agreement and the Indenture, respectively) and the judgments were not stayed or remained undischarged for a period of 60 consecutive days. As of December 31, 2024, we were in compliance with all of the covenants under the Senior Secured Credit Facilities and the Indenture.</w:t>
      </w:r>
    </w:p>
    <w:p>
      <w:pPr>
        <w:spacing w:after="0" w:line="210" w:lineRule="exact"/>
        <w:rPr>
          <w:sz w:val="20"/>
          <w:szCs w:val="20"/>
          <w:color w:val="auto"/>
        </w:rPr>
      </w:pPr>
    </w:p>
    <w:p>
      <w:pPr>
        <w:ind w:left="7" w:right="140"/>
        <w:spacing w:after="0" w:line="264" w:lineRule="auto"/>
        <w:rPr>
          <w:sz w:val="20"/>
          <w:szCs w:val="20"/>
          <w:color w:val="auto"/>
        </w:rPr>
      </w:pPr>
      <w:r>
        <w:rPr>
          <w:rFonts w:ascii="Arial" w:cs="Arial" w:eastAsia="Arial" w:hAnsi="Arial"/>
          <w:sz w:val="19"/>
          <w:szCs w:val="19"/>
          <w:color w:val="auto"/>
        </w:rPr>
        <w:t>All of SHH’s obligations under the Senior Secured Credit Facilities and the Indenture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Indenture, and the guarantees of such obligations, are secured by substantially all assets of SHH and the guarantors, subject to permitted liens and other exceptions and exclusions, as outlined in the Senior Secured Credit Facilities, the Indenture and the Security Agreement.</w:t>
      </w:r>
    </w:p>
    <w:p>
      <w:pPr>
        <w:spacing w:after="0" w:line="199" w:lineRule="exact"/>
        <w:rPr>
          <w:sz w:val="20"/>
          <w:szCs w:val="20"/>
          <w:color w:val="auto"/>
        </w:rPr>
      </w:pPr>
    </w:p>
    <w:p>
      <w:pPr>
        <w:ind w:left="7" w:right="20"/>
        <w:spacing w:after="0" w:line="254" w:lineRule="auto"/>
        <w:rPr>
          <w:sz w:val="20"/>
          <w:szCs w:val="20"/>
          <w:color w:val="auto"/>
        </w:rPr>
      </w:pPr>
      <w:r>
        <w:rPr>
          <w:rFonts w:ascii="Arial" w:cs="Arial" w:eastAsia="Arial" w:hAnsi="Arial"/>
          <w:sz w:val="20"/>
          <w:szCs w:val="20"/>
          <w:color w:val="auto"/>
        </w:rPr>
        <w:t>Outstanding letters of credit are collateralized by encumbrances against the Revolving Credit Facility and the collateral pledged thereunder, or by cash placed on deposit with the issuing bank. As of December 31, 2024, the Company had $14.0 million of letters of credit issued against the Revolving Credit Facility, resulting in total availability under the Revolving Credit Facility of $409.8 million.</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Term Loan Interest Rate Risk Management</w:t>
      </w:r>
    </w:p>
    <w:p>
      <w:pPr>
        <w:spacing w:after="0" w:line="125" w:lineRule="exact"/>
        <w:rPr>
          <w:sz w:val="20"/>
          <w:szCs w:val="20"/>
          <w:color w:val="auto"/>
        </w:rPr>
      </w:pPr>
    </w:p>
    <w:p>
      <w:pPr>
        <w:ind w:left="7" w:right="140"/>
        <w:spacing w:after="0" w:line="278" w:lineRule="auto"/>
        <w:rPr>
          <w:sz w:val="20"/>
          <w:szCs w:val="20"/>
          <w:color w:val="auto"/>
        </w:rPr>
      </w:pPr>
      <w:r>
        <w:rPr>
          <w:rFonts w:ascii="Arial" w:cs="Arial" w:eastAsia="Arial" w:hAnsi="Arial"/>
          <w:sz w:val="19"/>
          <w:szCs w:val="19"/>
          <w:color w:val="auto"/>
        </w:rPr>
        <w:t xml:space="preserve">The Company utilizes interest rate derivatives to reduce the variability of cash flows in the interest payments associated with our variable rate debt due to changes in SOFR. For additional information on the derivative instruments described above, refer to Note 20, “Financial Instruments and Financial Risk”, </w:t>
      </w:r>
      <w:r>
        <w:rPr>
          <w:rFonts w:ascii="Arial" w:cs="Arial" w:eastAsia="Arial" w:hAnsi="Arial"/>
          <w:sz w:val="19"/>
          <w:szCs w:val="19"/>
          <w:b w:val="1"/>
          <w:bCs w:val="1"/>
          <w:i w:val="1"/>
          <w:iCs w:val="1"/>
          <w:color w:val="auto"/>
        </w:rPr>
        <w:t>“Derivative Instruments.”</w:t>
      </w:r>
    </w:p>
    <w:p>
      <w:pPr>
        <w:spacing w:after="0" w:line="22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Aggregate Maturities</w:t>
      </w:r>
    </w:p>
    <w:p>
      <w:pPr>
        <w:spacing w:after="0" w:line="289" w:lineRule="exact"/>
        <w:rPr>
          <w:sz w:val="20"/>
          <w:szCs w:val="20"/>
          <w:color w:val="auto"/>
        </w:rPr>
      </w:pPr>
    </w:p>
    <w:p>
      <w:pPr>
        <w:ind w:left="7" w:right="100"/>
        <w:spacing w:after="0" w:line="271" w:lineRule="auto"/>
        <w:rPr>
          <w:sz w:val="20"/>
          <w:szCs w:val="20"/>
          <w:color w:val="auto"/>
        </w:rPr>
      </w:pPr>
      <w:r>
        <w:rPr>
          <w:rFonts w:ascii="Arial" w:cs="Arial" w:eastAsia="Arial" w:hAnsi="Arial"/>
          <w:sz w:val="20"/>
          <w:szCs w:val="20"/>
          <w:color w:val="auto"/>
        </w:rPr>
        <w:t>Aggregate maturities of the Company’s long-term debt, excluding debt issuance costs and discounts, as of December 31, 2024, are as follows:</w:t>
      </w:r>
    </w:p>
    <w:p>
      <w:pPr>
        <w:spacing w:after="0" w:line="248"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88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96"/>
        </w:trPr>
        <w:tc>
          <w:tcPr>
            <w:tcW w:w="1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2025</w:t>
            </w:r>
          </w:p>
        </w:tc>
        <w:tc>
          <w:tcPr>
            <w:tcW w:w="71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15,094</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2026</w:t>
            </w:r>
          </w:p>
        </w:tc>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15,094</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2027</w:t>
            </w:r>
          </w:p>
        </w:tc>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15,094</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2028</w:t>
            </w:r>
          </w:p>
        </w:tc>
        <w:tc>
          <w:tcPr>
            <w:tcW w:w="7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15,094</w:t>
            </w:r>
          </w:p>
        </w:tc>
      </w:tr>
      <w:tr>
        <w:trPr>
          <w:trHeight w:val="283"/>
        </w:trPr>
        <w:tc>
          <w:tcPr>
            <w:tcW w:w="8840" w:type="dxa"/>
            <w:vAlign w:val="bottom"/>
            <w:gridSpan w:val="2"/>
          </w:tcPr>
          <w:p>
            <w:pPr>
              <w:spacing w:after="0"/>
              <w:rPr>
                <w:sz w:val="20"/>
                <w:szCs w:val="20"/>
                <w:color w:val="auto"/>
              </w:rPr>
            </w:pPr>
            <w:r>
              <w:rPr>
                <w:rFonts w:ascii="Arial" w:cs="Arial" w:eastAsia="Arial" w:hAnsi="Arial"/>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2,195,201</w:t>
            </w:r>
          </w:p>
        </w:tc>
      </w:tr>
      <w:tr>
        <w:trPr>
          <w:trHeight w:val="240"/>
        </w:trPr>
        <w:tc>
          <w:tcPr>
            <w:tcW w:w="8840" w:type="dxa"/>
            <w:vAlign w:val="bottom"/>
            <w:gridSpan w:val="2"/>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4"/>
              </w:rPr>
              <w:t>2,255,577</w:t>
            </w:r>
          </w:p>
        </w:tc>
      </w:tr>
      <w:tr>
        <w:trPr>
          <w:trHeight w:val="20"/>
        </w:trPr>
        <w:tc>
          <w:tcPr>
            <w:tcW w:w="17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-1094740</wp:posOffset>
            </wp:positionV>
            <wp:extent cx="6410325" cy="1101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10047"/>
          </w:cols>
          <w:pgMar w:left="913" w:top="544" w:right="920" w:bottom="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Income Taxes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The geographic sources of income (loss) before income taxes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5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90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4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color w:val="auto"/>
              </w:rPr>
              <w:t>U.S.</w:t>
            </w:r>
          </w:p>
        </w:tc>
        <w:tc>
          <w:tcPr>
            <w:tcW w:w="45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720" w:type="dxa"/>
            <w:vAlign w:val="bottom"/>
            <w:gridSpan w:val="2"/>
            <w:vMerge w:val="continue"/>
          </w:tcPr>
          <w:p>
            <w:pPr>
              <w:spacing w:after="0"/>
              <w:rPr>
                <w:sz w:val="22"/>
                <w:szCs w:val="22"/>
                <w:color w:val="auto"/>
              </w:rPr>
            </w:pPr>
          </w:p>
        </w:tc>
        <w:tc>
          <w:tcPr>
            <w:tcW w:w="4520" w:type="dxa"/>
            <w:vAlign w:val="bottom"/>
            <w:vMerge w:val="continue"/>
          </w:tcPr>
          <w:p>
            <w:pPr>
              <w:spacing w:after="0"/>
              <w:rPr>
                <w:sz w:val="22"/>
                <w:szCs w:val="22"/>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(116,049)</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(100,635)</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(418,308)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229,923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206,662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175,197</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Income (loss) before income taxes</w:t>
            </w: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113,874</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106,027</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(243,111)</w:t>
            </w:r>
          </w:p>
        </w:tc>
        <w:tc>
          <w:tcPr>
            <w:tcW w:w="0" w:type="dxa"/>
            <w:vAlign w:val="bottom"/>
          </w:tcPr>
          <w:p>
            <w:pPr>
              <w:spacing w:after="0"/>
              <w:rPr>
                <w:sz w:val="1"/>
                <w:szCs w:val="1"/>
                <w:color w:val="auto"/>
              </w:rPr>
            </w:pPr>
          </w:p>
        </w:tc>
      </w:tr>
      <w:tr>
        <w:trPr>
          <w:trHeight w:val="20"/>
        </w:trPr>
        <w:tc>
          <w:tcPr>
            <w:tcW w:w="6280" w:type="dxa"/>
            <w:vAlign w:val="bottom"/>
            <w:gridSpan w:val="4"/>
            <w:vMerge w:val="restart"/>
          </w:tcPr>
          <w:p>
            <w:pPr>
              <w:spacing w:after="0"/>
              <w:rPr>
                <w:sz w:val="20"/>
                <w:szCs w:val="20"/>
                <w:color w:val="auto"/>
              </w:rPr>
            </w:pPr>
            <w:r>
              <w:rPr>
                <w:rFonts w:ascii="Arial" w:cs="Arial" w:eastAsia="Arial" w:hAnsi="Arial"/>
                <w:sz w:val="20"/>
                <w:szCs w:val="20"/>
                <w:color w:val="auto"/>
              </w:rPr>
              <w:t>Provision (benefit) for income taxes consisted of the following: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2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5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90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4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rPr>
              <w:t>Current</w:t>
            </w:r>
          </w:p>
        </w:tc>
        <w:tc>
          <w:tcPr>
            <w:tcW w:w="45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4520" w:type="dxa"/>
            <w:vAlign w:val="bottom"/>
            <w:vMerge w:val="continue"/>
          </w:tcPr>
          <w:p>
            <w:pPr>
              <w:spacing w:after="0"/>
              <w:rPr>
                <w:sz w:val="20"/>
                <w:szCs w:val="20"/>
                <w:color w:val="auto"/>
              </w:rPr>
            </w:pPr>
          </w:p>
        </w:tc>
        <w:tc>
          <w:tcPr>
            <w:tcW w:w="280" w:type="dxa"/>
            <w:vAlign w:val="bottom"/>
            <w:vMerge w:val="restart"/>
          </w:tcPr>
          <w:p>
            <w:pPr>
              <w:jc w:val="right"/>
              <w:ind w:right="22"/>
              <w:spacing w:after="0"/>
              <w:rPr>
                <w:sz w:val="20"/>
                <w:szCs w:val="20"/>
                <w:color w:val="auto"/>
              </w:rPr>
            </w:pPr>
            <w:r>
              <w:rPr>
                <w:rFonts w:ascii="Arial" w:cs="Arial" w:eastAsia="Arial" w:hAnsi="Arial"/>
                <w:sz w:val="20"/>
                <w:szCs w:val="20"/>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708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6240" w:type="dxa"/>
            <w:vAlign w:val="bottom"/>
            <w:gridSpan w:val="3"/>
          </w:tcPr>
          <w:p>
            <w:pPr>
              <w:ind w:left="480"/>
              <w:spacing w:after="0"/>
              <w:rPr>
                <w:sz w:val="20"/>
                <w:szCs w:val="20"/>
                <w:color w:val="auto"/>
              </w:rPr>
            </w:pPr>
            <w:r>
              <w:rPr>
                <w:rFonts w:ascii="Arial" w:cs="Arial" w:eastAsia="Arial" w:hAnsi="Arial"/>
                <w:sz w:val="20"/>
                <w:szCs w:val="20"/>
                <w:color w:val="auto"/>
              </w:rPr>
              <w:t>Federal U.S.</w:t>
            </w:r>
          </w:p>
        </w:tc>
        <w:tc>
          <w:tcPr>
            <w:tcW w:w="2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(3,809)</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12,841</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240" w:type="dxa"/>
            <w:vAlign w:val="bottom"/>
            <w:gridSpan w:val="3"/>
          </w:tcPr>
          <w:p>
            <w:pPr>
              <w:ind w:left="480"/>
              <w:spacing w:after="0"/>
              <w:rPr>
                <w:sz w:val="20"/>
                <w:szCs w:val="20"/>
                <w:color w:val="auto"/>
              </w:rPr>
            </w:pPr>
            <w:r>
              <w:rPr>
                <w:rFonts w:ascii="Arial" w:cs="Arial" w:eastAsia="Arial" w:hAnsi="Arial"/>
                <w:sz w:val="20"/>
                <w:szCs w:val="20"/>
                <w:color w:val="auto"/>
              </w:rPr>
              <w:t>State U.S.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5,082</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240" w:type="dxa"/>
            <w:vAlign w:val="bottom"/>
            <w:gridSpan w:val="3"/>
          </w:tcPr>
          <w:p>
            <w:pPr>
              <w:ind w:left="480"/>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58,235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54,087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46,496</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240" w:type="dxa"/>
            <w:vAlign w:val="bottom"/>
            <w:gridSpan w:val="3"/>
          </w:tcPr>
          <w:p>
            <w:pPr>
              <w:spacing w:after="0"/>
              <w:rPr>
                <w:sz w:val="20"/>
                <w:szCs w:val="20"/>
                <w:color w:val="auto"/>
              </w:rPr>
            </w:pPr>
            <w:r>
              <w:rPr>
                <w:rFonts w:ascii="Arial" w:cs="Arial" w:eastAsia="Arial" w:hAnsi="Arial"/>
                <w:sz w:val="20"/>
                <w:szCs w:val="20"/>
                <w:color w:val="auto"/>
              </w:rPr>
              <w:t>Total current provision</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60,043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51,202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64,419</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Deferred</w:t>
            </w:r>
          </w:p>
        </w:tc>
        <w:tc>
          <w:tcPr>
            <w:tcW w:w="28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13,645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240" w:type="dxa"/>
            <w:vAlign w:val="bottom"/>
            <w:gridSpan w:val="3"/>
          </w:tcPr>
          <w:p>
            <w:pPr>
              <w:ind w:left="480"/>
              <w:spacing w:after="0"/>
              <w:rPr>
                <w:sz w:val="20"/>
                <w:szCs w:val="20"/>
                <w:color w:val="auto"/>
              </w:rPr>
            </w:pPr>
            <w:r>
              <w:rPr>
                <w:rFonts w:ascii="Arial" w:cs="Arial" w:eastAsia="Arial" w:hAnsi="Arial"/>
                <w:sz w:val="20"/>
                <w:szCs w:val="20"/>
                <w:color w:val="auto"/>
              </w:rPr>
              <w:t>Federal U.S.</w:t>
            </w:r>
          </w:p>
        </w:tc>
        <w:tc>
          <w:tcPr>
            <w:tcW w:w="2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6,933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(52,382)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240" w:type="dxa"/>
            <w:vAlign w:val="bottom"/>
            <w:gridSpan w:val="3"/>
          </w:tcPr>
          <w:p>
            <w:pPr>
              <w:ind w:left="480"/>
              <w:spacing w:after="0"/>
              <w:rPr>
                <w:sz w:val="20"/>
                <w:szCs w:val="20"/>
                <w:color w:val="auto"/>
              </w:rPr>
            </w:pPr>
            <w:r>
              <w:rPr>
                <w:rFonts w:ascii="Arial" w:cs="Arial" w:eastAsia="Arial" w:hAnsi="Arial"/>
                <w:sz w:val="20"/>
                <w:szCs w:val="20"/>
                <w:color w:val="auto"/>
              </w:rPr>
              <w:t>State U.S.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(17,919)</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240" w:type="dxa"/>
            <w:vAlign w:val="bottom"/>
            <w:gridSpan w:val="3"/>
          </w:tcPr>
          <w:p>
            <w:pPr>
              <w:ind w:left="480"/>
              <w:spacing w:after="0"/>
              <w:rPr>
                <w:sz w:val="20"/>
                <w:szCs w:val="20"/>
                <w:color w:val="auto"/>
              </w:rPr>
            </w:pPr>
            <w:r>
              <w:rPr>
                <w:rFonts w:ascii="Arial" w:cs="Arial" w:eastAsia="Arial" w:hAnsi="Arial"/>
                <w:sz w:val="20"/>
                <w:szCs w:val="20"/>
                <w:color w:val="auto"/>
              </w:rPr>
              <w:t>Foreign</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(3,375)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(2,865)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(3,659)</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240" w:type="dxa"/>
            <w:vAlign w:val="bottom"/>
            <w:gridSpan w:val="3"/>
          </w:tcPr>
          <w:p>
            <w:pPr>
              <w:spacing w:after="0"/>
              <w:rPr>
                <w:sz w:val="20"/>
                <w:szCs w:val="20"/>
                <w:color w:val="auto"/>
              </w:rPr>
            </w:pPr>
            <w:r>
              <w:rPr>
                <w:rFonts w:ascii="Arial" w:cs="Arial" w:eastAsia="Arial" w:hAnsi="Arial"/>
                <w:sz w:val="20"/>
                <w:szCs w:val="20"/>
                <w:color w:val="auto"/>
              </w:rPr>
              <w:t>Total deferred provision (benefit)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9,433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3,449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(73,960)</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Total provision (benefit) for income taxes</w:t>
            </w: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69,476</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54,651</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(9,541)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-3223260</wp:posOffset>
            </wp:positionV>
            <wp:extent cx="6410325" cy="570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6410325" cy="57023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-1981835</wp:posOffset>
            </wp:positionV>
            <wp:extent cx="6410325" cy="19888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6410325" cy="198882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provision (benefit) for income taxes is reconciled with the U.S. federal statutory rate as follows: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5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880" w:type="dxa"/>
            <w:vAlign w:val="bottom"/>
          </w:tcPr>
          <w:p>
            <w:pPr>
              <w:jc w:val="right"/>
              <w:ind w:right="344"/>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44"/>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4"/>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20"/>
                <w:szCs w:val="20"/>
                <w:color w:val="auto"/>
              </w:rPr>
              <w:t>Provision (benefit) computed at federal statutory rate</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6240" w:type="dxa"/>
            <w:vAlign w:val="bottom"/>
            <w:gridSpan w:val="3"/>
            <w:vMerge w:val="continue"/>
          </w:tcPr>
          <w:p>
            <w:pPr>
              <w:spacing w:after="0"/>
              <w:rPr>
                <w:sz w:val="22"/>
                <w:szCs w:val="22"/>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23,914</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22,265</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(51,053)</w:t>
            </w:r>
          </w:p>
        </w:tc>
        <w:tc>
          <w:tcPr>
            <w:tcW w:w="0" w:type="dxa"/>
            <w:vAlign w:val="bottom"/>
          </w:tcPr>
          <w:p>
            <w:pPr>
              <w:spacing w:after="0"/>
              <w:rPr>
                <w:sz w:val="1"/>
                <w:szCs w:val="1"/>
                <w:color w:val="auto"/>
              </w:rPr>
            </w:pPr>
          </w:p>
        </w:tc>
      </w:tr>
      <w:tr>
        <w:trPr>
          <w:trHeight w:val="256"/>
        </w:trPr>
        <w:tc>
          <w:tcPr>
            <w:tcW w:w="6240" w:type="dxa"/>
            <w:vAlign w:val="bottom"/>
            <w:gridSpan w:val="3"/>
          </w:tcPr>
          <w:p>
            <w:pPr>
              <w:spacing w:after="0"/>
              <w:rPr>
                <w:sz w:val="20"/>
                <w:szCs w:val="20"/>
                <w:color w:val="auto"/>
              </w:rPr>
            </w:pPr>
            <w:r>
              <w:rPr>
                <w:rFonts w:ascii="Arial" w:cs="Arial" w:eastAsia="Arial" w:hAnsi="Arial"/>
                <w:sz w:val="20"/>
                <w:szCs w:val="20"/>
                <w:color w:val="auto"/>
              </w:rPr>
              <w:t>Increase (decrease) in taxes as a result of:</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State taxes, net of federal benefit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(2,840)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(2,889)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(20,359)</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Valuation allowance</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35,660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19,494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53,860</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Global intangible low-tax income (“GILTI”)</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4,861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1,427</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Nondeductible share-based compensation</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3,859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3,192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2,510</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Foreign tax rate differential</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11,893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10,595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8,335</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Impact of rate changes on deferred tax balances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(1,184)</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Tax holiday</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(1,335)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(1,082)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(605)</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Audit settlement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739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276</w:t>
            </w:r>
          </w:p>
        </w:tc>
        <w:tc>
          <w:tcPr>
            <w:tcW w:w="0" w:type="dxa"/>
            <w:vAlign w:val="bottom"/>
          </w:tcPr>
          <w:p>
            <w:pPr>
              <w:spacing w:after="0"/>
              <w:rPr>
                <w:sz w:val="1"/>
                <w:szCs w:val="1"/>
                <w:color w:val="auto"/>
              </w:rPr>
            </w:pPr>
          </w:p>
        </w:tc>
      </w:tr>
      <w:tr>
        <w:trPr>
          <w:trHeight w:val="279"/>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Tax credits</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83"/>
        </w:trPr>
        <w:tc>
          <w:tcPr>
            <w:tcW w:w="6240" w:type="dxa"/>
            <w:vAlign w:val="bottom"/>
            <w:gridSpan w:val="3"/>
          </w:tcPr>
          <w:p>
            <w:pPr>
              <w:ind w:left="48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(2,210)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(2,432)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(2,576)</w:t>
            </w:r>
          </w:p>
        </w:tc>
        <w:tc>
          <w:tcPr>
            <w:tcW w:w="0" w:type="dxa"/>
            <w:vAlign w:val="bottom"/>
          </w:tcPr>
          <w:p>
            <w:pPr>
              <w:spacing w:after="0"/>
              <w:rPr>
                <w:sz w:val="1"/>
                <w:szCs w:val="1"/>
                <w:color w:val="auto"/>
              </w:rPr>
            </w:pPr>
          </w:p>
        </w:tc>
      </w:tr>
      <w:tr>
        <w:trPr>
          <w:trHeight w:val="240"/>
        </w:trPr>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Total provision (benefit) for income taxes</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69,476</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54,651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(9,541)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-2336800</wp:posOffset>
            </wp:positionV>
            <wp:extent cx="6410325" cy="2343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6410325" cy="2343785"/>
                    </a:xfrm>
                    <a:prstGeom prst="rect">
                      <a:avLst/>
                    </a:prstGeom>
                    <a:noFill/>
                  </pic:spPr>
                </pic:pic>
              </a:graphicData>
            </a:graphic>
          </wp:anchor>
        </w:drawing>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10040"/>
          </w:cols>
          <w:pgMar w:left="920" w:top="544" w:right="920" w:bottom="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560"/>
        <w:spacing w:after="0" w:line="271" w:lineRule="auto"/>
        <w:rPr>
          <w:sz w:val="20"/>
          <w:szCs w:val="20"/>
          <w:color w:val="auto"/>
        </w:rPr>
      </w:pPr>
      <w:r>
        <w:rPr>
          <w:rFonts w:ascii="Arial" w:cs="Arial" w:eastAsia="Arial" w:hAnsi="Arial"/>
          <w:sz w:val="20"/>
          <w:szCs w:val="20"/>
          <w:color w:val="auto"/>
        </w:rPr>
        <w:t>The components of the tax effects of temporary differences and carryforwards that gave rise to significant portions of the deferred tax assets and liabilities are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Pr>
          <w:p>
            <w:pPr>
              <w:spacing w:after="0"/>
              <w:rPr>
                <w:sz w:val="18"/>
                <w:szCs w:val="18"/>
                <w:color w:val="auto"/>
              </w:rPr>
            </w:pPr>
          </w:p>
        </w:tc>
        <w:tc>
          <w:tcPr>
            <w:tcW w:w="92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Net operating loss carryforwards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40" w:type="dxa"/>
            <w:vAlign w:val="bottom"/>
            <w:gridSpan w:val="3"/>
            <w:vMerge w:val="continue"/>
          </w:tcPr>
          <w:p>
            <w:pPr>
              <w:spacing w:after="0"/>
              <w:rPr>
                <w:sz w:val="22"/>
                <w:szCs w:val="22"/>
                <w:color w:val="auto"/>
              </w:rPr>
            </w:pPr>
          </w:p>
        </w:tc>
        <w:tc>
          <w:tcPr>
            <w:tcW w:w="26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56,097</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71,552</w:t>
            </w:r>
          </w:p>
        </w:tc>
        <w:tc>
          <w:tcPr>
            <w:tcW w:w="0" w:type="dxa"/>
            <w:vAlign w:val="bottom"/>
          </w:tcPr>
          <w:p>
            <w:pPr>
              <w:spacing w:after="0"/>
              <w:rPr>
                <w:sz w:val="1"/>
                <w:szCs w:val="1"/>
                <w:color w:val="auto"/>
              </w:rPr>
            </w:pPr>
          </w:p>
        </w:tc>
      </w:tr>
      <w:tr>
        <w:trPr>
          <w:trHeight w:val="276"/>
        </w:trPr>
        <w:tc>
          <w:tcPr>
            <w:tcW w:w="7540" w:type="dxa"/>
            <w:vAlign w:val="bottom"/>
            <w:gridSpan w:val="3"/>
          </w:tcPr>
          <w:p>
            <w:pPr>
              <w:spacing w:after="0"/>
              <w:rPr>
                <w:sz w:val="20"/>
                <w:szCs w:val="20"/>
                <w:color w:val="auto"/>
              </w:rPr>
            </w:pPr>
            <w:r>
              <w:rPr>
                <w:rFonts w:ascii="Arial" w:cs="Arial" w:eastAsia="Arial" w:hAnsi="Arial"/>
                <w:sz w:val="20"/>
                <w:szCs w:val="20"/>
                <w:color w:val="auto"/>
              </w:rPr>
              <w:t>Net capital loss carryforwards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2,890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4,686</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Reserves and accruals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14,785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26,591</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Employee benefits and compensation</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10,481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8,519</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Asset retirement obligations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11,506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11,140</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Lease liability</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7,783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8,733</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Disallowed interest carryforward</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167,369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129,320</w:t>
            </w:r>
          </w:p>
        </w:tc>
        <w:tc>
          <w:tcPr>
            <w:tcW w:w="0" w:type="dxa"/>
            <w:vAlign w:val="bottom"/>
          </w:tcPr>
          <w:p>
            <w:pPr>
              <w:spacing w:after="0"/>
              <w:rPr>
                <w:sz w:val="1"/>
                <w:szCs w:val="1"/>
                <w:color w:val="auto"/>
              </w:rPr>
            </w:pPr>
          </w:p>
        </w:tc>
      </w:tr>
      <w:tr>
        <w:trPr>
          <w:trHeight w:val="283"/>
        </w:trPr>
        <w:tc>
          <w:tcPr>
            <w:tcW w:w="7540" w:type="dxa"/>
            <w:vAlign w:val="bottom"/>
            <w:gridSpan w:val="3"/>
          </w:tcPr>
          <w:p>
            <w:pPr>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8,804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10,806</w:t>
            </w:r>
          </w:p>
        </w:tc>
        <w:tc>
          <w:tcPr>
            <w:tcW w:w="0" w:type="dxa"/>
            <w:vAlign w:val="bottom"/>
          </w:tcPr>
          <w:p>
            <w:pPr>
              <w:spacing w:after="0"/>
              <w:rPr>
                <w:sz w:val="1"/>
                <w:szCs w:val="1"/>
                <w:color w:val="auto"/>
              </w:rPr>
            </w:pPr>
          </w:p>
        </w:tc>
      </w:tr>
      <w:tr>
        <w:trPr>
          <w:trHeight w:val="259"/>
        </w:trPr>
        <w:tc>
          <w:tcPr>
            <w:tcW w:w="7540" w:type="dxa"/>
            <w:vAlign w:val="bottom"/>
            <w:gridSpan w:val="3"/>
          </w:tcPr>
          <w:p>
            <w:pPr>
              <w:spacing w:after="0"/>
              <w:rPr>
                <w:sz w:val="20"/>
                <w:szCs w:val="20"/>
                <w:color w:val="auto"/>
              </w:rPr>
            </w:pPr>
            <w:r>
              <w:rPr>
                <w:rFonts w:ascii="Arial" w:cs="Arial" w:eastAsia="Arial" w:hAnsi="Arial"/>
                <w:sz w:val="20"/>
                <w:szCs w:val="20"/>
                <w:color w:val="auto"/>
              </w:rPr>
              <w:t>Deferred tax assets before valuation allowance</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279,715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271,347</w:t>
            </w:r>
          </w:p>
        </w:tc>
        <w:tc>
          <w:tcPr>
            <w:tcW w:w="0" w:type="dxa"/>
            <w:vAlign w:val="bottom"/>
          </w:tcPr>
          <w:p>
            <w:pPr>
              <w:spacing w:after="0"/>
              <w:rPr>
                <w:sz w:val="1"/>
                <w:szCs w:val="1"/>
                <w:color w:val="auto"/>
              </w:rPr>
            </w:pPr>
          </w:p>
        </w:tc>
      </w:tr>
      <w:tr>
        <w:trPr>
          <w:trHeight w:val="280"/>
        </w:trPr>
        <w:tc>
          <w:tcPr>
            <w:tcW w:w="7540" w:type="dxa"/>
            <w:vAlign w:val="bottom"/>
            <w:gridSpan w:val="3"/>
          </w:tcPr>
          <w:p>
            <w:pPr>
              <w:spacing w:after="0"/>
              <w:rPr>
                <w:sz w:val="20"/>
                <w:szCs w:val="20"/>
                <w:color w:val="auto"/>
              </w:rPr>
            </w:pPr>
            <w:r>
              <w:rPr>
                <w:rFonts w:ascii="Arial" w:cs="Arial" w:eastAsia="Arial" w:hAnsi="Arial"/>
                <w:sz w:val="20"/>
                <w:szCs w:val="20"/>
                <w:color w:val="auto"/>
              </w:rPr>
              <w:t>Valuation allowance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(160,595)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(125,435)</w:t>
            </w:r>
          </w:p>
        </w:tc>
        <w:tc>
          <w:tcPr>
            <w:tcW w:w="0" w:type="dxa"/>
            <w:vAlign w:val="bottom"/>
          </w:tcPr>
          <w:p>
            <w:pPr>
              <w:spacing w:after="0"/>
              <w:rPr>
                <w:sz w:val="1"/>
                <w:szCs w:val="1"/>
                <w:color w:val="auto"/>
              </w:rPr>
            </w:pPr>
          </w:p>
        </w:tc>
      </w:tr>
      <w:tr>
        <w:trPr>
          <w:trHeight w:val="259"/>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Net deferred tax assets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119,120</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145,912</w:t>
            </w:r>
          </w:p>
        </w:tc>
        <w:tc>
          <w:tcPr>
            <w:tcW w:w="0" w:type="dxa"/>
            <w:vAlign w:val="bottom"/>
          </w:tcPr>
          <w:p>
            <w:pPr>
              <w:spacing w:after="0"/>
              <w:rPr>
                <w:sz w:val="1"/>
                <w:szCs w:val="1"/>
                <w:color w:val="auto"/>
              </w:rPr>
            </w:pPr>
          </w:p>
        </w:tc>
      </w:tr>
      <w:tr>
        <w:trPr>
          <w:trHeight w:val="447"/>
        </w:trPr>
        <w:tc>
          <w:tcPr>
            <w:tcW w:w="7540" w:type="dxa"/>
            <w:vAlign w:val="bottom"/>
            <w:gridSpan w:val="3"/>
          </w:tcPr>
          <w:p>
            <w:pPr>
              <w:spacing w:after="0"/>
              <w:rPr>
                <w:sz w:val="20"/>
                <w:szCs w:val="20"/>
                <w:color w:val="auto"/>
              </w:rPr>
            </w:pPr>
            <w:r>
              <w:rPr>
                <w:rFonts w:ascii="Arial" w:cs="Arial" w:eastAsia="Arial" w:hAnsi="Arial"/>
                <w:sz w:val="20"/>
                <w:szCs w:val="20"/>
                <w:color w:val="auto"/>
              </w:rPr>
              <w:t>Depreciation and amortization</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(170,646)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(195,450)</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Reserves and accruals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(11,240)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(7,931)</w:t>
            </w:r>
          </w:p>
        </w:tc>
        <w:tc>
          <w:tcPr>
            <w:tcW w:w="0" w:type="dxa"/>
            <w:vAlign w:val="bottom"/>
          </w:tcPr>
          <w:p>
            <w:pPr>
              <w:spacing w:after="0"/>
              <w:rPr>
                <w:sz w:val="1"/>
                <w:szCs w:val="1"/>
                <w:color w:val="auto"/>
              </w:rPr>
            </w:pPr>
          </w:p>
        </w:tc>
      </w:tr>
      <w:tr>
        <w:trPr>
          <w:trHeight w:val="283"/>
        </w:trPr>
        <w:tc>
          <w:tcPr>
            <w:tcW w:w="7540" w:type="dxa"/>
            <w:vAlign w:val="bottom"/>
            <w:gridSpan w:val="3"/>
          </w:tcPr>
          <w:p>
            <w:pPr>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(3,869)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(1,992)</w:t>
            </w:r>
          </w:p>
        </w:tc>
        <w:tc>
          <w:tcPr>
            <w:tcW w:w="0" w:type="dxa"/>
            <w:vAlign w:val="bottom"/>
          </w:tcPr>
          <w:p>
            <w:pPr>
              <w:spacing w:after="0"/>
              <w:rPr>
                <w:sz w:val="1"/>
                <w:szCs w:val="1"/>
                <w:color w:val="auto"/>
              </w:rPr>
            </w:pPr>
          </w:p>
        </w:tc>
      </w:tr>
      <w:tr>
        <w:trPr>
          <w:trHeight w:val="259"/>
        </w:trPr>
        <w:tc>
          <w:tcPr>
            <w:tcW w:w="7540" w:type="dxa"/>
            <w:vAlign w:val="bottom"/>
            <w:gridSpan w:val="3"/>
          </w:tcPr>
          <w:p>
            <w:pPr>
              <w:spacing w:after="0"/>
              <w:rPr>
                <w:sz w:val="20"/>
                <w:szCs w:val="20"/>
                <w:color w:val="auto"/>
              </w:rPr>
            </w:pPr>
            <w:r>
              <w:rPr>
                <w:rFonts w:ascii="Arial" w:cs="Arial" w:eastAsia="Arial" w:hAnsi="Arial"/>
                <w:sz w:val="20"/>
                <w:szCs w:val="20"/>
                <w:color w:val="auto"/>
              </w:rPr>
              <w:t>Total deferred tax liabilities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(185,755)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(205,373)</w:t>
            </w:r>
          </w:p>
        </w:tc>
        <w:tc>
          <w:tcPr>
            <w:tcW w:w="0" w:type="dxa"/>
            <w:vAlign w:val="bottom"/>
          </w:tcPr>
          <w:p>
            <w:pPr>
              <w:spacing w:after="0"/>
              <w:rPr>
                <w:sz w:val="1"/>
                <w:szCs w:val="1"/>
                <w:color w:val="auto"/>
              </w:rPr>
            </w:pPr>
          </w:p>
        </w:tc>
      </w:tr>
      <w:tr>
        <w:trPr>
          <w:trHeight w:val="240"/>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Net deferred tax liabilities</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(66,635)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(59,461)</w:t>
            </w:r>
          </w:p>
        </w:tc>
        <w:tc>
          <w:tcPr>
            <w:tcW w:w="0" w:type="dxa"/>
            <w:vAlign w:val="bottom"/>
          </w:tcPr>
          <w:p>
            <w:pPr>
              <w:spacing w:after="0"/>
              <w:rPr>
                <w:sz w:val="1"/>
                <w:szCs w:val="1"/>
                <w:color w:val="auto"/>
              </w:rPr>
            </w:pPr>
          </w:p>
        </w:tc>
      </w:tr>
      <w:tr>
        <w:trPr>
          <w:trHeight w:val="20"/>
        </w:trPr>
        <w:tc>
          <w:tcPr>
            <w:tcW w:w="754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7540" w:type="dxa"/>
            <w:vAlign w:val="bottom"/>
            <w:gridSpan w:val="3"/>
          </w:tcPr>
          <w:p>
            <w:pPr>
              <w:spacing w:after="0"/>
              <w:rPr>
                <w:sz w:val="20"/>
                <w:szCs w:val="20"/>
                <w:color w:val="auto"/>
              </w:rPr>
            </w:pPr>
            <w:r>
              <w:rPr>
                <w:rFonts w:ascii="Arial" w:cs="Arial" w:eastAsia="Arial" w:hAnsi="Arial"/>
                <w:sz w:val="20"/>
                <w:szCs w:val="20"/>
                <w:color w:val="auto"/>
              </w:rPr>
              <w:t>Noncurrent net deferred tax assets</w:t>
            </w:r>
          </w:p>
        </w:tc>
        <w:tc>
          <w:tcPr>
            <w:tcW w:w="26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2,865</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4,993</w:t>
            </w:r>
          </w:p>
        </w:tc>
        <w:tc>
          <w:tcPr>
            <w:tcW w:w="0" w:type="dxa"/>
            <w:vAlign w:val="bottom"/>
          </w:tcPr>
          <w:p>
            <w:pPr>
              <w:spacing w:after="0"/>
              <w:rPr>
                <w:sz w:val="1"/>
                <w:szCs w:val="1"/>
                <w:color w:val="auto"/>
              </w:rPr>
            </w:pPr>
          </w:p>
        </w:tc>
      </w:tr>
      <w:tr>
        <w:trPr>
          <w:trHeight w:val="283"/>
        </w:trPr>
        <w:tc>
          <w:tcPr>
            <w:tcW w:w="7540" w:type="dxa"/>
            <w:vAlign w:val="bottom"/>
            <w:gridSpan w:val="3"/>
          </w:tcPr>
          <w:p>
            <w:pPr>
              <w:spacing w:after="0"/>
              <w:rPr>
                <w:sz w:val="20"/>
                <w:szCs w:val="20"/>
                <w:color w:val="auto"/>
              </w:rPr>
            </w:pPr>
            <w:r>
              <w:rPr>
                <w:rFonts w:ascii="Arial" w:cs="Arial" w:eastAsia="Arial" w:hAnsi="Arial"/>
                <w:sz w:val="20"/>
                <w:szCs w:val="20"/>
                <w:color w:val="auto"/>
              </w:rPr>
              <w:t>Noncurrent net deferred tax liabilities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(69,500)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(64,454)</w:t>
            </w:r>
          </w:p>
        </w:tc>
        <w:tc>
          <w:tcPr>
            <w:tcW w:w="0" w:type="dxa"/>
            <w:vAlign w:val="bottom"/>
          </w:tcPr>
          <w:p>
            <w:pPr>
              <w:spacing w:after="0"/>
              <w:rPr>
                <w:sz w:val="1"/>
                <w:szCs w:val="1"/>
                <w:color w:val="auto"/>
              </w:rPr>
            </w:pPr>
          </w:p>
        </w:tc>
      </w:tr>
      <w:tr>
        <w:trPr>
          <w:trHeight w:val="240"/>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Noncurrent net deferred tax liabilities</w:t>
            </w:r>
          </w:p>
        </w:tc>
        <w:tc>
          <w:tcPr>
            <w:tcW w:w="26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(66,635)</w:t>
            </w:r>
          </w:p>
        </w:tc>
        <w:tc>
          <w:tcPr>
            <w:tcW w:w="38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(59,461)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-3559175</wp:posOffset>
            </wp:positionV>
            <wp:extent cx="6410325" cy="3566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6410325" cy="3566160"/>
                    </a:xfrm>
                    <a:prstGeom prst="rect">
                      <a:avLst/>
                    </a:prstGeom>
                    <a:noFill/>
                  </pic:spPr>
                </pic:pic>
              </a:graphicData>
            </a:graphic>
          </wp:anchor>
        </w:drawing>
      </w:r>
    </w:p>
    <w:p>
      <w:pPr>
        <w:spacing w:after="0" w:line="223" w:lineRule="exact"/>
        <w:rPr>
          <w:sz w:val="20"/>
          <w:szCs w:val="20"/>
          <w:color w:val="auto"/>
        </w:rPr>
      </w:pPr>
    </w:p>
    <w:p>
      <w:pPr>
        <w:jc w:val="both"/>
        <w:ind w:right="180"/>
        <w:spacing w:after="0" w:line="303" w:lineRule="auto"/>
        <w:rPr>
          <w:sz w:val="20"/>
          <w:szCs w:val="20"/>
          <w:color w:val="auto"/>
        </w:rPr>
      </w:pPr>
      <w:r>
        <w:rPr>
          <w:rFonts w:ascii="Arial" w:cs="Arial" w:eastAsia="Arial" w:hAnsi="Arial"/>
          <w:sz w:val="17"/>
          <w:szCs w:val="17"/>
          <w:color w:val="auto"/>
        </w:rPr>
        <w:t>At December 31, 2024 and 2023, the Company had available U.S. federal net operating loss carryforwards of $164.1 million and $235.0 million, respectively, which have no expiration date. At December 31, 2024 and 2023, the Company had available state net operating loss carryforwards of $293.8 million and $298.8 million, respectively, of which $89.6 million and $103.6</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million have no expiration date, and foreign net operating loss carryforwards of approximately $21.4 million and $23.4 million, respectively, the majority of which have no expiration date. At December 31, 2024 and 2023, a valuation allowance was established against foreign net operating loss carryforwards for $3.6 million and $4.4 million, respectively. At December 31, 2024 there is no valuation allowance against U.S. federal net operating loss carryforwards as we expect these deferred tax assets will be realized. At December 31, 2023 we established a valuation allowance against U.S. federal net operating loss carryforwards of $6.8 million. At December 31, 2024 and 2023, we also established a valuation allowance against U.S. state net operating loss carryforwards for $12.5 million and $11.3 million, respectively. Based on management’s assessment, it is not more likely than not that these deferred tax assets will be realized through future taxable income.</w:t>
      </w:r>
    </w:p>
    <w:p>
      <w:pPr>
        <w:spacing w:after="0" w:line="167"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At December 31, 2024, a deferred tax liability of $3.8 million was recorded for repatriation of earnings for purposes of the Company’s consolidated financial statements as these earnings are not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As of December 31, 2024 and 2023, the gross reserve for uncertain tax positions, excluding accrued interest and penalties, was $0.</w:t>
      </w:r>
    </w:p>
    <w:p>
      <w:pPr>
        <w:spacing w:after="0" w:line="186" w:lineRule="exact"/>
        <w:rPr>
          <w:sz w:val="20"/>
          <w:szCs w:val="20"/>
          <w:color w:val="auto"/>
        </w:rPr>
      </w:pPr>
    </w:p>
    <w:p>
      <w:pPr>
        <w:ind w:right="160"/>
        <w:spacing w:after="0" w:line="278" w:lineRule="auto"/>
        <w:rPr>
          <w:sz w:val="20"/>
          <w:szCs w:val="20"/>
          <w:color w:val="auto"/>
        </w:rPr>
      </w:pPr>
      <w:r>
        <w:rPr>
          <w:rFonts w:ascii="Arial" w:cs="Arial" w:eastAsia="Arial" w:hAnsi="Arial"/>
          <w:sz w:val="19"/>
          <w:szCs w:val="19"/>
          <w:color w:val="auto"/>
        </w:rPr>
        <w:t>The Company recognizes interest and penalties as part of the provision for income taxes. For the years ended December 31, 2024, 2023 and 2022, interest and penalties related to uncertain income tax positions that were recognized in the Consolidated Statements of Operations and Comprehensive Income (Loss) were not material.</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10040"/>
          </w:cols>
          <w:pgMar w:left="920" w:top="544" w:right="92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color w:val="auto"/>
        </w:rPr>
        <w:t>The Company, which represents all of its subsidiaries, files income tax returns in the U.S. federal jurisdiction and various states and foreign jurisdictions. The Company is no longer subject to U.S. federal, state, and local tax examinations before 2016, and non-U.S. income tax examinations by tax authorities for years before 2012. Tax years through December 31, 2018 have been audited by the Internal Revenue Service and are effectively closed for U.S. federal income tax purposes and no other fiscal years are currently under audit. For Nordion’s Canadian tax, all tax years through October 31, 2018 have been closed through audit or statute, and no other fiscal years are currently under audit.</w:t>
      </w:r>
    </w:p>
    <w:p>
      <w:pPr>
        <w:spacing w:after="0" w:line="166"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A portion of the Company’s foreign operations benefit from a tax holiday, which is set to expire in 2030. This tax holiday may be terminated early if certain conditions are not met. The tax benefit attributable to this holiday was $1.3 million and $1.1 million for the fiscal years ended December 31, 2024 and 2023,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Employee Benefits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Retirement Benefits in the U.S.</w:t>
      </w:r>
    </w:p>
    <w:p>
      <w:pPr>
        <w:spacing w:after="0" w:line="130"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$6.0 million, $5.7 million, and $5.0 million for the years ended December 31, 2024, 2023 and 2022, respectively, and are recorded in the same line as the respective employee’s wages. Administrative expenses related to the plan are paid by the Company and are not material.</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Retirement Benefits Outside the U.S.</w:t>
      </w:r>
    </w:p>
    <w:p>
      <w:pPr>
        <w:spacing w:after="0" w:line="130"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$1.7 million, $1.7 million and $1.2 million for the years ended December 31, 2024, 2023 and 2022,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Pension Plans</w:t>
      </w:r>
    </w:p>
    <w:p>
      <w:pPr>
        <w:spacing w:after="0" w:line="130" w:lineRule="exact"/>
        <w:rPr>
          <w:sz w:val="20"/>
          <w:szCs w:val="20"/>
          <w:color w:val="auto"/>
        </w:rPr>
      </w:pPr>
    </w:p>
    <w:p>
      <w:pPr>
        <w:jc w:val="both"/>
        <w:ind w:right="360"/>
        <w:spacing w:after="0" w:line="258" w:lineRule="auto"/>
        <w:rPr>
          <w:sz w:val="20"/>
          <w:szCs w:val="20"/>
          <w:color w:val="auto"/>
        </w:rPr>
      </w:pPr>
      <w:r>
        <w:rPr>
          <w:rFonts w:ascii="Arial" w:cs="Arial" w:eastAsia="Arial" w:hAnsi="Arial"/>
          <w:sz w:val="20"/>
          <w:szCs w:val="20"/>
          <w:color w:val="auto"/>
        </w:rPr>
        <w:t>The Company also sponsors various post-employment benefit plans including, in certain countries outside the U.S., defined benefit and defined contribution plans, retirement compensation arrangements, and plans that provide extended health care coverage to retired employees, the majority of which relate to Nordion.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Defined benefit pension plan</w:t>
      </w:r>
    </w:p>
    <w:p>
      <w:pPr>
        <w:spacing w:after="0" w:line="125" w:lineRule="exact"/>
        <w:rPr>
          <w:sz w:val="20"/>
          <w:szCs w:val="20"/>
          <w:color w:val="auto"/>
        </w:rPr>
      </w:pPr>
    </w:p>
    <w:p>
      <w:pPr>
        <w:ind w:right="280"/>
        <w:spacing w:after="0" w:line="306" w:lineRule="auto"/>
        <w:rPr>
          <w:sz w:val="20"/>
          <w:szCs w:val="20"/>
          <w:color w:val="auto"/>
        </w:rPr>
      </w:pPr>
      <w:r>
        <w:rPr>
          <w:rFonts w:ascii="Arial" w:cs="Arial" w:eastAsia="Arial" w:hAnsi="Arial"/>
          <w:sz w:val="17"/>
          <w:szCs w:val="17"/>
          <w:color w:val="auto"/>
        </w:rPr>
        <w:t>The following defined benefit pension plan disclosure relates to Nordion. Certain immaterial foreign defined benefit pension plans have been excluded from the table below. The interest cost, expected return on plan assets and amortization of net actuarial loss are recorded in “Other (income) expense, net” and the service cost component is included in the same financial statement line item as the applicable employee’s wages in the Consolidated Statements of Operations and Comprehensive Income (Loss). The components of net periodic pension benefit for the defined benefit plans were as follows: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20" w:type="dxa"/>
            <w:vAlign w:val="bottom"/>
            <w:tcBorders>
              <w:top w:val="single" w:sz="8" w:color="auto"/>
            </w:tcBorders>
          </w:tcPr>
          <w:p>
            <w:pPr>
              <w:spacing w:after="0"/>
              <w:rPr>
                <w:sz w:val="18"/>
                <w:szCs w:val="18"/>
                <w:color w:val="auto"/>
              </w:rPr>
            </w:pPr>
          </w:p>
        </w:tc>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46"/>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46"/>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6"/>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20"/>
                <w:szCs w:val="20"/>
                <w:color w:val="auto"/>
              </w:rPr>
              <w:t>Service cost</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6240" w:type="dxa"/>
            <w:vAlign w:val="bottom"/>
            <w:gridSpan w:val="3"/>
            <w:vMerge w:val="continue"/>
          </w:tcPr>
          <w:p>
            <w:pPr>
              <w:spacing w:after="0"/>
              <w:rPr>
                <w:sz w:val="22"/>
                <w:szCs w:val="22"/>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570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525</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969</w:t>
            </w:r>
          </w:p>
        </w:tc>
        <w:tc>
          <w:tcPr>
            <w:tcW w:w="0" w:type="dxa"/>
            <w:vAlign w:val="bottom"/>
          </w:tcPr>
          <w:p>
            <w:pPr>
              <w:spacing w:after="0"/>
              <w:rPr>
                <w:sz w:val="1"/>
                <w:szCs w:val="1"/>
                <w:color w:val="auto"/>
              </w:rPr>
            </w:pPr>
          </w:p>
        </w:tc>
      </w:tr>
      <w:tr>
        <w:trPr>
          <w:trHeight w:val="276"/>
        </w:trPr>
        <w:tc>
          <w:tcPr>
            <w:tcW w:w="6240" w:type="dxa"/>
            <w:vAlign w:val="bottom"/>
            <w:gridSpan w:val="3"/>
          </w:tcPr>
          <w:p>
            <w:pPr>
              <w:spacing w:after="0"/>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10,435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10,917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7,411</w:t>
            </w:r>
          </w:p>
        </w:tc>
        <w:tc>
          <w:tcPr>
            <w:tcW w:w="0" w:type="dxa"/>
            <w:vAlign w:val="bottom"/>
          </w:tcPr>
          <w:p>
            <w:pPr>
              <w:spacing w:after="0"/>
              <w:rPr>
                <w:sz w:val="1"/>
                <w:szCs w:val="1"/>
                <w:color w:val="auto"/>
              </w:rPr>
            </w:pPr>
          </w:p>
        </w:tc>
      </w:tr>
      <w:tr>
        <w:trPr>
          <w:trHeight w:val="283"/>
        </w:trPr>
        <w:tc>
          <w:tcPr>
            <w:tcW w:w="6240" w:type="dxa"/>
            <w:vAlign w:val="bottom"/>
            <w:gridSpan w:val="3"/>
          </w:tcPr>
          <w:p>
            <w:pPr>
              <w:spacing w:after="0"/>
              <w:rPr>
                <w:sz w:val="20"/>
                <w:szCs w:val="20"/>
                <w:color w:val="auto"/>
              </w:rPr>
            </w:pPr>
            <w:r>
              <w:rPr>
                <w:rFonts w:ascii="Arial" w:cs="Arial" w:eastAsia="Arial" w:hAnsi="Arial"/>
                <w:sz w:val="20"/>
                <w:szCs w:val="20"/>
                <w:color w:val="auto"/>
              </w:rPr>
              <w:t>Expected return on plan assets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(15,823)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(16,108)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(14,421)</w:t>
            </w:r>
          </w:p>
        </w:tc>
        <w:tc>
          <w:tcPr>
            <w:tcW w:w="0" w:type="dxa"/>
            <w:vAlign w:val="bottom"/>
          </w:tcPr>
          <w:p>
            <w:pPr>
              <w:spacing w:after="0"/>
              <w:rPr>
                <w:sz w:val="1"/>
                <w:szCs w:val="1"/>
                <w:color w:val="auto"/>
              </w:rPr>
            </w:pPr>
          </w:p>
        </w:tc>
      </w:tr>
      <w:tr>
        <w:trPr>
          <w:trHeight w:val="240"/>
        </w:trPr>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Net periodic benefit</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(4,818)</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(4,666)</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(6,041)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10040"/>
          </w:cols>
          <w:pgMar w:left="920" w:top="544" w:right="920" w:bottom="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weighted average assumptions were used in the determination of the PBO and the net periodic benefit: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54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2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Projected benefit obligation</w:t>
            </w: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7540" w:type="dxa"/>
            <w:vAlign w:val="bottom"/>
            <w:gridSpan w:val="2"/>
            <w:vMerge w:val="continue"/>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4.65 %</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540" w:type="dxa"/>
            <w:vAlign w:val="bottom"/>
            <w:gridSpan w:val="2"/>
          </w:tcPr>
          <w:p>
            <w:pPr>
              <w:spacing w:after="0"/>
              <w:rPr>
                <w:sz w:val="20"/>
                <w:szCs w:val="20"/>
                <w:color w:val="auto"/>
              </w:rPr>
            </w:pPr>
            <w:r>
              <w:rPr>
                <w:rFonts w:ascii="Arial" w:cs="Arial" w:eastAsia="Arial" w:hAnsi="Arial"/>
                <w:sz w:val="20"/>
                <w:szCs w:val="20"/>
                <w:color w:val="auto"/>
              </w:rPr>
              <w:t>Discount rate</w:t>
            </w:r>
          </w:p>
        </w:tc>
        <w:tc>
          <w:tcPr>
            <w:tcW w:w="1180" w:type="dxa"/>
            <w:vAlign w:val="bottom"/>
            <w:vMerge w:val="continue"/>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4.65 %</w:t>
            </w:r>
          </w:p>
        </w:tc>
        <w:tc>
          <w:tcPr>
            <w:tcW w:w="0" w:type="dxa"/>
            <w:vAlign w:val="bottom"/>
          </w:tcPr>
          <w:p>
            <w:pPr>
              <w:spacing w:after="0"/>
              <w:rPr>
                <w:sz w:val="1"/>
                <w:szCs w:val="1"/>
                <w:color w:val="auto"/>
              </w:rPr>
            </w:pPr>
          </w:p>
        </w:tc>
      </w:tr>
      <w:tr>
        <w:trPr>
          <w:trHeight w:val="276"/>
        </w:trPr>
        <w:tc>
          <w:tcPr>
            <w:tcW w:w="7540" w:type="dxa"/>
            <w:vAlign w:val="bottom"/>
            <w:gridSpan w:val="2"/>
          </w:tcPr>
          <w:p>
            <w:pPr>
              <w:spacing w:after="0"/>
              <w:rPr>
                <w:sz w:val="20"/>
                <w:szCs w:val="20"/>
                <w:color w:val="auto"/>
              </w:rPr>
            </w:pPr>
            <w:r>
              <w:rPr>
                <w:rFonts w:ascii="Arial" w:cs="Arial" w:eastAsia="Arial" w:hAnsi="Arial"/>
                <w:sz w:val="20"/>
                <w:szCs w:val="20"/>
                <w:color w:val="auto"/>
              </w:rPr>
              <w:t>Rate of compensation increase</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3.00 %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3.00 %</w:t>
            </w:r>
          </w:p>
        </w:tc>
        <w:tc>
          <w:tcPr>
            <w:tcW w:w="0" w:type="dxa"/>
            <w:vAlign w:val="bottom"/>
          </w:tcPr>
          <w:p>
            <w:pPr>
              <w:spacing w:after="0"/>
              <w:rPr>
                <w:sz w:val="1"/>
                <w:szCs w:val="1"/>
                <w:color w:val="auto"/>
              </w:rPr>
            </w:pPr>
          </w:p>
        </w:tc>
      </w:tr>
      <w:tr>
        <w:trPr>
          <w:trHeight w:val="259"/>
        </w:trPr>
        <w:tc>
          <w:tcPr>
            <w:tcW w:w="7540" w:type="dxa"/>
            <w:vAlign w:val="bottom"/>
            <w:gridSpan w:val="2"/>
          </w:tcPr>
          <w:p>
            <w:pPr>
              <w:spacing w:after="0"/>
              <w:rPr>
                <w:sz w:val="20"/>
                <w:szCs w:val="20"/>
                <w:color w:val="auto"/>
              </w:rPr>
            </w:pPr>
            <w:r>
              <w:rPr>
                <w:rFonts w:ascii="Arial" w:cs="Arial" w:eastAsia="Arial" w:hAnsi="Arial"/>
                <w:sz w:val="20"/>
                <w:szCs w:val="20"/>
                <w:b w:val="1"/>
                <w:bCs w:val="1"/>
                <w:color w:val="auto"/>
              </w:rPr>
              <w:t>Periodic benefit</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7540" w:type="dxa"/>
            <w:vAlign w:val="bottom"/>
            <w:gridSpan w:val="2"/>
          </w:tcPr>
          <w:p>
            <w:pPr>
              <w:spacing w:after="0"/>
              <w:rPr>
                <w:sz w:val="20"/>
                <w:szCs w:val="20"/>
                <w:color w:val="auto"/>
              </w:rPr>
            </w:pPr>
            <w:r>
              <w:rPr>
                <w:rFonts w:ascii="Arial" w:cs="Arial" w:eastAsia="Arial" w:hAnsi="Arial"/>
                <w:sz w:val="20"/>
                <w:szCs w:val="20"/>
                <w:color w:val="auto"/>
              </w:rPr>
              <w:t>Discount rate</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4.65 %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5.19 %</w:t>
            </w:r>
          </w:p>
        </w:tc>
        <w:tc>
          <w:tcPr>
            <w:tcW w:w="0" w:type="dxa"/>
            <w:vAlign w:val="bottom"/>
          </w:tcPr>
          <w:p>
            <w:pPr>
              <w:spacing w:after="0"/>
              <w:rPr>
                <w:sz w:val="1"/>
                <w:szCs w:val="1"/>
                <w:color w:val="auto"/>
              </w:rPr>
            </w:pPr>
          </w:p>
        </w:tc>
      </w:tr>
      <w:tr>
        <w:trPr>
          <w:trHeight w:val="279"/>
        </w:trPr>
        <w:tc>
          <w:tcPr>
            <w:tcW w:w="7540" w:type="dxa"/>
            <w:vAlign w:val="bottom"/>
            <w:gridSpan w:val="2"/>
          </w:tcPr>
          <w:p>
            <w:pPr>
              <w:spacing w:after="0"/>
              <w:rPr>
                <w:sz w:val="20"/>
                <w:szCs w:val="20"/>
                <w:color w:val="auto"/>
              </w:rPr>
            </w:pPr>
            <w:r>
              <w:rPr>
                <w:rFonts w:ascii="Arial" w:cs="Arial" w:eastAsia="Arial" w:hAnsi="Arial"/>
                <w:sz w:val="20"/>
                <w:szCs w:val="20"/>
                <w:color w:val="auto"/>
              </w:rPr>
              <w:t>Expected return on plan assets</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6.25 %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6.50 %</w:t>
            </w:r>
          </w:p>
        </w:tc>
        <w:tc>
          <w:tcPr>
            <w:tcW w:w="0" w:type="dxa"/>
            <w:vAlign w:val="bottom"/>
          </w:tcPr>
          <w:p>
            <w:pPr>
              <w:spacing w:after="0"/>
              <w:rPr>
                <w:sz w:val="1"/>
                <w:szCs w:val="1"/>
                <w:color w:val="auto"/>
              </w:rPr>
            </w:pPr>
          </w:p>
        </w:tc>
      </w:tr>
      <w:tr>
        <w:trPr>
          <w:trHeight w:val="279"/>
        </w:trPr>
        <w:tc>
          <w:tcPr>
            <w:tcW w:w="7540" w:type="dxa"/>
            <w:vAlign w:val="bottom"/>
            <w:gridSpan w:val="2"/>
          </w:tcPr>
          <w:p>
            <w:pPr>
              <w:spacing w:after="0"/>
              <w:rPr>
                <w:sz w:val="20"/>
                <w:szCs w:val="20"/>
                <w:color w:val="auto"/>
              </w:rPr>
            </w:pPr>
            <w:r>
              <w:rPr>
                <w:rFonts w:ascii="Arial" w:cs="Arial" w:eastAsia="Arial" w:hAnsi="Arial"/>
                <w:sz w:val="20"/>
                <w:szCs w:val="20"/>
                <w:color w:val="auto"/>
              </w:rPr>
              <w:t>Rate of compensation increase</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3.00 %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3.00 %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-1245235</wp:posOffset>
            </wp:positionV>
            <wp:extent cx="6410325" cy="1266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6410325" cy="126682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the PBO, fair value of plan assets, and the funded status of the plans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90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Change in projected benefit obligation:</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540" w:type="dxa"/>
            <w:vAlign w:val="bottom"/>
            <w:gridSpan w:val="3"/>
            <w:vMerge w:val="continue"/>
          </w:tcPr>
          <w:p>
            <w:pPr>
              <w:spacing w:after="0"/>
              <w:rPr>
                <w:sz w:val="20"/>
                <w:szCs w:val="20"/>
                <w:color w:val="auto"/>
              </w:rPr>
            </w:pPr>
          </w:p>
        </w:tc>
        <w:tc>
          <w:tcPr>
            <w:tcW w:w="280" w:type="dxa"/>
            <w:vAlign w:val="bottom"/>
            <w:vMerge w:val="restart"/>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239,947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Projected benefit obligation, as of beginning of the year</w:t>
            </w:r>
          </w:p>
        </w:tc>
        <w:tc>
          <w:tcPr>
            <w:tcW w:w="28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217,582</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Service cost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732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681</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10,435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10,917</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(12,737)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(12,305)</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Actuarial loss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17,934</w:t>
            </w:r>
          </w:p>
        </w:tc>
        <w:tc>
          <w:tcPr>
            <w:tcW w:w="0" w:type="dxa"/>
            <w:vAlign w:val="bottom"/>
          </w:tcPr>
          <w:p>
            <w:pPr>
              <w:spacing w:after="0"/>
              <w:rPr>
                <w:sz w:val="1"/>
                <w:szCs w:val="1"/>
                <w:color w:val="auto"/>
              </w:rPr>
            </w:pPr>
          </w:p>
        </w:tc>
      </w:tr>
      <w:tr>
        <w:trPr>
          <w:trHeight w:val="283"/>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(18,679)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5,138</w:t>
            </w:r>
          </w:p>
        </w:tc>
        <w:tc>
          <w:tcPr>
            <w:tcW w:w="0" w:type="dxa"/>
            <w:vAlign w:val="bottom"/>
          </w:tcPr>
          <w:p>
            <w:pPr>
              <w:spacing w:after="0"/>
              <w:rPr>
                <w:sz w:val="1"/>
                <w:szCs w:val="1"/>
                <w:color w:val="auto"/>
              </w:rPr>
            </w:pPr>
          </w:p>
        </w:tc>
      </w:tr>
      <w:tr>
        <w:trPr>
          <w:trHeight w:val="343"/>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Projected benefit obligation, end of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220,633</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239,947</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Change in fair value of plan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Fair value of plan assets as of the beginning of the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268,424</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253,130</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Actual return on plan assets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27,925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21,163</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(12,737)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(12,305)</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Employer contributions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604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496</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Employee contributions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283"/>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(21,675)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5,784</w:t>
            </w:r>
          </w:p>
        </w:tc>
        <w:tc>
          <w:tcPr>
            <w:tcW w:w="0" w:type="dxa"/>
            <w:vAlign w:val="bottom"/>
          </w:tcPr>
          <w:p>
            <w:pPr>
              <w:spacing w:after="0"/>
              <w:rPr>
                <w:sz w:val="1"/>
                <w:szCs w:val="1"/>
                <w:color w:val="auto"/>
              </w:rPr>
            </w:pPr>
          </w:p>
        </w:tc>
      </w:tr>
      <w:tr>
        <w:trPr>
          <w:trHeight w:val="343"/>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Fair value of plan assets, end of year</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262,703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268,424</w:t>
            </w:r>
          </w:p>
        </w:tc>
        <w:tc>
          <w:tcPr>
            <w:tcW w:w="0" w:type="dxa"/>
            <w:vAlign w:val="bottom"/>
          </w:tcPr>
          <w:p>
            <w:pPr>
              <w:spacing w:after="0"/>
              <w:rPr>
                <w:sz w:val="1"/>
                <w:szCs w:val="1"/>
                <w:color w:val="auto"/>
              </w:rPr>
            </w:pPr>
          </w:p>
        </w:tc>
      </w:tr>
      <w:tr>
        <w:trPr>
          <w:trHeight w:val="20"/>
        </w:trPr>
        <w:tc>
          <w:tcPr>
            <w:tcW w:w="75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Funded status at end of year</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42,070</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28,477</w:t>
            </w:r>
          </w:p>
        </w:tc>
        <w:tc>
          <w:tcPr>
            <w:tcW w:w="0" w:type="dxa"/>
            <w:vAlign w:val="bottom"/>
          </w:tcPr>
          <w:p>
            <w:pPr>
              <w:spacing w:after="0"/>
              <w:rPr>
                <w:sz w:val="1"/>
                <w:szCs w:val="1"/>
                <w:color w:val="auto"/>
              </w:rPr>
            </w:pPr>
          </w:p>
        </w:tc>
      </w:tr>
      <w:tr>
        <w:trPr>
          <w:trHeight w:val="20"/>
        </w:trPr>
        <w:tc>
          <w:tcPr>
            <w:tcW w:w="75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Accumulated benefit obligation, end of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218,122</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237,016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-3559175</wp:posOffset>
            </wp:positionV>
            <wp:extent cx="6410325" cy="3566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6410325" cy="356616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All defined benefit pension plans are overfunded as of December 31, 2024 and December 31, 2023.</w:t>
      </w:r>
    </w:p>
    <w:p>
      <w:pPr>
        <w:spacing w:after="0" w:line="240"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The funded status, measured as the difference between the fair value of the plan assets and the PBO, are included in “Post-retirement assets” for overfunded plans and “Post-retirement obligations” for underfunded plans in the Consolidated Balance Sheets.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10040"/>
          </w:cols>
          <w:pgMar w:left="920" w:top="544" w:right="920" w:bottom="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the funded status to amounts recognized in the Consolidated Balance Sheets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900" w:type="dxa"/>
            <w:vAlign w:val="bottom"/>
          </w:tcPr>
          <w:p>
            <w:pPr>
              <w:jc w:val="right"/>
              <w:ind w:right="346"/>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6"/>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Projected benefit obligation</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40" w:type="dxa"/>
            <w:vAlign w:val="bottom"/>
            <w:gridSpan w:val="3"/>
            <w:vMerge w:val="continue"/>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220,633</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239,947</w:t>
            </w:r>
          </w:p>
        </w:tc>
        <w:tc>
          <w:tcPr>
            <w:tcW w:w="0" w:type="dxa"/>
            <w:vAlign w:val="bottom"/>
          </w:tcPr>
          <w:p>
            <w:pPr>
              <w:spacing w:after="0"/>
              <w:rPr>
                <w:sz w:val="1"/>
                <w:szCs w:val="1"/>
                <w:color w:val="auto"/>
              </w:rPr>
            </w:pPr>
          </w:p>
        </w:tc>
      </w:tr>
      <w:tr>
        <w:trPr>
          <w:trHeight w:val="280"/>
        </w:trPr>
        <w:tc>
          <w:tcPr>
            <w:tcW w:w="7540" w:type="dxa"/>
            <w:vAlign w:val="bottom"/>
            <w:gridSpan w:val="3"/>
          </w:tcPr>
          <w:p>
            <w:pPr>
              <w:spacing w:after="0"/>
              <w:rPr>
                <w:sz w:val="20"/>
                <w:szCs w:val="20"/>
                <w:color w:val="auto"/>
              </w:rPr>
            </w:pPr>
            <w:r>
              <w:rPr>
                <w:rFonts w:ascii="Arial" w:cs="Arial" w:eastAsia="Arial" w:hAnsi="Arial"/>
                <w:sz w:val="20"/>
                <w:szCs w:val="20"/>
                <w:color w:val="auto"/>
              </w:rPr>
              <w:t>Fair value of plan assets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262,703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268,424</w:t>
            </w:r>
          </w:p>
        </w:tc>
        <w:tc>
          <w:tcPr>
            <w:tcW w:w="0" w:type="dxa"/>
            <w:vAlign w:val="bottom"/>
          </w:tcPr>
          <w:p>
            <w:pPr>
              <w:spacing w:after="0"/>
              <w:rPr>
                <w:sz w:val="1"/>
                <w:szCs w:val="1"/>
                <w:color w:val="auto"/>
              </w:rPr>
            </w:pPr>
          </w:p>
        </w:tc>
      </w:tr>
      <w:tr>
        <w:trPr>
          <w:trHeight w:val="259"/>
        </w:trPr>
        <w:tc>
          <w:tcPr>
            <w:tcW w:w="7540" w:type="dxa"/>
            <w:vAlign w:val="bottom"/>
            <w:gridSpan w:val="3"/>
          </w:tcPr>
          <w:p>
            <w:pPr>
              <w:spacing w:after="0"/>
              <w:rPr>
                <w:sz w:val="20"/>
                <w:szCs w:val="20"/>
                <w:color w:val="auto"/>
              </w:rPr>
            </w:pPr>
            <w:r>
              <w:rPr>
                <w:rFonts w:ascii="Arial" w:cs="Arial" w:eastAsia="Arial" w:hAnsi="Arial"/>
                <w:sz w:val="20"/>
                <w:szCs w:val="20"/>
                <w:color w:val="auto"/>
              </w:rPr>
              <w:t>Plan assets greater than projected benefit obligation (noncurrent assets)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42,070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28,477</w:t>
            </w:r>
          </w:p>
        </w:tc>
        <w:tc>
          <w:tcPr>
            <w:tcW w:w="0" w:type="dxa"/>
            <w:vAlign w:val="bottom"/>
          </w:tcPr>
          <w:p>
            <w:pPr>
              <w:spacing w:after="0"/>
              <w:rPr>
                <w:sz w:val="1"/>
                <w:szCs w:val="1"/>
                <w:color w:val="auto"/>
              </w:rPr>
            </w:pPr>
          </w:p>
        </w:tc>
      </w:tr>
      <w:tr>
        <w:trPr>
          <w:trHeight w:val="276"/>
        </w:trPr>
        <w:tc>
          <w:tcPr>
            <w:tcW w:w="7540" w:type="dxa"/>
            <w:vAlign w:val="bottom"/>
            <w:gridSpan w:val="3"/>
          </w:tcPr>
          <w:p>
            <w:pPr>
              <w:spacing w:after="0"/>
              <w:rPr>
                <w:sz w:val="20"/>
                <w:szCs w:val="20"/>
                <w:color w:val="auto"/>
              </w:rPr>
            </w:pPr>
            <w:r>
              <w:rPr>
                <w:rFonts w:ascii="Arial" w:cs="Arial" w:eastAsia="Arial" w:hAnsi="Arial"/>
                <w:sz w:val="20"/>
                <w:szCs w:val="20"/>
                <w:color w:val="auto"/>
              </w:rPr>
              <w:t>Unrecognized net actuarial (gain) loss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-713105</wp:posOffset>
            </wp:positionV>
            <wp:extent cx="6410325" cy="7346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266" w:lineRule="exact"/>
        <w:rPr>
          <w:sz w:val="20"/>
          <w:szCs w:val="20"/>
          <w:color w:val="auto"/>
        </w:rPr>
      </w:pPr>
    </w:p>
    <w:p>
      <w:pPr>
        <w:ind w:right="900"/>
        <w:spacing w:after="0" w:line="271" w:lineRule="auto"/>
        <w:rPr>
          <w:sz w:val="20"/>
          <w:szCs w:val="20"/>
          <w:color w:val="auto"/>
        </w:rPr>
      </w:pPr>
      <w:r>
        <w:rPr>
          <w:rFonts w:ascii="Arial" w:cs="Arial" w:eastAsia="Arial" w:hAnsi="Arial"/>
          <w:sz w:val="20"/>
          <w:szCs w:val="20"/>
          <w:color w:val="auto"/>
        </w:rPr>
        <w:t>The following table illustrates the amounts in accumulated other comprehensive (income) loss that have not yet been recognized as components of pension expense:</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2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300" w:type="dxa"/>
            <w:vAlign w:val="bottom"/>
          </w:tcPr>
          <w:p>
            <w:pPr>
              <w:spacing w:after="0"/>
              <w:rPr>
                <w:sz w:val="18"/>
                <w:szCs w:val="18"/>
                <w:color w:val="auto"/>
              </w:rPr>
            </w:pPr>
          </w:p>
        </w:tc>
        <w:tc>
          <w:tcPr>
            <w:tcW w:w="880" w:type="dxa"/>
            <w:vAlign w:val="bottom"/>
          </w:tcPr>
          <w:p>
            <w:pPr>
              <w:jc w:val="right"/>
              <w:ind w:right="347"/>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47"/>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20"/>
                <w:szCs w:val="20"/>
                <w:color w:val="auto"/>
              </w:rPr>
              <w:t>Net actuarial (gain) loss</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20" w:type="dxa"/>
            <w:vAlign w:val="bottom"/>
            <w:gridSpan w:val="3"/>
            <w:vMerge w:val="continue"/>
          </w:tcPr>
          <w:p>
            <w:pPr>
              <w:spacing w:after="0"/>
              <w:rPr>
                <w:sz w:val="22"/>
                <w:szCs w:val="22"/>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(107)</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11,429</w:t>
            </w:r>
          </w:p>
        </w:tc>
        <w:tc>
          <w:tcPr>
            <w:tcW w:w="0" w:type="dxa"/>
            <w:vAlign w:val="bottom"/>
          </w:tcPr>
          <w:p>
            <w:pPr>
              <w:spacing w:after="0"/>
              <w:rPr>
                <w:sz w:val="1"/>
                <w:szCs w:val="1"/>
                <w:color w:val="auto"/>
              </w:rPr>
            </w:pPr>
          </w:p>
        </w:tc>
      </w:tr>
      <w:tr>
        <w:trPr>
          <w:trHeight w:val="280"/>
        </w:trPr>
        <w:tc>
          <w:tcPr>
            <w:tcW w:w="7520" w:type="dxa"/>
            <w:vAlign w:val="bottom"/>
            <w:gridSpan w:val="3"/>
          </w:tcPr>
          <w:p>
            <w:pPr>
              <w:spacing w:after="0"/>
              <w:rPr>
                <w:sz w:val="20"/>
                <w:szCs w:val="20"/>
                <w:color w:val="auto"/>
              </w:rPr>
            </w:pPr>
            <w:r>
              <w:rPr>
                <w:rFonts w:ascii="Arial" w:cs="Arial" w:eastAsia="Arial" w:hAnsi="Arial"/>
                <w:sz w:val="20"/>
                <w:szCs w:val="20"/>
                <w:color w:val="auto"/>
              </w:rPr>
              <w:t>Deferred income taxes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(2,919)</w:t>
            </w:r>
          </w:p>
        </w:tc>
        <w:tc>
          <w:tcPr>
            <w:tcW w:w="0" w:type="dxa"/>
            <w:vAlign w:val="bottom"/>
          </w:tcPr>
          <w:p>
            <w:pPr>
              <w:spacing w:after="0"/>
              <w:rPr>
                <w:sz w:val="1"/>
                <w:szCs w:val="1"/>
                <w:color w:val="auto"/>
              </w:rPr>
            </w:pPr>
          </w:p>
        </w:tc>
      </w:tr>
      <w:tr>
        <w:trPr>
          <w:trHeight w:val="240"/>
        </w:trPr>
        <w:tc>
          <w:tcPr>
            <w:tcW w:w="7520" w:type="dxa"/>
            <w:vAlign w:val="bottom"/>
            <w:gridSpan w:val="3"/>
          </w:tcPr>
          <w:p>
            <w:pPr>
              <w:spacing w:after="0"/>
              <w:rPr>
                <w:sz w:val="20"/>
                <w:szCs w:val="20"/>
                <w:color w:val="auto"/>
              </w:rPr>
            </w:pPr>
            <w:r>
              <w:rPr>
                <w:rFonts w:ascii="Arial" w:cs="Arial" w:eastAsia="Arial" w:hAnsi="Arial"/>
                <w:sz w:val="20"/>
                <w:szCs w:val="20"/>
                <w:b w:val="1"/>
                <w:bCs w:val="1"/>
                <w:color w:val="auto"/>
              </w:rPr>
              <w:t>Accumulated other comprehensive (income) loss – net of tax</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(80)</w:t>
            </w:r>
          </w:p>
        </w:tc>
        <w:tc>
          <w:tcPr>
            <w:tcW w:w="42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8,510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70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pacing w:after="0" w:line="223"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We do not expect to reclassify any of the net actuarial gain in accumulated other comprehensive income to net periodic pension income in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asset allocation of the Company’s pension plans was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5"/>
              </w:rPr>
              <w:t>Asset Category</w:t>
            </w:r>
          </w:p>
        </w:tc>
        <w:tc>
          <w:tcPr>
            <w:tcW w:w="5220" w:type="dxa"/>
            <w:vAlign w:val="bottom"/>
          </w:tcPr>
          <w:p>
            <w:pPr>
              <w:spacing w:after="0"/>
              <w:rPr>
                <w:sz w:val="16"/>
                <w:szCs w:val="16"/>
                <w:color w:val="auto"/>
              </w:rPr>
            </w:pPr>
          </w:p>
        </w:tc>
        <w:tc>
          <w:tcPr>
            <w:tcW w:w="1180" w:type="dxa"/>
            <w:vAlign w:val="bottom"/>
          </w:tcPr>
          <w:p>
            <w:pPr>
              <w:jc w:val="right"/>
              <w:ind w:right="265"/>
              <w:spacing w:after="0"/>
              <w:rPr>
                <w:sz w:val="20"/>
                <w:szCs w:val="20"/>
                <w:color w:val="auto"/>
              </w:rPr>
            </w:pPr>
            <w:r>
              <w:rPr>
                <w:rFonts w:ascii="Arial" w:cs="Arial" w:eastAsia="Arial" w:hAnsi="Arial"/>
                <w:sz w:val="16"/>
                <w:szCs w:val="16"/>
                <w:b w:val="1"/>
                <w:bCs w:val="1"/>
                <w:color w:val="auto"/>
              </w:rPr>
              <w:t>Target</w:t>
            </w:r>
          </w:p>
        </w:tc>
        <w:tc>
          <w:tcPr>
            <w:tcW w:w="1300" w:type="dxa"/>
            <w:vAlign w:val="bottom"/>
            <w:gridSpan w:val="2"/>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128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20"/>
                <w:szCs w:val="20"/>
                <w:color w:val="auto"/>
              </w:rPr>
              <w:t>Cash</w:t>
            </w: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6240" w:type="dxa"/>
            <w:vAlign w:val="bottom"/>
            <w:gridSpan w:val="2"/>
            <w:vMerge w:val="continue"/>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0.0 %</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0.6 %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0.7 %</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20"/>
                <w:szCs w:val="20"/>
                <w:color w:val="auto"/>
              </w:rPr>
              <w:t>Fixed income</w:t>
            </w:r>
          </w:p>
        </w:tc>
        <w:tc>
          <w:tcPr>
            <w:tcW w:w="1180" w:type="dxa"/>
            <w:vAlign w:val="bottom"/>
          </w:tcPr>
          <w:p>
            <w:pPr>
              <w:jc w:val="right"/>
              <w:spacing w:after="0"/>
              <w:rPr>
                <w:sz w:val="20"/>
                <w:szCs w:val="20"/>
                <w:color w:val="auto"/>
              </w:rPr>
            </w:pPr>
            <w:r>
              <w:rPr>
                <w:rFonts w:ascii="Arial" w:cs="Arial" w:eastAsia="Arial" w:hAnsi="Arial"/>
                <w:sz w:val="20"/>
                <w:szCs w:val="20"/>
                <w:color w:val="auto"/>
              </w:rPr>
              <w:t>54.0 %</w:t>
            </w: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rPr>
              <w:t>52.3 %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43.7 %</w:t>
            </w:r>
          </w:p>
        </w:tc>
        <w:tc>
          <w:tcPr>
            <w:tcW w:w="0" w:type="dxa"/>
            <w:vAlign w:val="bottom"/>
          </w:tcPr>
          <w:p>
            <w:pPr>
              <w:spacing w:after="0"/>
              <w:rPr>
                <w:sz w:val="1"/>
                <w:szCs w:val="1"/>
                <w:color w:val="auto"/>
              </w:rPr>
            </w:pPr>
          </w:p>
        </w:tc>
      </w:tr>
      <w:tr>
        <w:trPr>
          <w:trHeight w:val="279"/>
        </w:trPr>
        <w:tc>
          <w:tcPr>
            <w:tcW w:w="6240" w:type="dxa"/>
            <w:vAlign w:val="bottom"/>
            <w:gridSpan w:val="2"/>
          </w:tcPr>
          <w:p>
            <w:pPr>
              <w:spacing w:after="0"/>
              <w:rPr>
                <w:sz w:val="20"/>
                <w:szCs w:val="20"/>
                <w:color w:val="auto"/>
              </w:rPr>
            </w:pPr>
            <w:r>
              <w:rPr>
                <w:rFonts w:ascii="Arial" w:cs="Arial" w:eastAsia="Arial" w:hAnsi="Arial"/>
                <w:sz w:val="20"/>
                <w:szCs w:val="20"/>
                <w:color w:val="auto"/>
              </w:rPr>
              <w:t>Equities</w:t>
            </w:r>
          </w:p>
        </w:tc>
        <w:tc>
          <w:tcPr>
            <w:tcW w:w="1180" w:type="dxa"/>
            <w:vAlign w:val="bottom"/>
          </w:tcPr>
          <w:p>
            <w:pPr>
              <w:jc w:val="right"/>
              <w:spacing w:after="0"/>
              <w:rPr>
                <w:sz w:val="20"/>
                <w:szCs w:val="20"/>
                <w:color w:val="auto"/>
              </w:rPr>
            </w:pPr>
            <w:r>
              <w:rPr>
                <w:rFonts w:ascii="Arial" w:cs="Arial" w:eastAsia="Arial" w:hAnsi="Arial"/>
                <w:sz w:val="20"/>
                <w:szCs w:val="20"/>
                <w:color w:val="auto"/>
              </w:rPr>
              <w:t>27.0 %</w:t>
            </w:r>
          </w:p>
        </w:tc>
        <w:tc>
          <w:tcPr>
            <w:tcW w:w="1300" w:type="dxa"/>
            <w:vAlign w:val="bottom"/>
            <w:gridSpan w:val="2"/>
          </w:tcPr>
          <w:p>
            <w:pPr>
              <w:jc w:val="right"/>
              <w:spacing w:after="0"/>
              <w:rPr>
                <w:sz w:val="20"/>
                <w:szCs w:val="20"/>
                <w:color w:val="auto"/>
              </w:rPr>
            </w:pPr>
            <w:r>
              <w:rPr>
                <w:rFonts w:ascii="Arial" w:cs="Arial" w:eastAsia="Arial" w:hAnsi="Arial"/>
                <w:sz w:val="20"/>
                <w:szCs w:val="20"/>
                <w:b w:val="1"/>
                <w:bCs w:val="1"/>
                <w:color w:val="auto"/>
              </w:rPr>
              <w:t>25.9 %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34.0 %</w:t>
            </w:r>
          </w:p>
        </w:tc>
        <w:tc>
          <w:tcPr>
            <w:tcW w:w="0" w:type="dxa"/>
            <w:vAlign w:val="bottom"/>
          </w:tcPr>
          <w:p>
            <w:pPr>
              <w:spacing w:after="0"/>
              <w:rPr>
                <w:sz w:val="1"/>
                <w:szCs w:val="1"/>
                <w:color w:val="auto"/>
              </w:rPr>
            </w:pPr>
          </w:p>
        </w:tc>
      </w:tr>
      <w:tr>
        <w:trPr>
          <w:trHeight w:val="283"/>
        </w:trPr>
        <w:tc>
          <w:tcPr>
            <w:tcW w:w="6240" w:type="dxa"/>
            <w:vAlign w:val="bottom"/>
            <w:gridSpan w:val="2"/>
          </w:tcPr>
          <w:p>
            <w:pPr>
              <w:spacing w:after="0"/>
              <w:rPr>
                <w:sz w:val="20"/>
                <w:szCs w:val="20"/>
                <w:color w:val="auto"/>
              </w:rPr>
            </w:pPr>
            <w:r>
              <w:rPr>
                <w:rFonts w:ascii="Arial" w:cs="Arial" w:eastAsia="Arial" w:hAnsi="Arial"/>
                <w:sz w:val="20"/>
                <w:szCs w:val="20"/>
                <w:color w:val="auto"/>
              </w:rPr>
              <w:t>Hedge funds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19.0 %</w:t>
            </w: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21.2 %</w:t>
            </w: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21.6 %</w:t>
            </w:r>
          </w:p>
        </w:tc>
        <w:tc>
          <w:tcPr>
            <w:tcW w:w="0" w:type="dxa"/>
            <w:vAlign w:val="bottom"/>
          </w:tcPr>
          <w:p>
            <w:pPr>
              <w:spacing w:after="0"/>
              <w:rPr>
                <w:sz w:val="1"/>
                <w:szCs w:val="1"/>
                <w:color w:val="auto"/>
              </w:rPr>
            </w:pPr>
          </w:p>
        </w:tc>
      </w:tr>
      <w:tr>
        <w:trPr>
          <w:trHeight w:val="240"/>
        </w:trPr>
        <w:tc>
          <w:tcPr>
            <w:tcW w:w="6240" w:type="dxa"/>
            <w:vAlign w:val="bottom"/>
            <w:gridSpan w:val="2"/>
          </w:tcPr>
          <w:p>
            <w:pPr>
              <w:spacing w:after="0"/>
              <w:rPr>
                <w:sz w:val="20"/>
                <w:szCs w:val="20"/>
                <w:color w:val="auto"/>
              </w:rPr>
            </w:pPr>
            <w:r>
              <w:rPr>
                <w:rFonts w:ascii="Arial" w:cs="Arial" w:eastAsia="Arial" w:hAnsi="Arial"/>
                <w:sz w:val="20"/>
                <w:szCs w:val="20"/>
                <w:color w:val="auto"/>
              </w:rPr>
              <w:t>Total</w:t>
            </w:r>
          </w:p>
        </w:tc>
        <w:tc>
          <w:tcPr>
            <w:tcW w:w="1180" w:type="dxa"/>
            <w:vAlign w:val="bottom"/>
          </w:tcPr>
          <w:p>
            <w:pPr>
              <w:jc w:val="right"/>
              <w:spacing w:after="0"/>
              <w:rPr>
                <w:sz w:val="20"/>
                <w:szCs w:val="20"/>
                <w:color w:val="auto"/>
              </w:rPr>
            </w:pPr>
            <w:r>
              <w:rPr>
                <w:rFonts w:ascii="Arial" w:cs="Arial" w:eastAsia="Arial" w:hAnsi="Arial"/>
                <w:sz w:val="20"/>
                <w:szCs w:val="20"/>
                <w:color w:val="auto"/>
              </w:rPr>
              <w:t>100.0 %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100.0 %</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100.0 %</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223"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to achieve their long-term investment goals by investing in assets that often have uncertain returns, such as Canadian and other foreign equities, and non-government bonds, although the Company also attempts to reduce the overall level of risk by diversifying the asset classes and further diversifying within each individual asset class.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Methodologies</w:t>
      </w:r>
    </w:p>
    <w:p>
      <w:pPr>
        <w:spacing w:after="0" w:line="125" w:lineRule="exact"/>
        <w:rPr>
          <w:sz w:val="20"/>
          <w:szCs w:val="20"/>
          <w:color w:val="auto"/>
        </w:rPr>
      </w:pPr>
    </w:p>
    <w:p>
      <w:pPr>
        <w:ind w:right="220"/>
        <w:spacing w:after="0" w:line="271" w:lineRule="auto"/>
        <w:rPr>
          <w:sz w:val="20"/>
          <w:szCs w:val="20"/>
          <w:color w:val="auto"/>
        </w:rPr>
      </w:pPr>
      <w:r>
        <w:rPr>
          <w:rFonts w:ascii="Arial" w:cs="Arial" w:eastAsia="Arial" w:hAnsi="Arial"/>
          <w:sz w:val="20"/>
          <w:szCs w:val="20"/>
          <w:color w:val="auto"/>
        </w:rPr>
        <w:t>Below is a description of the composition and valuation methodologies for pension plan assets. Refer to the discussion of fair value hierarchy in Note 20, “Financial Instruments and Financial Risk.”</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b w:val="1"/>
          <w:bCs w:val="1"/>
          <w:i w:val="1"/>
          <w:iCs w:val="1"/>
          <w:color w:val="auto"/>
        </w:rPr>
        <w:t xml:space="preserve">Cash and cash equivalents </w:t>
      </w:r>
      <w:r>
        <w:rPr>
          <w:rFonts w:ascii="Arial" w:cs="Arial" w:eastAsia="Arial" w:hAnsi="Arial"/>
          <w:sz w:val="20"/>
          <w:szCs w:val="20"/>
          <w:color w:val="auto"/>
        </w:rPr>
        <w:t>– Consists of deposits with financial institutions and other short-term highly liquid investments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 original maturity of three months or less. Cash and cash equivalents are categorized as Level 1 instruments in the fair value hierarchy.</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10040"/>
          </w:cols>
          <w:pgMar w:left="920" w:top="544" w:right="92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6" w:lineRule="exact"/>
        <w:rPr>
          <w:sz w:val="20"/>
          <w:szCs w:val="20"/>
          <w:color w:val="auto"/>
        </w:rPr>
      </w:pPr>
    </w:p>
    <w:p>
      <w:pPr>
        <w:jc w:val="both"/>
        <w:ind w:right="20"/>
        <w:spacing w:after="0" w:line="401" w:lineRule="auto"/>
        <w:rPr>
          <w:sz w:val="20"/>
          <w:szCs w:val="20"/>
          <w:color w:val="auto"/>
        </w:rPr>
      </w:pPr>
      <w:r>
        <w:rPr>
          <w:rFonts w:ascii="Arial" w:cs="Arial" w:eastAsia="Arial" w:hAnsi="Arial"/>
          <w:sz w:val="16"/>
          <w:szCs w:val="16"/>
          <w:b w:val="1"/>
          <w:bCs w:val="1"/>
          <w:i w:val="1"/>
          <w:iCs w:val="1"/>
          <w:color w:val="auto"/>
        </w:rPr>
        <w:t xml:space="preserve">Fixed income securities, equity securities and hedge fund assets </w:t>
      </w:r>
      <w:r>
        <w:rPr>
          <w:rFonts w:ascii="Arial" w:cs="Arial" w:eastAsia="Arial" w:hAnsi="Arial"/>
          <w:sz w:val="16"/>
          <w:szCs w:val="16"/>
          <w:color w:val="auto"/>
        </w:rPr>
        <w:t>- These assets are invested in managed funds that are measured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fair value using the net asset value per share practical expedient and, therefore, are not categorized in the fair value hierarchy.</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Expected future benefit payments from plan assets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71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5"/>
        </w:trPr>
        <w:tc>
          <w:tcPr>
            <w:tcW w:w="88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96"/>
        </w:trPr>
        <w:tc>
          <w:tcPr>
            <w:tcW w:w="1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2025</w:t>
            </w:r>
          </w:p>
        </w:tc>
        <w:tc>
          <w:tcPr>
            <w:tcW w:w="60" w:type="dxa"/>
            <w:vAlign w:val="bottom"/>
            <w:tcBorders>
              <w:top w:val="single" w:sz="8" w:color="auto"/>
            </w:tcBorders>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12,969</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2026</w:t>
            </w:r>
          </w:p>
        </w:tc>
        <w:tc>
          <w:tcPr>
            <w:tcW w:w="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13,260</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2027</w:t>
            </w:r>
          </w:p>
        </w:tc>
        <w:tc>
          <w:tcPr>
            <w:tcW w:w="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13,571</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2028</w:t>
            </w:r>
          </w:p>
        </w:tc>
        <w:tc>
          <w:tcPr>
            <w:tcW w:w="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13,708</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2029</w:t>
            </w:r>
          </w:p>
        </w:tc>
        <w:tc>
          <w:tcPr>
            <w:tcW w:w="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13,839</w:t>
            </w:r>
          </w:p>
        </w:tc>
      </w:tr>
      <w:tr>
        <w:trPr>
          <w:trHeight w:val="283"/>
        </w:trPr>
        <w:tc>
          <w:tcPr>
            <w:tcW w:w="1700" w:type="dxa"/>
            <w:vAlign w:val="bottom"/>
          </w:tcPr>
          <w:p>
            <w:pPr>
              <w:spacing w:after="0"/>
              <w:rPr>
                <w:sz w:val="20"/>
                <w:szCs w:val="20"/>
                <w:color w:val="auto"/>
              </w:rPr>
            </w:pPr>
            <w:r>
              <w:rPr>
                <w:rFonts w:ascii="Arial" w:cs="Arial" w:eastAsia="Arial" w:hAnsi="Arial"/>
                <w:sz w:val="20"/>
                <w:szCs w:val="20"/>
                <w:color w:val="auto"/>
              </w:rPr>
              <w:t>2030 - 2034</w:t>
            </w:r>
          </w:p>
        </w:tc>
        <w:tc>
          <w:tcPr>
            <w:tcW w:w="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70,473</w:t>
            </w:r>
          </w:p>
        </w:tc>
      </w:tr>
      <w:tr>
        <w:trPr>
          <w:trHeight w:val="240"/>
        </w:trPr>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137,820</w:t>
            </w: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-1272540</wp:posOffset>
            </wp:positionV>
            <wp:extent cx="6410325" cy="127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benefit plans</w:t>
      </w:r>
    </w:p>
    <w:p>
      <w:pPr>
        <w:spacing w:after="0" w:line="125" w:lineRule="exact"/>
        <w:rPr>
          <w:sz w:val="20"/>
          <w:szCs w:val="20"/>
          <w:color w:val="auto"/>
        </w:rPr>
      </w:pPr>
    </w:p>
    <w:p>
      <w:pPr>
        <w:ind w:right="200"/>
        <w:spacing w:after="0" w:line="251" w:lineRule="auto"/>
        <w:rPr>
          <w:sz w:val="20"/>
          <w:szCs w:val="20"/>
          <w:color w:val="auto"/>
        </w:rPr>
      </w:pPr>
      <w:r>
        <w:rPr>
          <w:rFonts w:ascii="Arial" w:cs="Arial" w:eastAsia="Arial" w:hAnsi="Arial"/>
          <w:sz w:val="20"/>
          <w:szCs w:val="20"/>
          <w:color w:val="auto"/>
        </w:rPr>
        <w:t>Other benefit plans disclosed below relate to Nordion and include a supplemental retirement arrangement, a retirement and termination allowance, and post-retirement benefit plans, which include contributory health and dental care benefits and contributory life insurance coverage. Certain immaterial other foreign benefit plans have been excluded from the table below. All non-pension post-employment benefit plans are unfunded. All other non-pension post-employment benefit plans are immaterial.</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benefit plans were as follows: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5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880" w:type="dxa"/>
            <w:vAlign w:val="bottom"/>
          </w:tcPr>
          <w:p>
            <w:pPr>
              <w:jc w:val="right"/>
              <w:ind w:right="346"/>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46"/>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6"/>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color w:val="auto"/>
              </w:rPr>
              <w:t>Service cost</w:t>
            </w:r>
          </w:p>
        </w:tc>
        <w:tc>
          <w:tcPr>
            <w:tcW w:w="44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760" w:type="dxa"/>
            <w:vAlign w:val="bottom"/>
            <w:gridSpan w:val="2"/>
            <w:vMerge w:val="continue"/>
          </w:tcPr>
          <w:p>
            <w:pPr>
              <w:spacing w:after="0"/>
              <w:rPr>
                <w:sz w:val="22"/>
                <w:szCs w:val="22"/>
                <w:color w:val="auto"/>
              </w:rPr>
            </w:pPr>
          </w:p>
        </w:tc>
        <w:tc>
          <w:tcPr>
            <w:tcW w:w="4480" w:type="dxa"/>
            <w:vAlign w:val="bottom"/>
            <w:vMerge w:val="continue"/>
          </w:tcPr>
          <w:p>
            <w:pPr>
              <w:spacing w:after="0"/>
              <w:rPr>
                <w:sz w:val="22"/>
                <w:szCs w:val="22"/>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76"/>
        </w:trPr>
        <w:tc>
          <w:tcPr>
            <w:tcW w:w="6240" w:type="dxa"/>
            <w:vAlign w:val="bottom"/>
            <w:gridSpan w:val="3"/>
          </w:tcPr>
          <w:p>
            <w:pPr>
              <w:spacing w:after="0"/>
              <w:rPr>
                <w:sz w:val="20"/>
                <w:szCs w:val="20"/>
                <w:color w:val="auto"/>
              </w:rPr>
            </w:pPr>
            <w:r>
              <w:rPr>
                <w:rFonts w:ascii="Arial" w:cs="Arial" w:eastAsia="Arial" w:hAnsi="Arial"/>
                <w:sz w:val="20"/>
                <w:szCs w:val="20"/>
                <w:color w:val="auto"/>
              </w:rPr>
              <w:t>Interest cost</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371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284</w:t>
            </w:r>
          </w:p>
        </w:tc>
        <w:tc>
          <w:tcPr>
            <w:tcW w:w="0" w:type="dxa"/>
            <w:vAlign w:val="bottom"/>
          </w:tcPr>
          <w:p>
            <w:pPr>
              <w:spacing w:after="0"/>
              <w:rPr>
                <w:sz w:val="1"/>
                <w:szCs w:val="1"/>
                <w:color w:val="auto"/>
              </w:rPr>
            </w:pPr>
          </w:p>
        </w:tc>
      </w:tr>
      <w:tr>
        <w:trPr>
          <w:trHeight w:val="283"/>
        </w:trPr>
        <w:tc>
          <w:tcPr>
            <w:tcW w:w="6240" w:type="dxa"/>
            <w:vAlign w:val="bottom"/>
            <w:gridSpan w:val="3"/>
          </w:tcPr>
          <w:p>
            <w:pPr>
              <w:spacing w:after="0"/>
              <w:rPr>
                <w:sz w:val="20"/>
                <w:szCs w:val="20"/>
                <w:color w:val="auto"/>
              </w:rPr>
            </w:pPr>
            <w:r>
              <w:rPr>
                <w:rFonts w:ascii="Arial" w:cs="Arial" w:eastAsia="Arial" w:hAnsi="Arial"/>
                <w:sz w:val="20"/>
                <w:szCs w:val="20"/>
                <w:color w:val="auto"/>
              </w:rPr>
              <w:t>Amortization of net actuarial gain</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(170)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(171)</w:t>
            </w:r>
          </w:p>
        </w:tc>
        <w:tc>
          <w:tcPr>
            <w:tcW w:w="0" w:type="dxa"/>
            <w:vAlign w:val="bottom"/>
          </w:tcPr>
          <w:p>
            <w:pPr>
              <w:spacing w:after="0"/>
              <w:rPr>
                <w:sz w:val="1"/>
                <w:szCs w:val="1"/>
                <w:color w:val="auto"/>
              </w:rPr>
            </w:pPr>
          </w:p>
        </w:tc>
      </w:tr>
      <w:tr>
        <w:trPr>
          <w:trHeight w:val="240"/>
        </w:trPr>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Net periodic benefit cost</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211</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210</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to determine the PBO and net periodic pension cost for these plans were as follows:</w:t>
      </w:r>
    </w:p>
    <w:p>
      <w:pPr>
        <w:sectPr>
          <w:pgSz w:w="11880" w:h="15480" w:orient="portrait"/>
          <w:cols w:equalWidth="0" w:num="1">
            <w:col w:w="10040"/>
          </w:cols>
          <w:pgMar w:left="920" w:top="544" w:right="920" w:bottom="0" w:gutter="0" w:footer="0" w:header="0"/>
        </w:sect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wp:posOffset>
            </wp:positionV>
            <wp:extent cx="6410325" cy="1621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6410325" cy="162179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Projected benefit obligation:</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Discount rate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Rate of compensation increase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Initial health care cost trend rate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Ultimate health care cost trend rate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Years until ultimate trend rate is reached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Benefit cost:</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Discount rate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Rate of compensation increase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325"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0"/>
          <w:szCs w:val="20"/>
          <w:b w:val="1"/>
          <w:bCs w:val="1"/>
          <w:color w:val="auto"/>
        </w:rPr>
        <w:t>4.65 %</w:t>
      </w:r>
      <w:r>
        <w:rPr>
          <w:sz w:val="20"/>
          <w:szCs w:val="20"/>
          <w:color w:val="auto"/>
        </w:rPr>
        <w:tab/>
      </w:r>
      <w:r>
        <w:rPr>
          <w:rFonts w:ascii="Arial" w:cs="Arial" w:eastAsia="Arial" w:hAnsi="Arial"/>
          <w:sz w:val="17"/>
          <w:szCs w:val="17"/>
          <w:color w:val="auto"/>
        </w:rPr>
        <w:t>4.65 %</w:t>
      </w:r>
    </w:p>
    <w:p>
      <w:pPr>
        <w:spacing w:after="0" w:line="49"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0"/>
          <w:szCs w:val="20"/>
          <w:b w:val="1"/>
          <w:bCs w:val="1"/>
          <w:color w:val="auto"/>
        </w:rPr>
        <w:t>3.00 %</w:t>
      </w:r>
      <w:r>
        <w:rPr>
          <w:sz w:val="20"/>
          <w:szCs w:val="20"/>
          <w:color w:val="auto"/>
        </w:rPr>
        <w:tab/>
      </w:r>
      <w:r>
        <w:rPr>
          <w:rFonts w:ascii="Arial" w:cs="Arial" w:eastAsia="Arial" w:hAnsi="Arial"/>
          <w:sz w:val="17"/>
          <w:szCs w:val="17"/>
          <w:color w:val="auto"/>
        </w:rPr>
        <w:t>3.00 %</w:t>
      </w:r>
    </w:p>
    <w:p>
      <w:pPr>
        <w:spacing w:after="0" w:line="49"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0"/>
          <w:szCs w:val="20"/>
          <w:b w:val="1"/>
          <w:bCs w:val="1"/>
          <w:color w:val="auto"/>
        </w:rPr>
        <w:t>7.00 %</w:t>
      </w:r>
      <w:r>
        <w:rPr>
          <w:sz w:val="20"/>
          <w:szCs w:val="20"/>
          <w:color w:val="auto"/>
        </w:rPr>
        <w:tab/>
      </w:r>
      <w:r>
        <w:rPr>
          <w:rFonts w:ascii="Arial" w:cs="Arial" w:eastAsia="Arial" w:hAnsi="Arial"/>
          <w:sz w:val="17"/>
          <w:szCs w:val="17"/>
          <w:color w:val="auto"/>
        </w:rPr>
        <w:t>7.00 %</w:t>
      </w:r>
    </w:p>
    <w:p>
      <w:pPr>
        <w:spacing w:after="0" w:line="49"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0"/>
          <w:szCs w:val="20"/>
          <w:b w:val="1"/>
          <w:bCs w:val="1"/>
          <w:color w:val="auto"/>
        </w:rPr>
        <w:t>4.00 %</w:t>
      </w:r>
      <w:r>
        <w:rPr>
          <w:sz w:val="20"/>
          <w:szCs w:val="20"/>
          <w:color w:val="auto"/>
        </w:rPr>
        <w:tab/>
      </w:r>
      <w:r>
        <w:rPr>
          <w:rFonts w:ascii="Arial" w:cs="Arial" w:eastAsia="Arial" w:hAnsi="Arial"/>
          <w:sz w:val="17"/>
          <w:szCs w:val="17"/>
          <w:color w:val="auto"/>
        </w:rPr>
        <w:t>4.00 %</w:t>
      </w:r>
    </w:p>
    <w:p>
      <w:pPr>
        <w:spacing w:after="0" w:line="53" w:lineRule="exact"/>
        <w:rPr>
          <w:sz w:val="20"/>
          <w:szCs w:val="20"/>
          <w:color w:val="auto"/>
        </w:rPr>
      </w:pPr>
    </w:p>
    <w:p>
      <w:pPr>
        <w:ind w:left="1800" w:hanging="1294"/>
        <w:spacing w:after="0"/>
        <w:tabs>
          <w:tab w:leader="none" w:pos="1800"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16</w:t>
      </w:r>
    </w:p>
    <w:p>
      <w:pPr>
        <w:spacing w:after="0" w:line="325"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0"/>
          <w:szCs w:val="20"/>
          <w:b w:val="1"/>
          <w:bCs w:val="1"/>
          <w:color w:val="auto"/>
        </w:rPr>
        <w:t>4.65 %</w:t>
      </w:r>
      <w:r>
        <w:rPr>
          <w:sz w:val="20"/>
          <w:szCs w:val="20"/>
          <w:color w:val="auto"/>
        </w:rPr>
        <w:tab/>
      </w:r>
      <w:r>
        <w:rPr>
          <w:rFonts w:ascii="Arial" w:cs="Arial" w:eastAsia="Arial" w:hAnsi="Arial"/>
          <w:sz w:val="17"/>
          <w:szCs w:val="17"/>
          <w:color w:val="auto"/>
        </w:rPr>
        <w:t>5.19 %</w:t>
      </w:r>
    </w:p>
    <w:p>
      <w:pPr>
        <w:spacing w:after="0" w:line="49"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20"/>
          <w:szCs w:val="20"/>
          <w:b w:val="1"/>
          <w:bCs w:val="1"/>
          <w:color w:val="auto"/>
        </w:rPr>
        <w:t>3.00 %</w:t>
      </w:r>
      <w:r>
        <w:rPr>
          <w:sz w:val="20"/>
          <w:szCs w:val="20"/>
          <w:color w:val="auto"/>
        </w:rPr>
        <w:tab/>
      </w:r>
      <w:r>
        <w:rPr>
          <w:rFonts w:ascii="Arial" w:cs="Arial" w:eastAsia="Arial" w:hAnsi="Arial"/>
          <w:sz w:val="17"/>
          <w:szCs w:val="17"/>
          <w:color w:val="auto"/>
        </w:rPr>
        <w:t>3.00 %</w:t>
      </w:r>
    </w:p>
    <w:p>
      <w:pPr>
        <w:spacing w:after="0" w:line="200" w:lineRule="exact"/>
        <w:rPr>
          <w:sz w:val="20"/>
          <w:szCs w:val="20"/>
          <w:color w:val="auto"/>
        </w:rPr>
      </w:pPr>
    </w:p>
    <w:p>
      <w:pPr>
        <w:sectPr>
          <w:pgSz w:w="11880" w:h="15480" w:orient="portrait"/>
          <w:cols w:equalWidth="0" w:num="2">
            <w:col w:w="7280" w:space="720"/>
            <w:col w:w="2040"/>
          </w:cols>
          <w:pgMar w:left="920" w:top="54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10040"/>
          </w:cols>
          <w:pgMar w:left="920" w:top="544" w:right="920" w:bottom="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520"/>
        <w:spacing w:after="0" w:line="258" w:lineRule="auto"/>
        <w:rPr>
          <w:sz w:val="20"/>
          <w:szCs w:val="20"/>
          <w:color w:val="auto"/>
        </w:rPr>
      </w:pPr>
      <w:r>
        <w:rPr>
          <w:rFonts w:ascii="Arial" w:cs="Arial" w:eastAsia="Arial" w:hAnsi="Arial"/>
          <w:sz w:val="20"/>
          <w:szCs w:val="20"/>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2024:</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Arial" w:cs="Arial" w:eastAsia="Arial" w:hAnsi="Arial"/>
                <w:sz w:val="16"/>
                <w:szCs w:val="16"/>
                <w:b w:val="1"/>
                <w:bCs w:val="1"/>
                <w:color w:val="auto"/>
                <w:w w:val="88"/>
              </w:rPr>
              <w:t>1% Increase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6"/>
                <w:szCs w:val="16"/>
                <w:b w:val="1"/>
                <w:bCs w:val="1"/>
                <w:color w:val="auto"/>
                <w:w w:val="87"/>
              </w:rPr>
              <w:t>1% Decrease</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20"/>
                <w:szCs w:val="20"/>
                <w:color w:val="auto"/>
              </w:rPr>
              <w:t>Change in net periodic benefit cost</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40" w:type="dxa"/>
            <w:vAlign w:val="bottom"/>
            <w:gridSpan w:val="2"/>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(19)</w:t>
            </w:r>
          </w:p>
        </w:tc>
        <w:tc>
          <w:tcPr>
            <w:tcW w:w="0" w:type="dxa"/>
            <w:vAlign w:val="bottom"/>
          </w:tcPr>
          <w:p>
            <w:pPr>
              <w:spacing w:after="0"/>
              <w:rPr>
                <w:sz w:val="1"/>
                <w:szCs w:val="1"/>
                <w:color w:val="auto"/>
              </w:rPr>
            </w:pPr>
          </w:p>
        </w:tc>
      </w:tr>
      <w:tr>
        <w:trPr>
          <w:trHeight w:val="276"/>
        </w:trPr>
        <w:tc>
          <w:tcPr>
            <w:tcW w:w="7540" w:type="dxa"/>
            <w:vAlign w:val="bottom"/>
            <w:gridSpan w:val="2"/>
          </w:tcPr>
          <w:p>
            <w:pPr>
              <w:spacing w:after="0"/>
              <w:rPr>
                <w:sz w:val="20"/>
                <w:szCs w:val="20"/>
                <w:color w:val="auto"/>
              </w:rPr>
            </w:pPr>
            <w:r>
              <w:rPr>
                <w:rFonts w:ascii="Arial" w:cs="Arial" w:eastAsia="Arial" w:hAnsi="Arial"/>
                <w:sz w:val="20"/>
                <w:szCs w:val="20"/>
                <w:color w:val="auto"/>
              </w:rPr>
              <w:t>Change in projected benefit obligation</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projected benefit obligation and the funded status of the other post-retirement plans were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90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Change in projected benefit obligation:</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5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Projected benefit obligation</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8,964</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8,391</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Service cost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371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398</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(609)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(665)</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Actuarial loss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509</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Plan participant contributions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132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83"/>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(704)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193</w:t>
            </w:r>
          </w:p>
        </w:tc>
        <w:tc>
          <w:tcPr>
            <w:tcW w:w="0" w:type="dxa"/>
            <w:vAlign w:val="bottom"/>
          </w:tcPr>
          <w:p>
            <w:pPr>
              <w:spacing w:after="0"/>
              <w:rPr>
                <w:sz w:val="1"/>
                <w:szCs w:val="1"/>
                <w:color w:val="auto"/>
              </w:rPr>
            </w:pPr>
          </w:p>
        </w:tc>
      </w:tr>
      <w:tr>
        <w:trPr>
          <w:trHeight w:val="343"/>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Projected benefit obligation, end of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8,375</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8,964</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ind w:left="40"/>
              <w:spacing w:after="0"/>
              <w:rPr>
                <w:sz w:val="20"/>
                <w:szCs w:val="20"/>
                <w:color w:val="auto"/>
              </w:rPr>
            </w:pPr>
            <w:r>
              <w:rPr>
                <w:rFonts w:ascii="Arial" w:cs="Arial" w:eastAsia="Arial" w:hAnsi="Arial"/>
                <w:sz w:val="20"/>
                <w:szCs w:val="20"/>
                <w:color w:val="auto"/>
              </w:rPr>
              <w:t>Change in fair value of plan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Fair value of plan assets as of the beginning of the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525</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481</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Benefits paid</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(187)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279"/>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Employer contributions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283"/>
        </w:trPr>
        <w:tc>
          <w:tcPr>
            <w:tcW w:w="7540" w:type="dxa"/>
            <w:vAlign w:val="bottom"/>
            <w:gridSpan w:val="3"/>
          </w:tcPr>
          <w:p>
            <w:pPr>
              <w:ind w:left="480"/>
              <w:spacing w:after="0"/>
              <w:rPr>
                <w:sz w:val="20"/>
                <w:szCs w:val="20"/>
                <w:color w:val="auto"/>
              </w:rPr>
            </w:pPr>
            <w:r>
              <w:rPr>
                <w:rFonts w:ascii="Arial" w:cs="Arial" w:eastAsia="Arial" w:hAnsi="Arial"/>
                <w:sz w:val="20"/>
                <w:szCs w:val="20"/>
                <w:color w:val="auto"/>
              </w:rPr>
              <w:t>Foreign currency exchange rate changes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343"/>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Fair value of plan assets, end of year</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512</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525</w:t>
            </w:r>
          </w:p>
        </w:tc>
        <w:tc>
          <w:tcPr>
            <w:tcW w:w="0" w:type="dxa"/>
            <w:vAlign w:val="bottom"/>
          </w:tcPr>
          <w:p>
            <w:pPr>
              <w:spacing w:after="0"/>
              <w:rPr>
                <w:sz w:val="1"/>
                <w:szCs w:val="1"/>
                <w:color w:val="auto"/>
              </w:rPr>
            </w:pPr>
          </w:p>
        </w:tc>
      </w:tr>
      <w:tr>
        <w:trPr>
          <w:trHeight w:val="20"/>
        </w:trPr>
        <w:tc>
          <w:tcPr>
            <w:tcW w:w="75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Underfunded status at end of year</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(7,863)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(8,439)</w:t>
            </w:r>
          </w:p>
        </w:tc>
        <w:tc>
          <w:tcPr>
            <w:tcW w:w="0" w:type="dxa"/>
            <w:vAlign w:val="bottom"/>
          </w:tcPr>
          <w:p>
            <w:pPr>
              <w:spacing w:after="0"/>
              <w:rPr>
                <w:sz w:val="1"/>
                <w:szCs w:val="1"/>
                <w:color w:val="auto"/>
              </w:rPr>
            </w:pPr>
          </w:p>
        </w:tc>
      </w:tr>
      <w:tr>
        <w:trPr>
          <w:trHeight w:val="20"/>
        </w:trPr>
        <w:tc>
          <w:tcPr>
            <w:tcW w:w="75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Accumulated benefit obligation, end of year</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8,364</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8,943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-3372485</wp:posOffset>
            </wp:positionV>
            <wp:extent cx="6410325" cy="33794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6410325" cy="337947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All other post-retirement benefit pension plans are underfunded as of December 31, 2024 and 2023.</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funded status to the net plan liabilities recognized in the Consolidated Balance Sheets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900" w:type="dxa"/>
            <w:vAlign w:val="bottom"/>
          </w:tcPr>
          <w:p>
            <w:pPr>
              <w:jc w:val="right"/>
              <w:ind w:right="346"/>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6"/>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Projected benefit obligation</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40" w:type="dxa"/>
            <w:vAlign w:val="bottom"/>
            <w:gridSpan w:val="3"/>
            <w:vMerge w:val="continue"/>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8,375</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8,964</w:t>
            </w:r>
          </w:p>
        </w:tc>
        <w:tc>
          <w:tcPr>
            <w:tcW w:w="0" w:type="dxa"/>
            <w:vAlign w:val="bottom"/>
          </w:tcPr>
          <w:p>
            <w:pPr>
              <w:spacing w:after="0"/>
              <w:rPr>
                <w:sz w:val="1"/>
                <w:szCs w:val="1"/>
                <w:color w:val="auto"/>
              </w:rPr>
            </w:pPr>
          </w:p>
        </w:tc>
      </w:tr>
      <w:tr>
        <w:trPr>
          <w:trHeight w:val="280"/>
        </w:trPr>
        <w:tc>
          <w:tcPr>
            <w:tcW w:w="7540" w:type="dxa"/>
            <w:vAlign w:val="bottom"/>
            <w:gridSpan w:val="3"/>
          </w:tcPr>
          <w:p>
            <w:pPr>
              <w:spacing w:after="0"/>
              <w:rPr>
                <w:sz w:val="20"/>
                <w:szCs w:val="20"/>
                <w:color w:val="auto"/>
              </w:rPr>
            </w:pPr>
            <w:r>
              <w:rPr>
                <w:rFonts w:ascii="Arial" w:cs="Arial" w:eastAsia="Arial" w:hAnsi="Arial"/>
                <w:sz w:val="20"/>
                <w:szCs w:val="20"/>
                <w:color w:val="auto"/>
              </w:rPr>
              <w:t>Fair value of plan assets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525</w:t>
            </w:r>
          </w:p>
        </w:tc>
        <w:tc>
          <w:tcPr>
            <w:tcW w:w="0" w:type="dxa"/>
            <w:vAlign w:val="bottom"/>
          </w:tcPr>
          <w:p>
            <w:pPr>
              <w:spacing w:after="0"/>
              <w:rPr>
                <w:sz w:val="1"/>
                <w:szCs w:val="1"/>
                <w:color w:val="auto"/>
              </w:rPr>
            </w:pPr>
          </w:p>
        </w:tc>
      </w:tr>
      <w:tr>
        <w:trPr>
          <w:trHeight w:val="259"/>
        </w:trPr>
        <w:tc>
          <w:tcPr>
            <w:tcW w:w="7540" w:type="dxa"/>
            <w:vAlign w:val="bottom"/>
            <w:gridSpan w:val="3"/>
          </w:tcPr>
          <w:p>
            <w:pPr>
              <w:spacing w:after="0"/>
              <w:rPr>
                <w:sz w:val="20"/>
                <w:szCs w:val="20"/>
                <w:color w:val="auto"/>
              </w:rPr>
            </w:pPr>
            <w:r>
              <w:rPr>
                <w:rFonts w:ascii="Arial" w:cs="Arial" w:eastAsia="Arial" w:hAnsi="Arial"/>
                <w:sz w:val="20"/>
                <w:szCs w:val="20"/>
                <w:color w:val="auto"/>
              </w:rPr>
              <w:t>Plan assets less than projected benefit obligation (noncurrent liabilities)</w:t>
            </w: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(7,863)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(8,439)</w:t>
            </w:r>
          </w:p>
        </w:tc>
        <w:tc>
          <w:tcPr>
            <w:tcW w:w="0" w:type="dxa"/>
            <w:vAlign w:val="bottom"/>
          </w:tcPr>
          <w:p>
            <w:pPr>
              <w:spacing w:after="0"/>
              <w:rPr>
                <w:sz w:val="1"/>
                <w:szCs w:val="1"/>
                <w:color w:val="auto"/>
              </w:rPr>
            </w:pPr>
          </w:p>
        </w:tc>
      </w:tr>
      <w:tr>
        <w:trPr>
          <w:trHeight w:val="276"/>
        </w:trPr>
        <w:tc>
          <w:tcPr>
            <w:tcW w:w="7540" w:type="dxa"/>
            <w:vAlign w:val="bottom"/>
            <w:gridSpan w:val="3"/>
          </w:tcPr>
          <w:p>
            <w:pPr>
              <w:spacing w:after="0"/>
              <w:rPr>
                <w:sz w:val="20"/>
                <w:szCs w:val="20"/>
                <w:color w:val="auto"/>
              </w:rPr>
            </w:pPr>
            <w:r>
              <w:rPr>
                <w:rFonts w:ascii="Arial" w:cs="Arial" w:eastAsia="Arial" w:hAnsi="Arial"/>
                <w:sz w:val="20"/>
                <w:szCs w:val="20"/>
                <w:color w:val="auto"/>
              </w:rPr>
              <w:t>Unrecognized actuarial gains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(1,549)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-713105</wp:posOffset>
            </wp:positionV>
            <wp:extent cx="6410325" cy="7346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other benefit plan liabilities are presented on the Consolidated Balance Sheets as “Post retirement obligations.”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10040"/>
          </w:cols>
          <w:pgMar w:left="920" w:top="544" w:right="920" w:bottom="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900"/>
        <w:spacing w:after="0" w:line="271" w:lineRule="auto"/>
        <w:rPr>
          <w:sz w:val="20"/>
          <w:szCs w:val="20"/>
          <w:color w:val="auto"/>
        </w:rPr>
      </w:pPr>
      <w:r>
        <w:rPr>
          <w:rFonts w:ascii="Arial" w:cs="Arial" w:eastAsia="Arial" w:hAnsi="Arial"/>
          <w:sz w:val="20"/>
          <w:szCs w:val="20"/>
          <w:color w:val="auto"/>
        </w:rPr>
        <w:t>The following table illustrates the amounts in accumulated other comprehensive income (loss) that have not yet been recognized as components of other benefit plan expense:</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900" w:type="dxa"/>
            <w:vAlign w:val="bottom"/>
          </w:tcPr>
          <w:p>
            <w:pPr>
              <w:jc w:val="right"/>
              <w:ind w:right="347"/>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7"/>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20"/>
                <w:szCs w:val="20"/>
                <w:color w:val="auto"/>
              </w:rPr>
              <w:t>Net actuarial gain</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7540" w:type="dxa"/>
            <w:vAlign w:val="bottom"/>
            <w:gridSpan w:val="3"/>
            <w:vMerge w:val="continue"/>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(1,549)</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(2,074)</w:t>
            </w:r>
          </w:p>
        </w:tc>
        <w:tc>
          <w:tcPr>
            <w:tcW w:w="0" w:type="dxa"/>
            <w:vAlign w:val="bottom"/>
          </w:tcPr>
          <w:p>
            <w:pPr>
              <w:spacing w:after="0"/>
              <w:rPr>
                <w:sz w:val="1"/>
                <w:szCs w:val="1"/>
                <w:color w:val="auto"/>
              </w:rPr>
            </w:pPr>
          </w:p>
        </w:tc>
      </w:tr>
      <w:tr>
        <w:trPr>
          <w:trHeight w:val="280"/>
        </w:trPr>
        <w:tc>
          <w:tcPr>
            <w:tcW w:w="7540" w:type="dxa"/>
            <w:vAlign w:val="bottom"/>
            <w:gridSpan w:val="3"/>
          </w:tcPr>
          <w:p>
            <w:pPr>
              <w:spacing w:after="0"/>
              <w:rPr>
                <w:sz w:val="20"/>
                <w:szCs w:val="20"/>
                <w:color w:val="auto"/>
              </w:rPr>
            </w:pPr>
            <w:r>
              <w:rPr>
                <w:rFonts w:ascii="Arial" w:cs="Arial" w:eastAsia="Arial" w:hAnsi="Arial"/>
                <w:sz w:val="20"/>
                <w:szCs w:val="20"/>
                <w:color w:val="auto"/>
              </w:rPr>
              <w:t>Deferred income taxes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240"/>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Accumulated other comprehensive income – net of tax</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(1,105)</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(1,489)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70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pacing w:after="0" w:line="223"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Based on the actuarial assumptions used to develop the Company’s benefit obligations as of December 31, 2024, the following benefit payments are expected to be made to plan participants: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714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5"/>
        </w:trPr>
        <w:tc>
          <w:tcPr>
            <w:tcW w:w="8840" w:type="dxa"/>
            <w:vAlign w:val="bottom"/>
            <w:gridSpan w:val="3"/>
          </w:tcPr>
          <w:p>
            <w:pPr>
              <w:spacing w:after="0"/>
              <w:rPr>
                <w:sz w:val="20"/>
                <w:szCs w:val="20"/>
                <w:color w:val="auto"/>
              </w:rPr>
            </w:pPr>
            <w:r>
              <w:rPr>
                <w:rFonts w:ascii="Arial" w:cs="Arial" w:eastAsia="Arial" w:hAnsi="Arial"/>
                <w:sz w:val="16"/>
                <w:szCs w:val="16"/>
                <w:b w:val="1"/>
                <w:bCs w:val="1"/>
                <w:color w:val="auto"/>
              </w:rPr>
              <w:t>Years ended December 31</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6"/>
        </w:trPr>
        <w:tc>
          <w:tcPr>
            <w:tcW w:w="17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2025</w:t>
            </w:r>
          </w:p>
        </w:tc>
        <w:tc>
          <w:tcPr>
            <w:tcW w:w="40" w:type="dxa"/>
            <w:vAlign w:val="bottom"/>
            <w:tcBorders>
              <w:top w:val="single" w:sz="8" w:color="auto"/>
            </w:tcBorders>
          </w:tcPr>
          <w:p>
            <w:pPr>
              <w:spacing w:after="0"/>
              <w:rPr>
                <w:sz w:val="24"/>
                <w:szCs w:val="24"/>
                <w:color w:val="auto"/>
              </w:rPr>
            </w:pPr>
          </w:p>
        </w:tc>
        <w:tc>
          <w:tcPr>
            <w:tcW w:w="7100" w:type="dxa"/>
            <w:vAlign w:val="bottom"/>
          </w:tcPr>
          <w:p>
            <w:pPr>
              <w:spacing w:after="0"/>
              <w:rPr>
                <w:sz w:val="24"/>
                <w:szCs w:val="24"/>
                <w:color w:val="auto"/>
              </w:rPr>
            </w:pP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613</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2026</w:t>
            </w:r>
          </w:p>
        </w:tc>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536</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2027</w:t>
            </w:r>
          </w:p>
        </w:tc>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558</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2028</w:t>
            </w:r>
          </w:p>
        </w:tc>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487</w:t>
            </w: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2029</w:t>
            </w:r>
          </w:p>
        </w:tc>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auto"/>
              </w:rPr>
              <w:t>488</w:t>
            </w:r>
          </w:p>
        </w:tc>
      </w:tr>
      <w:tr>
        <w:trPr>
          <w:trHeight w:val="283"/>
        </w:trPr>
        <w:tc>
          <w:tcPr>
            <w:tcW w:w="1700" w:type="dxa"/>
            <w:vAlign w:val="bottom"/>
          </w:tcPr>
          <w:p>
            <w:pPr>
              <w:spacing w:after="0"/>
              <w:rPr>
                <w:sz w:val="20"/>
                <w:szCs w:val="20"/>
                <w:color w:val="auto"/>
              </w:rPr>
            </w:pPr>
            <w:r>
              <w:rPr>
                <w:rFonts w:ascii="Arial" w:cs="Arial" w:eastAsia="Arial" w:hAnsi="Arial"/>
                <w:sz w:val="20"/>
                <w:szCs w:val="20"/>
                <w:color w:val="auto"/>
              </w:rPr>
              <w:t>2030 - 2034</w:t>
            </w:r>
          </w:p>
        </w:tc>
        <w:tc>
          <w:tcPr>
            <w:tcW w:w="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2,490</w:t>
            </w:r>
          </w:p>
        </w:tc>
      </w:tr>
      <w:tr>
        <w:trPr>
          <w:trHeight w:val="240"/>
        </w:trPr>
        <w:tc>
          <w:tcPr>
            <w:tcW w:w="8840" w:type="dxa"/>
            <w:vAlign w:val="bottom"/>
            <w:gridSpan w:val="3"/>
          </w:tcPr>
          <w:p>
            <w:pPr>
              <w:spacing w:after="0"/>
              <w:rPr>
                <w:sz w:val="20"/>
                <w:szCs w:val="20"/>
                <w:color w:val="auto"/>
              </w:rPr>
            </w:pPr>
            <w:r>
              <w:rPr>
                <w:rFonts w:ascii="Arial" w:cs="Arial" w:eastAsia="Arial" w:hAnsi="Arial"/>
                <w:sz w:val="20"/>
                <w:szCs w:val="20"/>
                <w:b w:val="1"/>
                <w:bCs w:val="1"/>
                <w:color w:val="auto"/>
              </w:rPr>
              <w:t>Total</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5,172</w:t>
            </w:r>
          </w:p>
        </w:tc>
      </w:tr>
      <w:tr>
        <w:trPr>
          <w:trHeight w:val="20"/>
        </w:trPr>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-1272540</wp:posOffset>
            </wp:positionV>
            <wp:extent cx="6410325" cy="127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223" w:lineRule="exact"/>
        <w:rPr>
          <w:sz w:val="20"/>
          <w:szCs w:val="20"/>
          <w:color w:val="auto"/>
        </w:rPr>
      </w:pPr>
    </w:p>
    <w:p>
      <w:pPr>
        <w:jc w:val="both"/>
        <w:ind w:right="80"/>
        <w:spacing w:after="0" w:line="258" w:lineRule="auto"/>
        <w:rPr>
          <w:sz w:val="20"/>
          <w:szCs w:val="20"/>
          <w:color w:val="auto"/>
        </w:rPr>
      </w:pPr>
      <w:r>
        <w:rPr>
          <w:rFonts w:ascii="Arial" w:cs="Arial" w:eastAsia="Arial" w:hAnsi="Arial"/>
          <w:sz w:val="20"/>
          <w:szCs w:val="20"/>
          <w:color w:val="auto"/>
        </w:rPr>
        <w:t>The Company currently has no funding requirements as the Nordion pension plan had a going concern surplus as of January 1, 2024, as defined by Canadian federal regulations, which require solvency testing on defined benefit pension plans on an annual basis.</w:t>
      </w:r>
    </w:p>
    <w:p>
      <w:pPr>
        <w:spacing w:after="0" w:line="199"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cash payment into the pension fund. As of December 31, 2024 and 2023, we had letters of credit outstanding relating to the defined benefit plans totaling $6.4 million and $16.0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Related Parties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2024, 2023 and 2022, the Company did not engage in any material related party transactions.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Other Comprehensive Income (Loss)</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Amounts in accumulated other comprehensive income (loss) are presented net of the related tax. Foreign currency translation is not adjusted for income taxes.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10040"/>
          </w:cols>
          <w:pgMar w:left="920" w:top="544" w:right="920" w:bottom="0" w:gutter="0" w:footer="0" w:header="0"/>
          <w:type w:val="continuous"/>
        </w:sectPr>
      </w:pPr>
    </w:p>
    <w:bookmarkStart w:id="104" w:name="page105"/>
    <w:bookmarkEnd w:id="104"/>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20"/>
          <w:szCs w:val="20"/>
          <w:color w:val="auto"/>
        </w:rPr>
        <w:t>Changes in our accumulated other comprehensive income (loss) balances, net of applicable tax, were as follows:</w:t>
      </w:r>
    </w:p>
    <w:p>
      <w:pPr>
        <w:spacing w:after="0" w:line="187" w:lineRule="exact"/>
        <w:rPr>
          <w:sz w:val="20"/>
          <w:szCs w:val="20"/>
          <w:color w:val="auto"/>
        </w:rPr>
      </w:pPr>
    </w:p>
    <w:tbl>
      <w:tblPr>
        <w:tblLayout w:type="fixed"/>
        <w:tblInd w:w="47"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Defined</w:t>
            </w:r>
          </w:p>
        </w:tc>
        <w:tc>
          <w:tcPr>
            <w:tcW w:w="180" w:type="dxa"/>
            <w:vAlign w:val="bottom"/>
          </w:tcPr>
          <w:p>
            <w:pPr>
              <w:spacing w:after="0"/>
              <w:rPr>
                <w:sz w:val="16"/>
                <w:szCs w:val="16"/>
                <w:color w:val="auto"/>
              </w:rPr>
            </w:pPr>
          </w:p>
        </w:tc>
        <w:tc>
          <w:tcPr>
            <w:tcW w:w="900" w:type="dxa"/>
            <w:vAlign w:val="bottom"/>
          </w:tcPr>
          <w:p>
            <w:pPr>
              <w:jc w:val="center"/>
              <w:ind w:right="84"/>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8"/>
              </w:rPr>
              <w:t>Benefit</w:t>
            </w:r>
          </w:p>
        </w:tc>
        <w:tc>
          <w:tcPr>
            <w:tcW w:w="180" w:type="dxa"/>
            <w:vAlign w:val="bottom"/>
          </w:tcPr>
          <w:p>
            <w:pPr>
              <w:spacing w:after="0"/>
              <w:rPr>
                <w:sz w:val="16"/>
                <w:szCs w:val="16"/>
                <w:color w:val="auto"/>
              </w:rPr>
            </w:pPr>
          </w:p>
        </w:tc>
        <w:tc>
          <w:tcPr>
            <w:tcW w:w="900" w:type="dxa"/>
            <w:vAlign w:val="bottom"/>
          </w:tcPr>
          <w:p>
            <w:pPr>
              <w:jc w:val="center"/>
              <w:ind w:right="84"/>
              <w:spacing w:after="0"/>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Rate</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b w:val="1"/>
                <w:bCs w:val="1"/>
                <w:i w:val="1"/>
                <w:iCs w:val="1"/>
                <w:color w:val="auto"/>
                <w:w w:val="82"/>
              </w:rPr>
              <w:t>(thousands of U.S. dollars)</w:t>
            </w:r>
          </w:p>
        </w:tc>
        <w:tc>
          <w:tcPr>
            <w:tcW w:w="3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500"/>
              <w:spacing w:after="0" w:line="173" w:lineRule="exact"/>
              <w:rPr>
                <w:sz w:val="20"/>
                <w:szCs w:val="20"/>
                <w:color w:val="auto"/>
              </w:rPr>
            </w:pPr>
            <w:r>
              <w:rPr>
                <w:rFonts w:ascii="Arial" w:cs="Arial" w:eastAsia="Arial" w:hAnsi="Arial"/>
                <w:sz w:val="16"/>
                <w:szCs w:val="16"/>
                <w:b w:val="1"/>
                <w:bCs w:val="1"/>
                <w:color w:val="auto"/>
                <w:w w:val="84"/>
              </w:rPr>
              <w:t>Plans</w:t>
            </w:r>
          </w:p>
        </w:tc>
        <w:tc>
          <w:tcPr>
            <w:tcW w:w="108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420"/>
              <w:spacing w:after="0" w:line="173" w:lineRule="exact"/>
              <w:rPr>
                <w:sz w:val="20"/>
                <w:szCs w:val="20"/>
                <w:color w:val="auto"/>
              </w:rPr>
            </w:pPr>
            <w:r>
              <w:rPr>
                <w:rFonts w:ascii="Arial" w:cs="Arial" w:eastAsia="Arial" w:hAnsi="Arial"/>
                <w:sz w:val="16"/>
                <w:szCs w:val="16"/>
                <w:b w:val="1"/>
                <w:bCs w:val="1"/>
                <w:color w:val="auto"/>
                <w:w w:val="88"/>
              </w:rPr>
              <w:t>Derivatives</w:t>
            </w:r>
          </w:p>
        </w:tc>
        <w:tc>
          <w:tcPr>
            <w:tcW w:w="180" w:type="dxa"/>
            <w:vAlign w:val="bottom"/>
          </w:tcPr>
          <w:p>
            <w:pPr>
              <w:spacing w:after="0"/>
              <w:rPr>
                <w:sz w:val="15"/>
                <w:szCs w:val="15"/>
                <w:color w:val="auto"/>
              </w:rPr>
            </w:pPr>
          </w:p>
        </w:tc>
        <w:tc>
          <w:tcPr>
            <w:tcW w:w="820" w:type="dxa"/>
            <w:vAlign w:val="bottom"/>
          </w:tcPr>
          <w:p>
            <w:pPr>
              <w:jc w:val="right"/>
              <w:ind w:right="223"/>
              <w:spacing w:after="0" w:line="17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Beginning balance – January 1, 2022</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5120" w:type="dxa"/>
            <w:vAlign w:val="bottom"/>
            <w:gridSpan w:val="2"/>
            <w:vMerge w:val="continue"/>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(17,581)</w:t>
            </w:r>
          </w:p>
        </w:tc>
        <w:tc>
          <w:tcPr>
            <w:tcW w:w="2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(66,389)</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404</w:t>
            </w:r>
          </w:p>
        </w:tc>
        <w:tc>
          <w:tcPr>
            <w:tcW w:w="2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(83,566)</w:t>
            </w:r>
          </w:p>
        </w:tc>
        <w:tc>
          <w:tcPr>
            <w:tcW w:w="0" w:type="dxa"/>
            <w:vAlign w:val="bottom"/>
          </w:tcPr>
          <w:p>
            <w:pPr>
              <w:spacing w:after="0"/>
              <w:rPr>
                <w:sz w:val="1"/>
                <w:szCs w:val="1"/>
                <w:color w:val="auto"/>
              </w:rPr>
            </w:pPr>
          </w:p>
        </w:tc>
      </w:tr>
      <w:tr>
        <w:trPr>
          <w:trHeight w:val="279"/>
        </w:trPr>
        <w:tc>
          <w:tcPr>
            <w:tcW w:w="5120" w:type="dxa"/>
            <w:vAlign w:val="bottom"/>
            <w:gridSpan w:val="2"/>
          </w:tcPr>
          <w:p>
            <w:pPr>
              <w:ind w:left="240"/>
              <w:spacing w:after="0"/>
              <w:rPr>
                <w:sz w:val="20"/>
                <w:szCs w:val="20"/>
                <w:color w:val="auto"/>
              </w:rPr>
            </w:pPr>
            <w:r>
              <w:rPr>
                <w:rFonts w:ascii="Arial" w:cs="Arial" w:eastAsia="Arial" w:hAnsi="Arial"/>
                <w:sz w:val="20"/>
                <w:szCs w:val="20"/>
                <w:color w:val="auto"/>
                <w:w w:val="92"/>
              </w:rPr>
              <w:t>Other comprehensive income (loss) before reclassifications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20,803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(64,816)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20,939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(23,074)</w:t>
            </w:r>
          </w:p>
        </w:tc>
        <w:tc>
          <w:tcPr>
            <w:tcW w:w="0" w:type="dxa"/>
            <w:vAlign w:val="bottom"/>
          </w:tcPr>
          <w:p>
            <w:pPr>
              <w:spacing w:after="0"/>
              <w:rPr>
                <w:sz w:val="1"/>
                <w:szCs w:val="1"/>
                <w:color w:val="auto"/>
              </w:rPr>
            </w:pPr>
          </w:p>
        </w:tc>
      </w:tr>
      <w:tr>
        <w:trPr>
          <w:trHeight w:val="201"/>
        </w:trPr>
        <w:tc>
          <w:tcPr>
            <w:tcW w:w="5120" w:type="dxa"/>
            <w:vAlign w:val="bottom"/>
            <w:gridSpan w:val="2"/>
          </w:tcPr>
          <w:p>
            <w:pPr>
              <w:ind w:left="240"/>
              <w:spacing w:after="0" w:line="201" w:lineRule="exact"/>
              <w:rPr>
                <w:sz w:val="20"/>
                <w:szCs w:val="20"/>
                <w:color w:val="auto"/>
              </w:rPr>
            </w:pPr>
            <w:r>
              <w:rPr>
                <w:rFonts w:ascii="Arial" w:cs="Arial" w:eastAsia="Arial" w:hAnsi="Arial"/>
                <w:sz w:val="20"/>
                <w:szCs w:val="20"/>
                <w:color w:val="auto"/>
                <w:w w:val="89"/>
              </w:rPr>
              <w:t>Amounts reclassified from accumulated other comprehensive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120" w:type="dxa"/>
            <w:vAlign w:val="bottom"/>
            <w:gridSpan w:val="2"/>
          </w:tcPr>
          <w:p>
            <w:pPr>
              <w:ind w:left="240"/>
              <w:spacing w:after="0"/>
              <w:rPr>
                <w:sz w:val="20"/>
                <w:szCs w:val="20"/>
                <w:color w:val="auto"/>
              </w:rPr>
            </w:pPr>
            <w:r>
              <w:rPr>
                <w:rFonts w:ascii="Arial" w:cs="Arial" w:eastAsia="Arial" w:hAnsi="Arial"/>
                <w:sz w:val="20"/>
                <w:szCs w:val="20"/>
                <w:color w:val="auto"/>
              </w:rPr>
              <w:t>income (loss)</w:t>
            </w:r>
          </w:p>
        </w:tc>
        <w:tc>
          <w:tcPr>
            <w:tcW w:w="220" w:type="dxa"/>
            <w:vAlign w:val="bottom"/>
          </w:tcPr>
          <w:p>
            <w:pPr>
              <w:spacing w:after="0"/>
              <w:rPr>
                <w:sz w:val="22"/>
                <w:szCs w:val="22"/>
                <w:color w:val="auto"/>
              </w:rPr>
            </w:pPr>
          </w:p>
        </w:tc>
        <w:tc>
          <w:tcPr>
            <w:tcW w:w="1140" w:type="dxa"/>
            <w:vAlign w:val="bottom"/>
            <w:gridSpan w:val="2"/>
          </w:tcPr>
          <w:p>
            <w:pPr>
              <w:jc w:val="right"/>
              <w:ind w:right="80"/>
              <w:spacing w:after="0" w:line="258" w:lineRule="exact"/>
              <w:rPr>
                <w:sz w:val="20"/>
                <w:szCs w:val="20"/>
                <w:color w:val="auto"/>
              </w:rPr>
            </w:pPr>
            <w:r>
              <w:rPr>
                <w:rFonts w:ascii="Arial" w:cs="Arial" w:eastAsia="Arial" w:hAnsi="Arial"/>
                <w:sz w:val="20"/>
                <w:szCs w:val="20"/>
                <w:color w:val="auto"/>
              </w:rPr>
              <w:t xml:space="preserve">(13) </w:t>
            </w:r>
            <w:r>
              <w:rPr>
                <w:rFonts w:ascii="Arial" w:cs="Arial" w:eastAsia="Arial" w:hAnsi="Arial"/>
                <w:sz w:val="25"/>
                <w:szCs w:val="25"/>
                <w:color w:val="auto"/>
                <w:vertAlign w:val="subscript"/>
              </w:rPr>
              <w:t>(a)</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(b)</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59"/>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w w:val="98"/>
              </w:rPr>
              <w:t>Net current-period other comprehensive income (loss)</w:t>
            </w: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20,790</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(64,816)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20,939</w:t>
            </w:r>
          </w:p>
        </w:tc>
        <w:tc>
          <w:tcPr>
            <w:tcW w:w="2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(23,087)</w:t>
            </w:r>
          </w:p>
        </w:tc>
        <w:tc>
          <w:tcPr>
            <w:tcW w:w="0" w:type="dxa"/>
            <w:vAlign w:val="bottom"/>
          </w:tcPr>
          <w:p>
            <w:pPr>
              <w:spacing w:after="0"/>
              <w:rPr>
                <w:sz w:val="1"/>
                <w:szCs w:val="1"/>
                <w:color w:val="auto"/>
              </w:rPr>
            </w:pPr>
          </w:p>
        </w:tc>
      </w:tr>
      <w:tr>
        <w:trPr>
          <w:trHeight w:val="240"/>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rPr>
              <w:t>Ending balance – December 31, 2022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3,209</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(131,205)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21,343</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1"/>
              </w:rPr>
              <w:t>(106,653)</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Beginning balance – January 1, 2023</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120" w:type="dxa"/>
            <w:vAlign w:val="bottom"/>
            <w:gridSpan w:val="2"/>
            <w:vMerge w:val="continue"/>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3,209</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(131,205)</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21,343</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1"/>
              </w:rPr>
              <w:t>(106,653)</w:t>
            </w:r>
          </w:p>
        </w:tc>
        <w:tc>
          <w:tcPr>
            <w:tcW w:w="0" w:type="dxa"/>
            <w:vAlign w:val="bottom"/>
          </w:tcPr>
          <w:p>
            <w:pPr>
              <w:spacing w:after="0"/>
              <w:rPr>
                <w:sz w:val="1"/>
                <w:szCs w:val="1"/>
                <w:color w:val="auto"/>
              </w:rPr>
            </w:pPr>
          </w:p>
        </w:tc>
      </w:tr>
      <w:tr>
        <w:trPr>
          <w:trHeight w:val="279"/>
        </w:trPr>
        <w:tc>
          <w:tcPr>
            <w:tcW w:w="5120" w:type="dxa"/>
            <w:vAlign w:val="bottom"/>
            <w:gridSpan w:val="2"/>
          </w:tcPr>
          <w:p>
            <w:pPr>
              <w:ind w:left="240"/>
              <w:spacing w:after="0"/>
              <w:rPr>
                <w:sz w:val="20"/>
                <w:szCs w:val="20"/>
                <w:color w:val="auto"/>
              </w:rPr>
            </w:pPr>
            <w:r>
              <w:rPr>
                <w:rFonts w:ascii="Arial" w:cs="Arial" w:eastAsia="Arial" w:hAnsi="Arial"/>
                <w:sz w:val="20"/>
                <w:szCs w:val="20"/>
                <w:color w:val="auto"/>
                <w:w w:val="92"/>
              </w:rPr>
              <w:t>Other comprehensive income (loss) before reclassifications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(10,308)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40,174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6,441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36,307</w:t>
            </w:r>
          </w:p>
        </w:tc>
        <w:tc>
          <w:tcPr>
            <w:tcW w:w="0" w:type="dxa"/>
            <w:vAlign w:val="bottom"/>
          </w:tcPr>
          <w:p>
            <w:pPr>
              <w:spacing w:after="0"/>
              <w:rPr>
                <w:sz w:val="1"/>
                <w:szCs w:val="1"/>
                <w:color w:val="auto"/>
              </w:rPr>
            </w:pPr>
          </w:p>
        </w:tc>
      </w:tr>
      <w:tr>
        <w:trPr>
          <w:trHeight w:val="201"/>
        </w:trPr>
        <w:tc>
          <w:tcPr>
            <w:tcW w:w="5120" w:type="dxa"/>
            <w:vAlign w:val="bottom"/>
            <w:gridSpan w:val="2"/>
          </w:tcPr>
          <w:p>
            <w:pPr>
              <w:ind w:left="240"/>
              <w:spacing w:after="0" w:line="201" w:lineRule="exact"/>
              <w:rPr>
                <w:sz w:val="20"/>
                <w:szCs w:val="20"/>
                <w:color w:val="auto"/>
              </w:rPr>
            </w:pPr>
            <w:r>
              <w:rPr>
                <w:rFonts w:ascii="Arial" w:cs="Arial" w:eastAsia="Arial" w:hAnsi="Arial"/>
                <w:sz w:val="20"/>
                <w:szCs w:val="20"/>
                <w:color w:val="auto"/>
                <w:w w:val="89"/>
              </w:rPr>
              <w:t>Amounts reclassified from accumulated other comprehensive</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5120" w:type="dxa"/>
            <w:vAlign w:val="bottom"/>
            <w:gridSpan w:val="2"/>
          </w:tcPr>
          <w:p>
            <w:pPr>
              <w:ind w:left="240"/>
              <w:spacing w:after="0"/>
              <w:rPr>
                <w:sz w:val="20"/>
                <w:szCs w:val="20"/>
                <w:color w:val="auto"/>
              </w:rPr>
            </w:pPr>
            <w:r>
              <w:rPr>
                <w:rFonts w:ascii="Arial" w:cs="Arial" w:eastAsia="Arial" w:hAnsi="Arial"/>
                <w:sz w:val="20"/>
                <w:szCs w:val="20"/>
                <w:color w:val="auto"/>
              </w:rPr>
              <w:t>income (loss)</w:t>
            </w:r>
          </w:p>
        </w:tc>
        <w:tc>
          <w:tcPr>
            <w:tcW w:w="220" w:type="dxa"/>
            <w:vAlign w:val="bottom"/>
          </w:tcPr>
          <w:p>
            <w:pPr>
              <w:spacing w:after="0"/>
              <w:rPr>
                <w:sz w:val="22"/>
                <w:szCs w:val="22"/>
                <w:color w:val="auto"/>
              </w:rPr>
            </w:pPr>
          </w:p>
        </w:tc>
        <w:tc>
          <w:tcPr>
            <w:tcW w:w="1140" w:type="dxa"/>
            <w:vAlign w:val="bottom"/>
            <w:gridSpan w:val="2"/>
          </w:tcPr>
          <w:p>
            <w:pPr>
              <w:jc w:val="right"/>
              <w:ind w:right="80"/>
              <w:spacing w:after="0" w:line="258" w:lineRule="exact"/>
              <w:rPr>
                <w:sz w:val="20"/>
                <w:szCs w:val="20"/>
                <w:color w:val="auto"/>
              </w:rPr>
            </w:pPr>
            <w:r>
              <w:rPr>
                <w:rFonts w:ascii="Arial" w:cs="Arial" w:eastAsia="Arial" w:hAnsi="Arial"/>
                <w:sz w:val="20"/>
                <w:szCs w:val="20"/>
                <w:color w:val="auto"/>
              </w:rPr>
              <w:t xml:space="preserve">(198) </w:t>
            </w:r>
            <w:r>
              <w:rPr>
                <w:rFonts w:ascii="Arial" w:cs="Arial" w:eastAsia="Arial" w:hAnsi="Arial"/>
                <w:sz w:val="25"/>
                <w:szCs w:val="25"/>
                <w:color w:val="auto"/>
                <w:vertAlign w:val="subscript"/>
              </w:rPr>
              <w:t>(a)</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40"/>
              <w:spacing w:after="0" w:line="258" w:lineRule="exact"/>
              <w:rPr>
                <w:sz w:val="20"/>
                <w:szCs w:val="20"/>
                <w:color w:val="auto"/>
              </w:rPr>
            </w:pPr>
            <w:r>
              <w:rPr>
                <w:rFonts w:ascii="Arial" w:cs="Arial" w:eastAsia="Arial" w:hAnsi="Arial"/>
                <w:sz w:val="20"/>
                <w:szCs w:val="20"/>
                <w:color w:val="auto"/>
              </w:rPr>
              <w:t xml:space="preserve">(22,138) </w:t>
            </w:r>
            <w:r>
              <w:rPr>
                <w:rFonts w:ascii="Arial" w:cs="Arial" w:eastAsia="Arial" w:hAnsi="Arial"/>
                <w:sz w:val="25"/>
                <w:szCs w:val="25"/>
                <w:color w:val="auto"/>
                <w:vertAlign w:val="subscript"/>
              </w:rPr>
              <w:t>(b)</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(22,336)</w:t>
            </w:r>
          </w:p>
        </w:tc>
        <w:tc>
          <w:tcPr>
            <w:tcW w:w="0" w:type="dxa"/>
            <w:vAlign w:val="bottom"/>
          </w:tcPr>
          <w:p>
            <w:pPr>
              <w:spacing w:after="0"/>
              <w:rPr>
                <w:sz w:val="1"/>
                <w:szCs w:val="1"/>
                <w:color w:val="auto"/>
              </w:rPr>
            </w:pPr>
          </w:p>
        </w:tc>
      </w:tr>
      <w:tr>
        <w:trPr>
          <w:trHeight w:val="259"/>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w w:val="98"/>
              </w:rPr>
              <w:t>Net current-period other comprehensive income (loss)</w:t>
            </w: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(10,506)</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40,174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(15,697)</w:t>
            </w:r>
          </w:p>
        </w:tc>
        <w:tc>
          <w:tcPr>
            <w:tcW w:w="2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13,971</w:t>
            </w:r>
          </w:p>
        </w:tc>
        <w:tc>
          <w:tcPr>
            <w:tcW w:w="0" w:type="dxa"/>
            <w:vAlign w:val="bottom"/>
          </w:tcPr>
          <w:p>
            <w:pPr>
              <w:spacing w:after="0"/>
              <w:rPr>
                <w:sz w:val="1"/>
                <w:szCs w:val="1"/>
                <w:color w:val="auto"/>
              </w:rPr>
            </w:pPr>
          </w:p>
        </w:tc>
      </w:tr>
      <w:tr>
        <w:trPr>
          <w:trHeight w:val="240"/>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rPr>
              <w:t>Ending balance – December 31, 2023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(7,297)</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(91,031)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5,646</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(92,682)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Beginning balance – January 1, 2024</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120" w:type="dxa"/>
            <w:vAlign w:val="bottom"/>
            <w:gridSpan w:val="2"/>
            <w:vMerge w:val="continue"/>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(7,297)</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(91,031)</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5,646</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(92,682)</w:t>
            </w:r>
          </w:p>
        </w:tc>
        <w:tc>
          <w:tcPr>
            <w:tcW w:w="0" w:type="dxa"/>
            <w:vAlign w:val="bottom"/>
          </w:tcPr>
          <w:p>
            <w:pPr>
              <w:spacing w:after="0"/>
              <w:rPr>
                <w:sz w:val="1"/>
                <w:szCs w:val="1"/>
                <w:color w:val="auto"/>
              </w:rPr>
            </w:pPr>
          </w:p>
        </w:tc>
      </w:tr>
      <w:tr>
        <w:trPr>
          <w:trHeight w:val="279"/>
        </w:trPr>
        <w:tc>
          <w:tcPr>
            <w:tcW w:w="5120" w:type="dxa"/>
            <w:vAlign w:val="bottom"/>
            <w:gridSpan w:val="2"/>
          </w:tcPr>
          <w:p>
            <w:pPr>
              <w:ind w:left="240"/>
              <w:spacing w:after="0"/>
              <w:rPr>
                <w:sz w:val="20"/>
                <w:szCs w:val="20"/>
                <w:color w:val="auto"/>
              </w:rPr>
            </w:pPr>
            <w:r>
              <w:rPr>
                <w:rFonts w:ascii="Arial" w:cs="Arial" w:eastAsia="Arial" w:hAnsi="Arial"/>
                <w:sz w:val="20"/>
                <w:szCs w:val="20"/>
                <w:color w:val="auto"/>
                <w:w w:val="92"/>
              </w:rPr>
              <w:t>Other comprehensive income (loss) before reclassifications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8,632</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(118,635)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4,449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w w:val="91"/>
              </w:rPr>
              <w:t>(105,554)</w:t>
            </w:r>
          </w:p>
        </w:tc>
        <w:tc>
          <w:tcPr>
            <w:tcW w:w="0" w:type="dxa"/>
            <w:vAlign w:val="bottom"/>
          </w:tcPr>
          <w:p>
            <w:pPr>
              <w:spacing w:after="0"/>
              <w:rPr>
                <w:sz w:val="1"/>
                <w:szCs w:val="1"/>
                <w:color w:val="auto"/>
              </w:rPr>
            </w:pPr>
          </w:p>
        </w:tc>
      </w:tr>
      <w:tr>
        <w:trPr>
          <w:trHeight w:val="201"/>
        </w:trPr>
        <w:tc>
          <w:tcPr>
            <w:tcW w:w="5120" w:type="dxa"/>
            <w:vAlign w:val="bottom"/>
            <w:gridSpan w:val="2"/>
          </w:tcPr>
          <w:p>
            <w:pPr>
              <w:ind w:left="240"/>
              <w:spacing w:after="0" w:line="201" w:lineRule="exact"/>
              <w:rPr>
                <w:sz w:val="20"/>
                <w:szCs w:val="20"/>
                <w:color w:val="auto"/>
              </w:rPr>
            </w:pPr>
            <w:r>
              <w:rPr>
                <w:rFonts w:ascii="Arial" w:cs="Arial" w:eastAsia="Arial" w:hAnsi="Arial"/>
                <w:sz w:val="20"/>
                <w:szCs w:val="20"/>
                <w:color w:val="auto"/>
                <w:w w:val="89"/>
              </w:rPr>
              <w:t>Amounts reclassified from accumulated other comprehensive</w:t>
            </w:r>
          </w:p>
        </w:tc>
        <w:tc>
          <w:tcPr>
            <w:tcW w:w="22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20"/>
                <w:szCs w:val="20"/>
                <w:b w:val="1"/>
                <w:bCs w:val="1"/>
                <w:color w:val="auto"/>
              </w:rPr>
              <w:t xml:space="preserve">(170) </w:t>
            </w:r>
            <w:r>
              <w:rPr>
                <w:rFonts w:ascii="Arial" w:cs="Arial" w:eastAsia="Arial" w:hAnsi="Arial"/>
                <w:sz w:val="25"/>
                <w:szCs w:val="25"/>
                <w:color w:val="auto"/>
                <w:vertAlign w:val="subscript"/>
              </w:rPr>
              <w:t>(a)</w:t>
            </w: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20"/>
                <w:szCs w:val="20"/>
                <w:b w:val="1"/>
                <w:bCs w:val="1"/>
                <w:color w:val="auto"/>
              </w:rPr>
              <w:t xml:space="preserve">(9,845) </w:t>
            </w:r>
            <w:r>
              <w:rPr>
                <w:rFonts w:ascii="Arial" w:cs="Arial" w:eastAsia="Arial" w:hAnsi="Arial"/>
                <w:sz w:val="25"/>
                <w:szCs w:val="25"/>
                <w:color w:val="auto"/>
                <w:vertAlign w:val="subscript"/>
              </w:rPr>
              <w:t>(b)</w:t>
            </w: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(10,015)</w:t>
            </w:r>
          </w:p>
        </w:tc>
        <w:tc>
          <w:tcPr>
            <w:tcW w:w="0" w:type="dxa"/>
            <w:vAlign w:val="bottom"/>
          </w:tcPr>
          <w:p>
            <w:pPr>
              <w:spacing w:after="0"/>
              <w:rPr>
                <w:sz w:val="1"/>
                <w:szCs w:val="1"/>
                <w:color w:val="auto"/>
              </w:rPr>
            </w:pPr>
          </w:p>
        </w:tc>
      </w:tr>
      <w:tr>
        <w:trPr>
          <w:trHeight w:val="258"/>
        </w:trPr>
        <w:tc>
          <w:tcPr>
            <w:tcW w:w="5120" w:type="dxa"/>
            <w:vAlign w:val="bottom"/>
            <w:gridSpan w:val="2"/>
          </w:tcPr>
          <w:p>
            <w:pPr>
              <w:ind w:left="240"/>
              <w:spacing w:after="0"/>
              <w:rPr>
                <w:sz w:val="20"/>
                <w:szCs w:val="20"/>
                <w:color w:val="auto"/>
              </w:rPr>
            </w:pPr>
            <w:r>
              <w:rPr>
                <w:rFonts w:ascii="Arial" w:cs="Arial" w:eastAsia="Arial" w:hAnsi="Arial"/>
                <w:sz w:val="20"/>
                <w:szCs w:val="20"/>
                <w:color w:val="auto"/>
              </w:rPr>
              <w:t>income (loss)</w:t>
            </w:r>
          </w:p>
        </w:tc>
        <w:tc>
          <w:tcPr>
            <w:tcW w:w="22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w w:val="98"/>
              </w:rPr>
              <w:t>Net current-period other comprehensive income (loss)</w:t>
            </w: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8,462</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(118,635)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(5,396)</w:t>
            </w:r>
          </w:p>
        </w:tc>
        <w:tc>
          <w:tcPr>
            <w:tcW w:w="2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(115,569)</w:t>
            </w:r>
          </w:p>
        </w:tc>
        <w:tc>
          <w:tcPr>
            <w:tcW w:w="0" w:type="dxa"/>
            <w:vAlign w:val="bottom"/>
          </w:tcPr>
          <w:p>
            <w:pPr>
              <w:spacing w:after="0"/>
              <w:rPr>
                <w:sz w:val="1"/>
                <w:szCs w:val="1"/>
                <w:color w:val="auto"/>
              </w:rPr>
            </w:pPr>
          </w:p>
        </w:tc>
      </w:tr>
      <w:tr>
        <w:trPr>
          <w:trHeight w:val="240"/>
        </w:trPr>
        <w:tc>
          <w:tcPr>
            <w:tcW w:w="5120" w:type="dxa"/>
            <w:vAlign w:val="bottom"/>
            <w:gridSpan w:val="2"/>
          </w:tcPr>
          <w:p>
            <w:pPr>
              <w:spacing w:after="0"/>
              <w:rPr>
                <w:sz w:val="20"/>
                <w:szCs w:val="20"/>
                <w:color w:val="auto"/>
              </w:rPr>
            </w:pPr>
            <w:r>
              <w:rPr>
                <w:rFonts w:ascii="Arial" w:cs="Arial" w:eastAsia="Arial" w:hAnsi="Arial"/>
                <w:sz w:val="20"/>
                <w:szCs w:val="20"/>
                <w:b w:val="1"/>
                <w:bCs w:val="1"/>
                <w:color w:val="auto"/>
              </w:rPr>
              <w:t>Ending balance – December 31, 2024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1,165</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(209,666)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(208,251)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-3157855</wp:posOffset>
            </wp:positionV>
            <wp:extent cx="6400800" cy="3164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6400800" cy="3164840"/>
                    </a:xfrm>
                    <a:prstGeom prst="rect">
                      <a:avLst/>
                    </a:prstGeom>
                    <a:noFill/>
                  </pic:spPr>
                </pic:pic>
              </a:graphicData>
            </a:graphic>
          </wp:anchor>
        </w:drawing>
      </w:r>
    </w:p>
    <w:p>
      <w:pPr>
        <w:spacing w:after="0" w:line="105" w:lineRule="exact"/>
        <w:rPr>
          <w:sz w:val="20"/>
          <w:szCs w:val="20"/>
          <w:color w:val="auto"/>
        </w:rPr>
      </w:pPr>
    </w:p>
    <w:p>
      <w:pPr>
        <w:jc w:val="both"/>
        <w:ind w:left="527" w:right="20" w:hanging="527"/>
        <w:spacing w:after="0" w:line="252" w:lineRule="auto"/>
        <w:tabs>
          <w:tab w:leader="none" w:pos="5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defined benefit pension and other post-retirement plans, amounts reclassified from accumulated other comprehensive income (loss) are recorded to “Other income, net” within the Consolidated Statements of Operations and Comprehensive Income (Loss).</w:t>
      </w:r>
    </w:p>
    <w:p>
      <w:pPr>
        <w:ind w:left="527" w:right="180" w:hanging="527"/>
        <w:spacing w:after="0" w:line="337" w:lineRule="auto"/>
        <w:tabs>
          <w:tab w:leader="none" w:pos="527"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interest rate derivatives, amounts reclassified from accumulated other comprehensive income (loss) are recorded to “Interest expense, net” within the Consolidated Statements of Operations and Comprehensive Income (Loss).</w:t>
      </w:r>
    </w:p>
    <w:p>
      <w:pPr>
        <w:spacing w:after="0" w:line="248" w:lineRule="exact"/>
        <w:rPr>
          <w:sz w:val="20"/>
          <w:szCs w:val="20"/>
          <w:color w:val="auto"/>
        </w:rPr>
      </w:pPr>
    </w:p>
    <w:p>
      <w:pPr>
        <w:ind w:left="7" w:right="7920" w:hanging="7"/>
        <w:spacing w:after="0" w:line="520" w:lineRule="auto"/>
        <w:tabs>
          <w:tab w:leader="none" w:pos="360"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Stockholders’ Equity Common Stock</w:t>
      </w:r>
    </w:p>
    <w:p>
      <w:pPr>
        <w:spacing w:after="0" w:line="1" w:lineRule="exact"/>
        <w:rPr>
          <w:sz w:val="20"/>
          <w:szCs w:val="20"/>
          <w:color w:val="auto"/>
        </w:rPr>
      </w:pPr>
    </w:p>
    <w:p>
      <w:pPr>
        <w:ind w:left="7" w:right="420"/>
        <w:spacing w:after="0" w:line="312" w:lineRule="auto"/>
        <w:rPr>
          <w:sz w:val="20"/>
          <w:szCs w:val="20"/>
          <w:color w:val="auto"/>
        </w:rPr>
      </w:pPr>
      <w:r>
        <w:rPr>
          <w:rFonts w:ascii="Arial" w:cs="Arial" w:eastAsia="Arial" w:hAnsi="Arial"/>
          <w:sz w:val="17"/>
          <w:szCs w:val="17"/>
          <w:color w:val="auto"/>
        </w:rPr>
        <w:t>The Company completed its IPO in the fourth quarter of 2020 and shares began trading on Nasdaq on November 20, 2020. Prior to the completion of the IPO, the Company amended and restated its certificate of incorporation to authorize 1,200,000,000 shares of common stock, par value $0.01 per share, and reclassify all 3,000 shares of its common stock then outstanding as 232,400,200 shares. Upon completion of the IPO, 284,421,755 shares of common stock were outstanding.</w:t>
      </w:r>
    </w:p>
    <w:p>
      <w:pPr>
        <w:spacing w:after="0" w:line="158" w:lineRule="exact"/>
        <w:rPr>
          <w:sz w:val="20"/>
          <w:szCs w:val="20"/>
          <w:color w:val="auto"/>
        </w:rPr>
      </w:pPr>
    </w:p>
    <w:p>
      <w:pPr>
        <w:ind w:left="7" w:right="600"/>
        <w:spacing w:after="0" w:line="300" w:lineRule="auto"/>
        <w:rPr>
          <w:sz w:val="20"/>
          <w:szCs w:val="20"/>
          <w:color w:val="auto"/>
        </w:rPr>
      </w:pPr>
      <w:r>
        <w:rPr>
          <w:rFonts w:ascii="Arial" w:cs="Arial" w:eastAsia="Arial" w:hAnsi="Arial"/>
          <w:sz w:val="19"/>
          <w:szCs w:val="19"/>
          <w:b w:val="1"/>
          <w:bCs w:val="1"/>
          <w:i w:val="1"/>
          <w:iCs w:val="1"/>
          <w:color w:val="auto"/>
        </w:rPr>
        <w:t xml:space="preserve">Voting Rights. </w:t>
      </w:r>
      <w:r>
        <w:rPr>
          <w:rFonts w:ascii="Arial" w:cs="Arial" w:eastAsia="Arial" w:hAnsi="Arial"/>
          <w:sz w:val="19"/>
          <w:szCs w:val="19"/>
          <w:color w:val="auto"/>
        </w:rPr>
        <w:t>Holders of common stock are entitled to one vote for each share held on all matters submitted to a vote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stockholders, subject to certain restrictions described in the certificate of incorporation.</w:t>
      </w:r>
    </w:p>
    <w:p>
      <w:pPr>
        <w:spacing w:after="0" w:line="159" w:lineRule="exact"/>
        <w:rPr>
          <w:sz w:val="20"/>
          <w:szCs w:val="20"/>
          <w:color w:val="auto"/>
        </w:rPr>
      </w:pPr>
    </w:p>
    <w:p>
      <w:pPr>
        <w:ind w:left="7"/>
        <w:spacing w:after="0" w:line="363"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preferences that may be applicable to any then outstanding preferred stock, holders of our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entitled to receive ratably those dividends, if any, as may be declared by the board of directors out of legally available funds.</w:t>
      </w:r>
    </w:p>
    <w:p>
      <w:pPr>
        <w:spacing w:after="0" w:line="114" w:lineRule="exact"/>
        <w:rPr>
          <w:sz w:val="20"/>
          <w:szCs w:val="20"/>
          <w:color w:val="auto"/>
        </w:rPr>
      </w:pPr>
    </w:p>
    <w:p>
      <w:pPr>
        <w:ind w:left="7" w:right="80"/>
        <w:spacing w:after="0" w:line="326" w:lineRule="auto"/>
        <w:rPr>
          <w:sz w:val="20"/>
          <w:szCs w:val="20"/>
          <w:color w:val="auto"/>
        </w:rPr>
      </w:pPr>
      <w:r>
        <w:rPr>
          <w:rFonts w:ascii="Arial" w:cs="Arial" w:eastAsia="Arial" w:hAnsi="Arial"/>
          <w:sz w:val="17"/>
          <w:szCs w:val="17"/>
          <w:b w:val="1"/>
          <w:bCs w:val="1"/>
          <w:i w:val="1"/>
          <w:iCs w:val="1"/>
          <w:color w:val="auto"/>
        </w:rPr>
        <w:t>Liquidation, Dissolution, and Winding Up</w:t>
      </w:r>
      <w:r>
        <w:rPr>
          <w:rFonts w:ascii="Arial" w:cs="Arial" w:eastAsia="Arial" w:hAnsi="Arial"/>
          <w:sz w:val="17"/>
          <w:szCs w:val="17"/>
          <w:color w:val="auto"/>
        </w:rPr>
        <w:t>. In the event of liquidation, dissolution or winding up, the holders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will be entitled to share equally and ratably in the net assets legally available for distribution to stockholders after the payment of all of debts and other liabilities, subject to the prior rights of any preferred stock then outstanding.</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10047"/>
          </w:cols>
          <w:pgMar w:left="913" w:top="544" w:right="920" w:bottom="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48" w:lineRule="exact"/>
        <w:rPr>
          <w:sz w:val="20"/>
          <w:szCs w:val="20"/>
          <w:color w:val="auto"/>
        </w:rPr>
      </w:pPr>
    </w:p>
    <w:p>
      <w:pPr>
        <w:jc w:val="both"/>
        <w:ind w:right="380"/>
        <w:spacing w:after="0" w:line="312" w:lineRule="auto"/>
        <w:rPr>
          <w:sz w:val="20"/>
          <w:szCs w:val="20"/>
          <w:color w:val="auto"/>
        </w:rPr>
      </w:pPr>
      <w:r>
        <w:rPr>
          <w:rFonts w:ascii="Arial" w:cs="Arial" w:eastAsia="Arial" w:hAnsi="Arial"/>
          <w:sz w:val="17"/>
          <w:szCs w:val="17"/>
          <w:color w:val="auto"/>
        </w:rPr>
        <w:t>In addition, prior to the completion of the IPO, the Company’s amended and restated certificate of incorporation authorized 120,000,000 shares of preferred stock, par value $0.01 per share. The board of directors may issue preferred stock, without stockholder approval, in such series and with such designations, preferences, conversion or other rights, voting powers and qualifications, limitations or restrictions thereof, as the board of directors deems appropriate.</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Share-Based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Pre-IPO Awards</w:t>
      </w:r>
    </w:p>
    <w:p>
      <w:pPr>
        <w:spacing w:after="0" w:line="248"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color w:val="auto"/>
        </w:rPr>
        <w:t>Prior to our IPO, the Company’s equity-based awards issued to service providers (including directors and employees) included partnership interests in Topco Parent (Class B-1 or B-2 Units) which vested based on either time or the achievement of certain performance and market conditions (the “pre-IPO awards”). These equity-based awards represented an interest in our former parent and were granted in respect of services provided to the Company and its subsidiaries. In connection with the IPO, our former parent made in-kind distributions of shares of our common stock to its limited partners. At the time of the IPO, there were fewer than 60 individuals who received shares in the in-kind distribution; while this distribution represented a modification to the existing awards, there was no associated change in compensation expense because the fair value of the distributed shares immediately before and after the distribution was the same.</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 of the Company, all then outstanding unvested shares of our common stock distributed in respect of Class B-1 Units will vest as of the date of consummation of such change in control, subject to the grantee’s continued services through the consummation of the change in control.</w:t>
      </w:r>
    </w:p>
    <w:p>
      <w:pPr>
        <w:spacing w:after="0" w:line="209"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auto"/>
        </w:rPr>
        <w:t>Restricted stock distributed in respect of pre-IPO Class B-2 Units were considered performance vesting units. The required performance threshold for the vesting of B-2 restricted stock was the first date on which (i) our Sponsors received actual cash proceeds in an amount equal to or in excess of at least two and one-half times their invested capital in Topco Parent (of which the Company was a direct wholly-owned subsidiary prior to the IPO) and (ii) the Sponsors’ internal rate of return exceeded 20%, subject to such grantee’s continued services through such date. Both performance thresholds were satisfied on March 4, 2024 and, as a result, all outstanding B-2 Units were fully vested as of that date. Share-based compensation expense attributed to the pre-IPO Class B-2 awards was recorded in the fourth quarter of 2020 as the related performance conditions were considered probable of achievement and the implied service conditions were met.</w:t>
      </w:r>
    </w:p>
    <w:p>
      <w:pPr>
        <w:spacing w:after="0" w:line="169"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We recognized $1.6 million, $2.0 million and $2.1 million of share-based compensation expense related to the pre-IPO Class B-1 awards for the years ended December 31, 2024, 2023, and 2022, respectively.</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040"/>
          </w:cols>
          <w:pgMar w:left="920" w:top="544" w:right="920" w:bottom="0" w:gutter="0" w:footer="0" w:header="0"/>
          <w:type w:val="continuous"/>
        </w:sectPr>
      </w:pPr>
    </w:p>
    <w:bookmarkStart w:id="106" w:name="page107"/>
    <w:bookmarkEnd w:id="106"/>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ind w:left="7" w:right="200"/>
        <w:spacing w:after="0" w:line="340" w:lineRule="auto"/>
        <w:rPr>
          <w:sz w:val="20"/>
          <w:szCs w:val="20"/>
          <w:color w:val="auto"/>
        </w:rPr>
      </w:pPr>
      <w:r>
        <w:rPr>
          <w:rFonts w:ascii="Arial" w:cs="Arial" w:eastAsia="Arial" w:hAnsi="Arial"/>
          <w:sz w:val="17"/>
          <w:szCs w:val="17"/>
          <w:color w:val="auto"/>
        </w:rPr>
        <w:t>A summary of the activity for the years ended December 31, 2024, 2023 and 2022 related to the restricted stock distributed to the Company service providers in respect of the pre-IPO awards (Class B-1 and B-2) is presented below:</w:t>
      </w:r>
    </w:p>
    <w:p>
      <w:pPr>
        <w:spacing w:after="0" w:line="1" w:lineRule="exact"/>
        <w:rPr>
          <w:sz w:val="20"/>
          <w:szCs w:val="20"/>
          <w:color w:val="auto"/>
        </w:rPr>
      </w:pPr>
    </w:p>
    <w:tbl>
      <w:tblPr>
        <w:tblLayout w:type="fixed"/>
        <w:tblInd w:w="47"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Restricted</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Restricted</w:t>
            </w:r>
          </w:p>
        </w:tc>
      </w:tr>
      <w:tr>
        <w:trPr>
          <w:trHeight w:val="188"/>
        </w:trPr>
        <w:tc>
          <w:tcPr>
            <w:tcW w:w="73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Stock - Pre-IPO</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Stock - Pre-IPO</w:t>
            </w:r>
          </w:p>
        </w:tc>
      </w:tr>
      <w:tr>
        <w:trPr>
          <w:trHeight w:val="213"/>
        </w:trPr>
        <w:tc>
          <w:tcPr>
            <w:tcW w:w="732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B-1</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B-2</w:t>
            </w:r>
          </w:p>
        </w:tc>
      </w:tr>
      <w:tr>
        <w:trPr>
          <w:trHeight w:val="259"/>
        </w:trPr>
        <w:tc>
          <w:tcPr>
            <w:tcW w:w="7320" w:type="dxa"/>
            <w:vAlign w:val="bottom"/>
          </w:tcPr>
          <w:p>
            <w:pPr>
              <w:spacing w:after="0"/>
              <w:rPr>
                <w:sz w:val="20"/>
                <w:szCs w:val="20"/>
                <w:color w:val="auto"/>
              </w:rPr>
            </w:pPr>
            <w:r>
              <w:rPr>
                <w:rFonts w:ascii="Arial" w:cs="Arial" w:eastAsia="Arial" w:hAnsi="Arial"/>
                <w:sz w:val="20"/>
                <w:szCs w:val="20"/>
                <w:color w:val="auto"/>
              </w:rPr>
              <w:t>At January 1, 2022</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1,206,089</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2,023,959</w:t>
            </w:r>
          </w:p>
        </w:tc>
      </w:tr>
      <w:tr>
        <w:trPr>
          <w:trHeight w:val="276"/>
        </w:trPr>
        <w:tc>
          <w:tcPr>
            <w:tcW w:w="7320" w:type="dxa"/>
            <w:vAlign w:val="bottom"/>
          </w:tcPr>
          <w:p>
            <w:pPr>
              <w:ind w:left="240"/>
              <w:spacing w:after="0"/>
              <w:rPr>
                <w:sz w:val="20"/>
                <w:szCs w:val="20"/>
                <w:color w:val="auto"/>
              </w:rPr>
            </w:pPr>
            <w:r>
              <w:rPr>
                <w:rFonts w:ascii="Arial" w:cs="Arial" w:eastAsia="Arial" w:hAnsi="Arial"/>
                <w:sz w:val="20"/>
                <w:szCs w:val="20"/>
                <w:color w:val="auto"/>
              </w:rPr>
              <w:t>Forfeited</w:t>
            </w:r>
          </w:p>
        </w:tc>
        <w:tc>
          <w:tcPr>
            <w:tcW w:w="1280" w:type="dxa"/>
            <w:vAlign w:val="bottom"/>
          </w:tcPr>
          <w:p>
            <w:pPr>
              <w:jc w:val="right"/>
              <w:spacing w:after="0"/>
              <w:rPr>
                <w:sz w:val="20"/>
                <w:szCs w:val="20"/>
                <w:color w:val="auto"/>
              </w:rPr>
            </w:pPr>
            <w:r>
              <w:rPr>
                <w:rFonts w:ascii="Arial" w:cs="Arial" w:eastAsia="Arial" w:hAnsi="Arial"/>
                <w:sz w:val="20"/>
                <w:szCs w:val="20"/>
                <w:color w:val="auto"/>
              </w:rPr>
              <w:t>(54,333)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(925,544)</w:t>
            </w:r>
          </w:p>
        </w:tc>
      </w:tr>
      <w:tr>
        <w:trPr>
          <w:trHeight w:val="283"/>
        </w:trPr>
        <w:tc>
          <w:tcPr>
            <w:tcW w:w="7320" w:type="dxa"/>
            <w:vAlign w:val="bottom"/>
          </w:tcPr>
          <w:p>
            <w:pPr>
              <w:ind w:left="240"/>
              <w:spacing w:after="0"/>
              <w:rPr>
                <w:sz w:val="20"/>
                <w:szCs w:val="20"/>
                <w:color w:val="auto"/>
              </w:rPr>
            </w:pPr>
            <w:r>
              <w:rPr>
                <w:rFonts w:ascii="Arial" w:cs="Arial" w:eastAsia="Arial" w:hAnsi="Arial"/>
                <w:sz w:val="20"/>
                <w:szCs w:val="20"/>
                <w:color w:val="auto"/>
              </w:rPr>
              <w:t>Vested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(435,665)</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7320" w:type="dxa"/>
            <w:vAlign w:val="bottom"/>
          </w:tcPr>
          <w:p>
            <w:pPr>
              <w:spacing w:after="0"/>
              <w:rPr>
                <w:sz w:val="20"/>
                <w:szCs w:val="20"/>
                <w:color w:val="auto"/>
              </w:rPr>
            </w:pPr>
            <w:r>
              <w:rPr>
                <w:rFonts w:ascii="Arial" w:cs="Arial" w:eastAsia="Arial" w:hAnsi="Arial"/>
                <w:sz w:val="20"/>
                <w:szCs w:val="20"/>
                <w:color w:val="auto"/>
              </w:rPr>
              <w:t>At December 31, 2022</w:t>
            </w:r>
          </w:p>
        </w:tc>
        <w:tc>
          <w:tcPr>
            <w:tcW w:w="1280" w:type="dxa"/>
            <w:vAlign w:val="bottom"/>
          </w:tcPr>
          <w:p>
            <w:pPr>
              <w:jc w:val="right"/>
              <w:spacing w:after="0"/>
              <w:rPr>
                <w:sz w:val="20"/>
                <w:szCs w:val="20"/>
                <w:color w:val="auto"/>
              </w:rPr>
            </w:pPr>
            <w:r>
              <w:rPr>
                <w:rFonts w:ascii="Arial" w:cs="Arial" w:eastAsia="Arial" w:hAnsi="Arial"/>
                <w:sz w:val="20"/>
                <w:szCs w:val="20"/>
                <w:color w:val="auto"/>
              </w:rPr>
              <w:t>716,091</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1,098,415</w:t>
            </w:r>
          </w:p>
        </w:tc>
      </w:tr>
      <w:tr>
        <w:trPr>
          <w:trHeight w:val="279"/>
        </w:trPr>
        <w:tc>
          <w:tcPr>
            <w:tcW w:w="7320" w:type="dxa"/>
            <w:vAlign w:val="bottom"/>
          </w:tcPr>
          <w:p>
            <w:pPr>
              <w:ind w:left="240"/>
              <w:spacing w:after="0"/>
              <w:rPr>
                <w:sz w:val="20"/>
                <w:szCs w:val="20"/>
                <w:color w:val="auto"/>
              </w:rPr>
            </w:pPr>
            <w:r>
              <w:rPr>
                <w:rFonts w:ascii="Arial" w:cs="Arial" w:eastAsia="Arial" w:hAnsi="Arial"/>
                <w:sz w:val="20"/>
                <w:szCs w:val="20"/>
                <w:color w:val="auto"/>
              </w:rPr>
              <w:t>Forfeited</w:t>
            </w:r>
          </w:p>
        </w:tc>
        <w:tc>
          <w:tcPr>
            <w:tcW w:w="1280" w:type="dxa"/>
            <w:vAlign w:val="bottom"/>
          </w:tcPr>
          <w:p>
            <w:pPr>
              <w:jc w:val="right"/>
              <w:spacing w:after="0"/>
              <w:rPr>
                <w:sz w:val="20"/>
                <w:szCs w:val="20"/>
                <w:color w:val="auto"/>
              </w:rPr>
            </w:pPr>
            <w:r>
              <w:rPr>
                <w:rFonts w:ascii="Arial" w:cs="Arial" w:eastAsia="Arial" w:hAnsi="Arial"/>
                <w:sz w:val="20"/>
                <w:szCs w:val="20"/>
                <w:color w:val="auto"/>
              </w:rPr>
              <w:t>(16,243)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(111,304)</w:t>
            </w:r>
          </w:p>
        </w:tc>
      </w:tr>
      <w:tr>
        <w:trPr>
          <w:trHeight w:val="283"/>
        </w:trPr>
        <w:tc>
          <w:tcPr>
            <w:tcW w:w="7320" w:type="dxa"/>
            <w:vAlign w:val="bottom"/>
          </w:tcPr>
          <w:p>
            <w:pPr>
              <w:ind w:left="240"/>
              <w:spacing w:after="0"/>
              <w:rPr>
                <w:sz w:val="20"/>
                <w:szCs w:val="20"/>
                <w:color w:val="auto"/>
              </w:rPr>
            </w:pPr>
            <w:r>
              <w:rPr>
                <w:rFonts w:ascii="Arial" w:cs="Arial" w:eastAsia="Arial" w:hAnsi="Arial"/>
                <w:sz w:val="20"/>
                <w:szCs w:val="20"/>
                <w:color w:val="auto"/>
              </w:rPr>
              <w:t>Vested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(347,401)</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7320" w:type="dxa"/>
            <w:vAlign w:val="bottom"/>
          </w:tcPr>
          <w:p>
            <w:pPr>
              <w:spacing w:after="0"/>
              <w:rPr>
                <w:sz w:val="20"/>
                <w:szCs w:val="20"/>
                <w:color w:val="auto"/>
              </w:rPr>
            </w:pPr>
            <w:r>
              <w:rPr>
                <w:rFonts w:ascii="Arial" w:cs="Arial" w:eastAsia="Arial" w:hAnsi="Arial"/>
                <w:sz w:val="20"/>
                <w:szCs w:val="20"/>
                <w:color w:val="auto"/>
              </w:rPr>
              <w:t>At December 31, 2023</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352,447</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987,111</w:t>
            </w:r>
          </w:p>
        </w:tc>
      </w:tr>
      <w:tr>
        <w:trPr>
          <w:trHeight w:val="276"/>
        </w:trPr>
        <w:tc>
          <w:tcPr>
            <w:tcW w:w="7320" w:type="dxa"/>
            <w:vAlign w:val="bottom"/>
          </w:tcPr>
          <w:p>
            <w:pPr>
              <w:ind w:left="240"/>
              <w:spacing w:after="0"/>
              <w:rPr>
                <w:sz w:val="20"/>
                <w:szCs w:val="20"/>
                <w:color w:val="auto"/>
              </w:rPr>
            </w:pPr>
            <w:r>
              <w:rPr>
                <w:rFonts w:ascii="Arial" w:cs="Arial" w:eastAsia="Arial" w:hAnsi="Arial"/>
                <w:sz w:val="20"/>
                <w:szCs w:val="20"/>
                <w:color w:val="auto"/>
              </w:rPr>
              <w:t>Forfeited</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(2,651)</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83"/>
        </w:trPr>
        <w:tc>
          <w:tcPr>
            <w:tcW w:w="7320" w:type="dxa"/>
            <w:vAlign w:val="bottom"/>
          </w:tcPr>
          <w:p>
            <w:pPr>
              <w:ind w:left="240"/>
              <w:spacing w:after="0"/>
              <w:rPr>
                <w:sz w:val="20"/>
                <w:szCs w:val="20"/>
                <w:color w:val="auto"/>
              </w:rPr>
            </w:pPr>
            <w:r>
              <w:rPr>
                <w:rFonts w:ascii="Arial" w:cs="Arial" w:eastAsia="Arial" w:hAnsi="Arial"/>
                <w:sz w:val="20"/>
                <w:szCs w:val="20"/>
                <w:color w:val="auto"/>
              </w:rPr>
              <w:t>Vested</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(278,345)</w:t>
            </w:r>
          </w:p>
        </w:tc>
        <w:tc>
          <w:tcPr>
            <w:tcW w:w="1400" w:type="dxa"/>
            <w:vAlign w:val="bottom"/>
            <w:gridSpan w:val="2"/>
          </w:tcPr>
          <w:p>
            <w:pPr>
              <w:jc w:val="right"/>
              <w:spacing w:after="0"/>
              <w:rPr>
                <w:sz w:val="20"/>
                <w:szCs w:val="20"/>
                <w:color w:val="auto"/>
              </w:rPr>
            </w:pPr>
            <w:r>
              <w:rPr>
                <w:rFonts w:ascii="Arial" w:cs="Arial" w:eastAsia="Arial" w:hAnsi="Arial"/>
                <w:sz w:val="20"/>
                <w:szCs w:val="20"/>
                <w:b w:val="1"/>
                <w:bCs w:val="1"/>
                <w:color w:val="auto"/>
              </w:rPr>
              <w:t>(987,111)</w:t>
            </w:r>
          </w:p>
        </w:tc>
      </w:tr>
      <w:tr>
        <w:trPr>
          <w:trHeight w:val="240"/>
        </w:trPr>
        <w:tc>
          <w:tcPr>
            <w:tcW w:w="7320" w:type="dxa"/>
            <w:vAlign w:val="bottom"/>
          </w:tcPr>
          <w:p>
            <w:pPr>
              <w:spacing w:after="0"/>
              <w:rPr>
                <w:sz w:val="20"/>
                <w:szCs w:val="20"/>
                <w:color w:val="auto"/>
              </w:rPr>
            </w:pPr>
            <w:r>
              <w:rPr>
                <w:rFonts w:ascii="Arial" w:cs="Arial" w:eastAsia="Arial" w:hAnsi="Arial"/>
                <w:sz w:val="20"/>
                <w:szCs w:val="20"/>
                <w:b w:val="1"/>
                <w:bCs w:val="1"/>
                <w:color w:val="auto"/>
              </w:rPr>
              <w:t>At December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71,451</w:t>
            </w:r>
          </w:p>
        </w:tc>
        <w:tc>
          <w:tcPr>
            <w:tcW w:w="1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0"/>
        </w:trPr>
        <w:tc>
          <w:tcPr>
            <w:tcW w:w="7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-1804670</wp:posOffset>
            </wp:positionV>
            <wp:extent cx="6410325" cy="1811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6410325" cy="1811655"/>
                    </a:xfrm>
                    <a:prstGeom prst="rect">
                      <a:avLst/>
                    </a:prstGeom>
                    <a:noFill/>
                  </pic:spPr>
                </pic:pic>
              </a:graphicData>
            </a:graphic>
          </wp:anchor>
        </w:drawing>
      </w:r>
    </w:p>
    <w:p>
      <w:pPr>
        <w:spacing w:after="0" w:line="223" w:lineRule="exact"/>
        <w:rPr>
          <w:sz w:val="20"/>
          <w:szCs w:val="20"/>
          <w:color w:val="auto"/>
        </w:rPr>
      </w:pPr>
    </w:p>
    <w:p>
      <w:pPr>
        <w:ind w:left="7" w:right="660"/>
        <w:spacing w:after="0" w:line="361" w:lineRule="auto"/>
        <w:rPr>
          <w:sz w:val="20"/>
          <w:szCs w:val="20"/>
          <w:color w:val="auto"/>
        </w:rPr>
      </w:pPr>
      <w:r>
        <w:rPr>
          <w:rFonts w:ascii="Arial" w:cs="Arial" w:eastAsia="Arial" w:hAnsi="Arial"/>
          <w:sz w:val="17"/>
          <w:szCs w:val="17"/>
          <w:color w:val="auto"/>
        </w:rPr>
        <w:t>The following table provides a summary of the weighted average unit grant date fair value, weighted average remaining contractual term, total compensation cost and unrecognized compensation cost for the pre-IPO awards:</w:t>
      </w:r>
    </w:p>
    <w:p>
      <w:pPr>
        <w:spacing w:after="0" w:line="323" w:lineRule="exact"/>
        <w:rPr>
          <w:sz w:val="20"/>
          <w:szCs w:val="20"/>
          <w:color w:val="auto"/>
        </w:rPr>
      </w:pPr>
    </w:p>
    <w:tbl>
      <w:tblPr>
        <w:tblLayout w:type="fixed"/>
        <w:tblInd w:w="47" w:type="dxa"/>
        <w:tblCellMar>
          <w:top w:w="0" w:type="dxa"/>
          <w:left w:w="0" w:type="dxa"/>
          <w:bottom w:w="0" w:type="dxa"/>
          <w:right w:w="0" w:type="dxa"/>
        </w:tblCellMar>
      </w:tblPr>
      <w:tr>
        <w:trPr>
          <w:trHeight w:val="233"/>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Pr>
          <w:p>
            <w:pPr>
              <w:spacing w:after="0"/>
              <w:rPr>
                <w:sz w:val="20"/>
                <w:szCs w:val="20"/>
                <w:color w:val="auto"/>
              </w:rPr>
            </w:pPr>
          </w:p>
        </w:tc>
        <w:tc>
          <w:tcPr>
            <w:tcW w:w="1420" w:type="dxa"/>
            <w:vAlign w:val="bottom"/>
          </w:tcPr>
          <w:p>
            <w:pPr>
              <w:jc w:val="right"/>
              <w:ind w:right="109"/>
              <w:spacing w:after="0"/>
              <w:rPr>
                <w:sz w:val="20"/>
                <w:szCs w:val="20"/>
                <w:color w:val="auto"/>
              </w:rPr>
            </w:pPr>
            <w:r>
              <w:rPr>
                <w:rFonts w:ascii="Arial" w:cs="Arial" w:eastAsia="Arial" w:hAnsi="Arial"/>
                <w:sz w:val="16"/>
                <w:szCs w:val="16"/>
                <w:b w:val="1"/>
                <w:bCs w:val="1"/>
                <w:color w:val="auto"/>
                <w:w w:val="88"/>
              </w:rPr>
              <w:t>Restricted Stock -</w:t>
            </w:r>
          </w:p>
        </w:tc>
        <w:tc>
          <w:tcPr>
            <w:tcW w:w="0" w:type="dxa"/>
            <w:vAlign w:val="bottom"/>
          </w:tcPr>
          <w:p>
            <w:pPr>
              <w:spacing w:after="0"/>
              <w:rPr>
                <w:sz w:val="1"/>
                <w:szCs w:val="1"/>
                <w:color w:val="auto"/>
              </w:rPr>
            </w:pPr>
          </w:p>
        </w:tc>
      </w:tr>
      <w:tr>
        <w:trPr>
          <w:trHeight w:val="175"/>
        </w:trPr>
        <w:tc>
          <w:tcPr>
            <w:tcW w:w="84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dollars in millions, except per award values)</w:t>
            </w:r>
          </w:p>
        </w:tc>
        <w:tc>
          <w:tcPr>
            <w:tcW w:w="180" w:type="dxa"/>
            <w:vAlign w:val="bottom"/>
          </w:tcPr>
          <w:p>
            <w:pPr>
              <w:spacing w:after="0"/>
              <w:rPr>
                <w:sz w:val="15"/>
                <w:szCs w:val="15"/>
                <w:color w:val="auto"/>
              </w:rPr>
            </w:pPr>
          </w:p>
        </w:tc>
        <w:tc>
          <w:tcPr>
            <w:tcW w:w="1420" w:type="dxa"/>
            <w:vAlign w:val="bottom"/>
          </w:tcPr>
          <w:p>
            <w:pPr>
              <w:jc w:val="right"/>
              <w:ind w:right="289"/>
              <w:spacing w:after="0" w:line="175" w:lineRule="exact"/>
              <w:rPr>
                <w:sz w:val="20"/>
                <w:szCs w:val="20"/>
                <w:color w:val="auto"/>
              </w:rPr>
            </w:pPr>
            <w:r>
              <w:rPr>
                <w:rFonts w:ascii="Arial" w:cs="Arial" w:eastAsia="Arial" w:hAnsi="Arial"/>
                <w:sz w:val="16"/>
                <w:szCs w:val="16"/>
                <w:b w:val="1"/>
                <w:bCs w:val="1"/>
                <w:color w:val="auto"/>
              </w:rPr>
              <w:t>Pre-IPO B-1</w:t>
            </w:r>
          </w:p>
        </w:tc>
        <w:tc>
          <w:tcPr>
            <w:tcW w:w="0" w:type="dxa"/>
            <w:vAlign w:val="bottom"/>
          </w:tcPr>
          <w:p>
            <w:pPr>
              <w:spacing w:after="0"/>
              <w:rPr>
                <w:sz w:val="1"/>
                <w:szCs w:val="1"/>
                <w:color w:val="auto"/>
              </w:rPr>
            </w:pPr>
          </w:p>
        </w:tc>
      </w:tr>
      <w:tr>
        <w:trPr>
          <w:trHeight w:val="20"/>
        </w:trPr>
        <w:tc>
          <w:tcPr>
            <w:tcW w:w="29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20"/>
                <w:szCs w:val="20"/>
                <w:color w:val="auto"/>
              </w:rPr>
              <w:t>Weighted average grant date fair value per unit of unvested units</w:t>
            </w:r>
            <w:r>
              <w:rPr>
                <w:rFonts w:ascii="Arial" w:cs="Arial" w:eastAsia="Arial" w:hAnsi="Arial"/>
                <w:sz w:val="25"/>
                <w:szCs w:val="25"/>
                <w:color w:val="auto"/>
                <w:vertAlign w:val="superscript"/>
              </w:rPr>
              <w:t>(a)</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84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6.32</w:t>
            </w:r>
          </w:p>
        </w:tc>
        <w:tc>
          <w:tcPr>
            <w:tcW w:w="0" w:type="dxa"/>
            <w:vAlign w:val="bottom"/>
          </w:tcPr>
          <w:p>
            <w:pPr>
              <w:spacing w:after="0"/>
              <w:rPr>
                <w:sz w:val="1"/>
                <w:szCs w:val="1"/>
                <w:color w:val="auto"/>
              </w:rPr>
            </w:pPr>
          </w:p>
        </w:tc>
      </w:tr>
      <w:tr>
        <w:trPr>
          <w:trHeight w:val="275"/>
        </w:trPr>
        <w:tc>
          <w:tcPr>
            <w:tcW w:w="8400" w:type="dxa"/>
            <w:vAlign w:val="bottom"/>
            <w:gridSpan w:val="2"/>
          </w:tcPr>
          <w:p>
            <w:pPr>
              <w:spacing w:after="0"/>
              <w:rPr>
                <w:sz w:val="20"/>
                <w:szCs w:val="20"/>
                <w:color w:val="auto"/>
              </w:rPr>
            </w:pPr>
            <w:r>
              <w:rPr>
                <w:rFonts w:ascii="Arial" w:cs="Arial" w:eastAsia="Arial" w:hAnsi="Arial"/>
                <w:sz w:val="20"/>
                <w:szCs w:val="20"/>
                <w:color w:val="auto"/>
              </w:rPr>
              <w:t>Weighted average remaining contractual term</w:t>
            </w: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0.4 years</w:t>
            </w:r>
          </w:p>
        </w:tc>
        <w:tc>
          <w:tcPr>
            <w:tcW w:w="0" w:type="dxa"/>
            <w:vAlign w:val="bottom"/>
          </w:tcPr>
          <w:p>
            <w:pPr>
              <w:spacing w:after="0"/>
              <w:rPr>
                <w:sz w:val="1"/>
                <w:szCs w:val="1"/>
                <w:color w:val="auto"/>
              </w:rPr>
            </w:pPr>
          </w:p>
        </w:tc>
      </w:tr>
      <w:tr>
        <w:trPr>
          <w:trHeight w:val="279"/>
        </w:trPr>
        <w:tc>
          <w:tcPr>
            <w:tcW w:w="8400" w:type="dxa"/>
            <w:vAlign w:val="bottom"/>
            <w:gridSpan w:val="2"/>
          </w:tcPr>
          <w:p>
            <w:pPr>
              <w:spacing w:after="0"/>
              <w:rPr>
                <w:sz w:val="20"/>
                <w:szCs w:val="20"/>
                <w:color w:val="auto"/>
              </w:rPr>
            </w:pPr>
            <w:r>
              <w:rPr>
                <w:rFonts w:ascii="Arial" w:cs="Arial" w:eastAsia="Arial" w:hAnsi="Arial"/>
                <w:sz w:val="20"/>
                <w:szCs w:val="20"/>
                <w:color w:val="auto"/>
              </w:rPr>
              <w:t>Total compensation cost recognized during 2024</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1.6</w:t>
            </w:r>
          </w:p>
        </w:tc>
        <w:tc>
          <w:tcPr>
            <w:tcW w:w="0" w:type="dxa"/>
            <w:vAlign w:val="bottom"/>
          </w:tcPr>
          <w:p>
            <w:pPr>
              <w:spacing w:after="0"/>
              <w:rPr>
                <w:sz w:val="1"/>
                <w:szCs w:val="1"/>
                <w:color w:val="auto"/>
              </w:rPr>
            </w:pPr>
          </w:p>
        </w:tc>
      </w:tr>
      <w:tr>
        <w:trPr>
          <w:trHeight w:val="279"/>
        </w:trPr>
        <w:tc>
          <w:tcPr>
            <w:tcW w:w="8400" w:type="dxa"/>
            <w:vAlign w:val="bottom"/>
            <w:gridSpan w:val="2"/>
          </w:tcPr>
          <w:p>
            <w:pPr>
              <w:spacing w:after="0"/>
              <w:rPr>
                <w:sz w:val="20"/>
                <w:szCs w:val="20"/>
                <w:color w:val="auto"/>
              </w:rPr>
            </w:pPr>
            <w:r>
              <w:rPr>
                <w:rFonts w:ascii="Arial" w:cs="Arial" w:eastAsia="Arial" w:hAnsi="Arial"/>
                <w:sz w:val="20"/>
                <w:szCs w:val="20"/>
                <w:color w:val="auto"/>
              </w:rPr>
              <w:t>Unrecognized compensation expense at December 31, 2024</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420" w:type="dxa"/>
            <w:vAlign w:val="bottom"/>
          </w:tcPr>
          <w:p>
            <w:pPr>
              <w:jc w:val="right"/>
              <w:spacing w:after="0"/>
              <w:rPr>
                <w:sz w:val="20"/>
                <w:szCs w:val="20"/>
                <w:color w:val="auto"/>
              </w:rPr>
            </w:pPr>
            <w:r>
              <w:rPr>
                <w:rFonts w:ascii="Arial" w:cs="Arial" w:eastAsia="Arial" w:hAnsi="Arial"/>
                <w:sz w:val="20"/>
                <w:szCs w:val="20"/>
                <w:b w:val="1"/>
                <w:bCs w:val="1"/>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-713105</wp:posOffset>
            </wp:positionV>
            <wp:extent cx="6410325" cy="7346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154" w:lineRule="exact"/>
        <w:rPr>
          <w:sz w:val="20"/>
          <w:szCs w:val="20"/>
          <w:color w:val="auto"/>
        </w:rPr>
      </w:pPr>
    </w:p>
    <w:p>
      <w:pPr>
        <w:ind w:left="447" w:right="100" w:hanging="447"/>
        <w:spacing w:after="0" w:line="271" w:lineRule="auto"/>
        <w:tabs>
          <w:tab w:leader="none" w:pos="4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Due to the in-kind distribution of shares of our common stock in connection with our IPO described above, the weighted average grant date fair value per unit is not comparable to the IPO share price.</w:t>
      </w:r>
    </w:p>
    <w:p>
      <w:pPr>
        <w:spacing w:after="0" w:line="390"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2020 Omnibus Incentive Plan</w:t>
      </w:r>
    </w:p>
    <w:p>
      <w:pPr>
        <w:spacing w:after="0" w:line="248" w:lineRule="exact"/>
        <w:rPr>
          <w:sz w:val="20"/>
          <w:szCs w:val="20"/>
          <w:color w:val="auto"/>
        </w:rPr>
      </w:pPr>
    </w:p>
    <w:p>
      <w:pPr>
        <w:ind w:left="7" w:right="20"/>
        <w:spacing w:after="0" w:line="266" w:lineRule="auto"/>
        <w:rPr>
          <w:sz w:val="20"/>
          <w:szCs w:val="20"/>
          <w:color w:val="auto"/>
        </w:rPr>
      </w:pPr>
      <w:r>
        <w:rPr>
          <w:rFonts w:ascii="Arial" w:cs="Arial" w:eastAsia="Arial" w:hAnsi="Arial"/>
          <w:sz w:val="19"/>
          <w:szCs w:val="19"/>
          <w:color w:val="auto"/>
        </w:rPr>
        <w:t>We maintain the 2020 Plan that allows for grants of incentive stock options to employees (including employees of any of our subsidiaries), nonstatutory stock options, restricted stock awards (“RSAs”), RSUs and other cash-based, equity-based or equity-related awards to employees, directors, and consultants, including employees or consultants of our subsidiaries. A maximum of 27.9 million shares of common stock may be issued under the 2020 Plan. At December 31, 2024, 15.6 million shares were available for future issuance. The Company plans to issue shares available under the 2020 Plan or shares from treasury to satisfy requirements of awards paid with shares.</w:t>
      </w:r>
    </w:p>
    <w:p>
      <w:pPr>
        <w:spacing w:after="0" w:line="193" w:lineRule="exact"/>
        <w:rPr>
          <w:sz w:val="20"/>
          <w:szCs w:val="20"/>
          <w:color w:val="auto"/>
        </w:rPr>
      </w:pPr>
    </w:p>
    <w:p>
      <w:pPr>
        <w:ind w:left="7" w:right="60"/>
        <w:spacing w:after="0" w:line="250" w:lineRule="auto"/>
        <w:rPr>
          <w:sz w:val="20"/>
          <w:szCs w:val="20"/>
          <w:color w:val="auto"/>
        </w:rPr>
      </w:pPr>
      <w:r>
        <w:rPr>
          <w:rFonts w:ascii="Arial" w:cs="Arial" w:eastAsia="Arial" w:hAnsi="Arial"/>
          <w:sz w:val="20"/>
          <w:szCs w:val="20"/>
          <w:color w:val="auto"/>
        </w:rPr>
        <w:t>We recognize share-based compensation expense at grant date fair value over the requisite service period on a straight-line basis in our Consolidated Statements of Operations and Comprehensive Income (Loss), in “Selling, general and administrative expenses.” We recognized $35.2 million ($16.4 million for stock options and $18.8 million for RSAs and RSUs), $30.4 million ($14.4 million for stock options and $16.0 million for RSUs) and $19.1 million ($7.8 million for stock options and $11.3 million for RSUs) of share-based compensation expense for these awards for the years ending December 31, 2024, 2023 and 2022, respectively.</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047"/>
          </w:cols>
          <w:pgMar w:left="913" w:top="544" w:right="92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We use a Black-Scholes option pricing model to estimate the fair value of stock options. Since we are a newly public company, the expected volatility is based on the volatility of similar publicly traded businesses within the same or similar industry as the Company in combination with our own volatility. We used the simplified method to estimate the expected term. The risk-free rate is based on the U.S. Treasury yield in effect at the time of the grant.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grant-date fair values of stock options and the assumptions used in estimating the fair values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For the year ended December 31,</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6"/>
                <w:szCs w:val="16"/>
                <w:b w:val="1"/>
                <w:bCs w:val="1"/>
                <w:color w:val="auto"/>
              </w:rPr>
              <w:t>2022</w:t>
            </w:r>
          </w:p>
        </w:tc>
      </w:tr>
      <w:tr>
        <w:trPr>
          <w:trHeight w:val="285"/>
        </w:trPr>
        <w:tc>
          <w:tcPr>
            <w:tcW w:w="4880" w:type="dxa"/>
            <w:vAlign w:val="bottom"/>
          </w:tcPr>
          <w:p>
            <w:pPr>
              <w:ind w:left="40"/>
              <w:spacing w:after="0"/>
              <w:rPr>
                <w:sz w:val="20"/>
                <w:szCs w:val="20"/>
                <w:color w:val="auto"/>
              </w:rPr>
            </w:pPr>
            <w:r>
              <w:rPr>
                <w:rFonts w:ascii="Arial" w:cs="Arial" w:eastAsia="Arial" w:hAnsi="Arial"/>
                <w:sz w:val="20"/>
                <w:szCs w:val="20"/>
                <w:color w:val="auto"/>
              </w:rPr>
              <w:t>Weighted average grant date fair value per option</w:t>
            </w:r>
          </w:p>
        </w:tc>
        <w:tc>
          <w:tcPr>
            <w:tcW w:w="12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7.35</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7.13</w:t>
            </w:r>
          </w:p>
        </w:tc>
        <w:tc>
          <w:tcPr>
            <w:tcW w:w="5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46"/>
              <w:spacing w:after="0"/>
              <w:rPr>
                <w:sz w:val="20"/>
                <w:szCs w:val="20"/>
                <w:color w:val="auto"/>
              </w:rPr>
            </w:pPr>
            <w:r>
              <w:rPr>
                <w:rFonts w:ascii="Arial" w:cs="Arial" w:eastAsia="Arial" w:hAnsi="Arial"/>
                <w:sz w:val="20"/>
                <w:szCs w:val="20"/>
                <w:color w:val="auto"/>
              </w:rPr>
              <w:t>4.86</w:t>
            </w:r>
          </w:p>
        </w:tc>
      </w:tr>
      <w:tr>
        <w:trPr>
          <w:trHeight w:val="279"/>
        </w:trPr>
        <w:tc>
          <w:tcPr>
            <w:tcW w:w="4880" w:type="dxa"/>
            <w:vAlign w:val="bottom"/>
          </w:tcPr>
          <w:p>
            <w:pPr>
              <w:ind w:left="40"/>
              <w:spacing w:after="0"/>
              <w:rPr>
                <w:sz w:val="20"/>
                <w:szCs w:val="20"/>
                <w:color w:val="auto"/>
              </w:rPr>
            </w:pPr>
            <w:r>
              <w:rPr>
                <w:rFonts w:ascii="Arial" w:cs="Arial" w:eastAsia="Arial" w:hAnsi="Arial"/>
                <w:sz w:val="20"/>
                <w:szCs w:val="20"/>
                <w:color w:val="auto"/>
              </w:rPr>
              <w:t>Expected term (years)</w:t>
            </w:r>
          </w:p>
        </w:tc>
        <w:tc>
          <w:tcPr>
            <w:tcW w:w="1240" w:type="dxa"/>
            <w:vAlign w:val="bottom"/>
          </w:tcPr>
          <w:p>
            <w:pPr>
              <w:spacing w:after="0"/>
              <w:rPr>
                <w:sz w:val="24"/>
                <w:szCs w:val="24"/>
                <w:color w:val="auto"/>
              </w:rPr>
            </w:pPr>
          </w:p>
        </w:tc>
        <w:tc>
          <w:tcPr>
            <w:tcW w:w="1420" w:type="dxa"/>
            <w:vAlign w:val="bottom"/>
            <w:gridSpan w:val="2"/>
          </w:tcPr>
          <w:p>
            <w:pPr>
              <w:jc w:val="right"/>
              <w:ind w:right="302"/>
              <w:spacing w:after="0"/>
              <w:rPr>
                <w:sz w:val="20"/>
                <w:szCs w:val="20"/>
                <w:color w:val="auto"/>
              </w:rPr>
            </w:pPr>
            <w:r>
              <w:rPr>
                <w:rFonts w:ascii="Arial" w:cs="Arial" w:eastAsia="Arial" w:hAnsi="Arial"/>
                <w:sz w:val="20"/>
                <w:szCs w:val="20"/>
                <w:color w:val="auto"/>
              </w:rPr>
              <w:t>6 years</w:t>
            </w:r>
          </w:p>
        </w:tc>
        <w:tc>
          <w:tcPr>
            <w:tcW w:w="1440" w:type="dxa"/>
            <w:vAlign w:val="bottom"/>
            <w:gridSpan w:val="2"/>
          </w:tcPr>
          <w:p>
            <w:pPr>
              <w:jc w:val="right"/>
              <w:ind w:right="302"/>
              <w:spacing w:after="0"/>
              <w:rPr>
                <w:sz w:val="20"/>
                <w:szCs w:val="20"/>
                <w:color w:val="auto"/>
              </w:rPr>
            </w:pPr>
            <w:r>
              <w:rPr>
                <w:rFonts w:ascii="Arial" w:cs="Arial" w:eastAsia="Arial" w:hAnsi="Arial"/>
                <w:sz w:val="20"/>
                <w:szCs w:val="20"/>
                <w:color w:val="auto"/>
              </w:rPr>
              <w:t>6 years</w:t>
            </w:r>
          </w:p>
        </w:tc>
        <w:tc>
          <w:tcPr>
            <w:tcW w:w="1060" w:type="dxa"/>
            <w:vAlign w:val="bottom"/>
          </w:tcPr>
          <w:p>
            <w:pPr>
              <w:jc w:val="right"/>
              <w:spacing w:after="0"/>
              <w:rPr>
                <w:sz w:val="20"/>
                <w:szCs w:val="20"/>
                <w:color w:val="auto"/>
              </w:rPr>
            </w:pPr>
            <w:r>
              <w:rPr>
                <w:rFonts w:ascii="Arial" w:cs="Arial" w:eastAsia="Arial" w:hAnsi="Arial"/>
                <w:sz w:val="20"/>
                <w:szCs w:val="20"/>
                <w:color w:val="auto"/>
              </w:rPr>
              <w:t>5.8 years</w:t>
            </w:r>
          </w:p>
        </w:tc>
      </w:tr>
      <w:tr>
        <w:trPr>
          <w:trHeight w:val="279"/>
        </w:trPr>
        <w:tc>
          <w:tcPr>
            <w:tcW w:w="4880" w:type="dxa"/>
            <w:vAlign w:val="bottom"/>
          </w:tcPr>
          <w:p>
            <w:pPr>
              <w:ind w:left="40"/>
              <w:spacing w:after="0"/>
              <w:rPr>
                <w:sz w:val="20"/>
                <w:szCs w:val="20"/>
                <w:color w:val="auto"/>
              </w:rPr>
            </w:pPr>
            <w:r>
              <w:rPr>
                <w:rFonts w:ascii="Arial" w:cs="Arial" w:eastAsia="Arial" w:hAnsi="Arial"/>
                <w:sz w:val="20"/>
                <w:szCs w:val="20"/>
                <w:color w:val="auto"/>
              </w:rPr>
              <w:t>Risk-free interest rate</w:t>
            </w:r>
          </w:p>
        </w:tc>
        <w:tc>
          <w:tcPr>
            <w:tcW w:w="1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4.2</w:t>
            </w:r>
          </w:p>
        </w:tc>
        <w:tc>
          <w:tcPr>
            <w:tcW w:w="56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4.2</w:t>
            </w:r>
          </w:p>
        </w:tc>
        <w:tc>
          <w:tcPr>
            <w:tcW w:w="560" w:type="dxa"/>
            <w:vAlign w:val="bottom"/>
          </w:tcPr>
          <w:p>
            <w:pPr>
              <w:jc w:val="right"/>
              <w:ind w:right="282"/>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3.4 %</w:t>
            </w:r>
          </w:p>
        </w:tc>
      </w:tr>
      <w:tr>
        <w:trPr>
          <w:trHeight w:val="279"/>
        </w:trPr>
        <w:tc>
          <w:tcPr>
            <w:tcW w:w="4880" w:type="dxa"/>
            <w:vAlign w:val="bottom"/>
          </w:tcPr>
          <w:p>
            <w:pPr>
              <w:ind w:left="40"/>
              <w:spacing w:after="0"/>
              <w:rPr>
                <w:sz w:val="20"/>
                <w:szCs w:val="20"/>
                <w:color w:val="auto"/>
              </w:rPr>
            </w:pPr>
            <w:r>
              <w:rPr>
                <w:rFonts w:ascii="Arial" w:cs="Arial" w:eastAsia="Arial" w:hAnsi="Arial"/>
                <w:sz w:val="20"/>
                <w:szCs w:val="20"/>
                <w:color w:val="auto"/>
              </w:rPr>
              <w:t>Expected volatility</w:t>
            </w:r>
          </w:p>
        </w:tc>
        <w:tc>
          <w:tcPr>
            <w:tcW w:w="1240" w:type="dxa"/>
            <w:vAlign w:val="bottom"/>
          </w:tcPr>
          <w:p>
            <w:pPr>
              <w:spacing w:after="0"/>
              <w:rPr>
                <w:sz w:val="24"/>
                <w:szCs w:val="24"/>
                <w:color w:val="auto"/>
              </w:rPr>
            </w:pPr>
          </w:p>
        </w:tc>
        <w:tc>
          <w:tcPr>
            <w:tcW w:w="1420" w:type="dxa"/>
            <w:vAlign w:val="bottom"/>
            <w:gridSpan w:val="2"/>
          </w:tcPr>
          <w:p>
            <w:pPr>
              <w:jc w:val="right"/>
              <w:ind w:right="262"/>
              <w:spacing w:after="0"/>
              <w:rPr>
                <w:sz w:val="20"/>
                <w:szCs w:val="20"/>
                <w:color w:val="auto"/>
              </w:rPr>
            </w:pPr>
            <w:r>
              <w:rPr>
                <w:rFonts w:ascii="Arial" w:cs="Arial" w:eastAsia="Arial" w:hAnsi="Arial"/>
                <w:sz w:val="20"/>
                <w:szCs w:val="20"/>
                <w:color w:val="auto"/>
              </w:rPr>
              <w:t>46.8 %</w:t>
            </w:r>
          </w:p>
        </w:tc>
        <w:tc>
          <w:tcPr>
            <w:tcW w:w="1440" w:type="dxa"/>
            <w:vAlign w:val="bottom"/>
            <w:gridSpan w:val="2"/>
          </w:tcPr>
          <w:p>
            <w:pPr>
              <w:jc w:val="right"/>
              <w:ind w:right="282"/>
              <w:spacing w:after="0"/>
              <w:rPr>
                <w:sz w:val="20"/>
                <w:szCs w:val="20"/>
                <w:color w:val="auto"/>
              </w:rPr>
            </w:pPr>
            <w:r>
              <w:rPr>
                <w:rFonts w:ascii="Arial" w:cs="Arial" w:eastAsia="Arial" w:hAnsi="Arial"/>
                <w:sz w:val="20"/>
                <w:szCs w:val="20"/>
                <w:color w:val="auto"/>
              </w:rPr>
              <w:t>50.0 %</w:t>
            </w:r>
          </w:p>
        </w:tc>
        <w:tc>
          <w:tcPr>
            <w:tcW w:w="1060" w:type="dxa"/>
            <w:vAlign w:val="bottom"/>
          </w:tcPr>
          <w:p>
            <w:pPr>
              <w:jc w:val="right"/>
              <w:spacing w:after="0"/>
              <w:rPr>
                <w:sz w:val="20"/>
                <w:szCs w:val="20"/>
                <w:color w:val="auto"/>
              </w:rPr>
            </w:pPr>
            <w:r>
              <w:rPr>
                <w:rFonts w:ascii="Arial" w:cs="Arial" w:eastAsia="Arial" w:hAnsi="Arial"/>
                <w:sz w:val="20"/>
                <w:szCs w:val="20"/>
                <w:color w:val="auto"/>
              </w:rPr>
              <w:t>45.7 %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-731520</wp:posOffset>
            </wp:positionV>
            <wp:extent cx="6410325" cy="7537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6410325" cy="753745"/>
                    </a:xfrm>
                    <a:prstGeom prst="rect">
                      <a:avLst/>
                    </a:prstGeom>
                    <a:noFill/>
                  </pic:spPr>
                </pic:pic>
              </a:graphicData>
            </a:graphic>
          </wp:anchor>
        </w:drawing>
      </w:r>
    </w:p>
    <w:p>
      <w:pPr>
        <w:spacing w:after="0" w:line="266"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Stock options generally vest ratably over a period of two to four years. They have an exercise price equal to the fair market value of a share of common stock on the date of grant, and a contractual term of 10 years. The following table summarizes our stock option activity for the year ended December 31, 2024:</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0" w:right="1140" w:hanging="234"/>
        <w:spacing w:after="0" w:line="291" w:lineRule="auto"/>
        <w:rPr>
          <w:sz w:val="20"/>
          <w:szCs w:val="20"/>
          <w:color w:val="auto"/>
        </w:rPr>
      </w:pPr>
      <w:r>
        <w:rPr>
          <w:rFonts w:ascii="Arial" w:cs="Arial" w:eastAsia="Arial" w:hAnsi="Arial"/>
          <w:sz w:val="20"/>
          <w:szCs w:val="20"/>
          <w:color w:val="auto"/>
        </w:rPr>
        <w:t>Outstanding at the beginning of the year Granted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Forfeited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Outstanding at the end of the year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Exercisable at the end of the year</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Unvested at the end of the year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4"/>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07"/>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4"/>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188"/>
        </w:trPr>
        <w:tc>
          <w:tcPr>
            <w:tcW w:w="1180" w:type="dxa"/>
            <w:vAlign w:val="bottom"/>
          </w:tcPr>
          <w:p>
            <w:pPr>
              <w:jc w:val="right"/>
              <w:ind w:right="127"/>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27"/>
              <w:spacing w:after="0"/>
              <w:rPr>
                <w:sz w:val="20"/>
                <w:szCs w:val="20"/>
                <w:color w:val="auto"/>
              </w:rPr>
            </w:pPr>
            <w:r>
              <w:rPr>
                <w:rFonts w:ascii="Arial" w:cs="Arial" w:eastAsia="Arial" w:hAnsi="Arial"/>
                <w:sz w:val="16"/>
                <w:szCs w:val="16"/>
                <w:b w:val="1"/>
                <w:bCs w:val="1"/>
                <w:color w:val="auto"/>
                <w:w w:val="85"/>
              </w:rPr>
              <w:t>average</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4"/>
              <w:spacing w:after="0"/>
              <w:rPr>
                <w:sz w:val="20"/>
                <w:szCs w:val="20"/>
                <w:color w:val="auto"/>
              </w:rPr>
            </w:pPr>
            <w:r>
              <w:rPr>
                <w:rFonts w:ascii="Arial" w:cs="Arial" w:eastAsia="Arial" w:hAnsi="Arial"/>
                <w:sz w:val="16"/>
                <w:szCs w:val="16"/>
                <w:color w:val="auto"/>
                <w:w w:val="84"/>
              </w:rPr>
              <w:t>(</w:t>
            </w:r>
            <w:r>
              <w:rPr>
                <w:rFonts w:ascii="Arial" w:cs="Arial" w:eastAsia="Arial" w:hAnsi="Arial"/>
                <w:sz w:val="16"/>
                <w:szCs w:val="16"/>
                <w:b w:val="1"/>
                <w:bCs w:val="1"/>
                <w:i w:val="1"/>
                <w:iCs w:val="1"/>
                <w:color w:val="auto"/>
                <w:w w:val="84"/>
              </w:rPr>
              <w:t>millions of</w:t>
            </w: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7"/>
              </w:rPr>
              <w:t>Exercise Price</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Life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i w:val="1"/>
                <w:iCs w:val="1"/>
                <w:color w:val="auto"/>
                <w:w w:val="85"/>
              </w:rPr>
              <w:t>U.S. dollars</w:t>
            </w:r>
            <w:r>
              <w:rPr>
                <w:rFonts w:ascii="Arial" w:cs="Arial" w:eastAsia="Arial" w:hAnsi="Arial"/>
                <w:sz w:val="16"/>
                <w:szCs w:val="16"/>
                <w:color w:val="auto"/>
                <w:w w:val="85"/>
              </w:rPr>
              <w:t>)</w:t>
            </w:r>
          </w:p>
        </w:tc>
        <w:tc>
          <w:tcPr>
            <w:tcW w:w="0" w:type="dxa"/>
            <w:vAlign w:val="bottom"/>
          </w:tcPr>
          <w:p>
            <w:pPr>
              <w:spacing w:after="0"/>
              <w:rPr>
                <w:sz w:val="1"/>
                <w:szCs w:val="1"/>
                <w:color w:val="auto"/>
              </w:rPr>
            </w:pPr>
          </w:p>
        </w:tc>
      </w:tr>
      <w:tr>
        <w:trPr>
          <w:trHeight w:val="256"/>
        </w:trPr>
        <w:tc>
          <w:tcPr>
            <w:tcW w:w="1180" w:type="dxa"/>
            <w:vAlign w:val="bottom"/>
          </w:tcPr>
          <w:p>
            <w:pPr>
              <w:jc w:val="right"/>
              <w:spacing w:after="0"/>
              <w:rPr>
                <w:sz w:val="20"/>
                <w:szCs w:val="20"/>
                <w:color w:val="auto"/>
              </w:rPr>
            </w:pPr>
            <w:r>
              <w:rPr>
                <w:rFonts w:ascii="Arial" w:cs="Arial" w:eastAsia="Arial" w:hAnsi="Arial"/>
                <w:sz w:val="20"/>
                <w:szCs w:val="20"/>
                <w:color w:val="auto"/>
              </w:rPr>
              <w:t>6,972,661</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15.17</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180" w:type="dxa"/>
            <w:vAlign w:val="bottom"/>
          </w:tcPr>
          <w:p>
            <w:pPr>
              <w:jc w:val="right"/>
              <w:spacing w:after="0"/>
              <w:rPr>
                <w:sz w:val="20"/>
                <w:szCs w:val="20"/>
                <w:color w:val="auto"/>
              </w:rPr>
            </w:pPr>
            <w:r>
              <w:rPr>
                <w:rFonts w:ascii="Arial" w:cs="Arial" w:eastAsia="Arial" w:hAnsi="Arial"/>
                <w:sz w:val="20"/>
                <w:szCs w:val="20"/>
                <w:color w:val="auto"/>
              </w:rPr>
              <w:t>1,615,721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14.57</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(260,331)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18.76</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8,328,051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14.94</w:t>
            </w:r>
          </w:p>
        </w:tc>
        <w:tc>
          <w:tcPr>
            <w:tcW w:w="120" w:type="dxa"/>
            <w:vAlign w:val="bottom"/>
          </w:tcPr>
          <w:p>
            <w:pPr>
              <w:spacing w:after="0"/>
              <w:rPr>
                <w:sz w:val="20"/>
                <w:szCs w:val="20"/>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w w:val="89"/>
              </w:rPr>
              <w:t>7.6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5,730,231</w:t>
            </w:r>
          </w:p>
        </w:tc>
        <w:tc>
          <w:tcPr>
            <w:tcW w:w="1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14.41</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420"/>
              <w:spacing w:after="0" w:line="219" w:lineRule="exact"/>
              <w:rPr>
                <w:sz w:val="20"/>
                <w:szCs w:val="20"/>
                <w:color w:val="auto"/>
              </w:rPr>
            </w:pPr>
            <w:r>
              <w:rPr>
                <w:rFonts w:ascii="Arial" w:cs="Arial" w:eastAsia="Arial" w:hAnsi="Arial"/>
                <w:sz w:val="20"/>
                <w:szCs w:val="20"/>
                <w:color w:val="auto"/>
                <w:w w:val="89"/>
              </w:rPr>
              <w:t>7.1 years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2,597,820</w:t>
            </w:r>
          </w:p>
        </w:tc>
        <w:tc>
          <w:tcPr>
            <w:tcW w:w="1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8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b w:val="1"/>
                <w:bCs w:val="1"/>
                <w:color w:val="auto"/>
              </w:rPr>
              <w:t>16.12</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420"/>
              <w:spacing w:after="0" w:line="219" w:lineRule="exact"/>
              <w:rPr>
                <w:sz w:val="20"/>
                <w:szCs w:val="20"/>
                <w:color w:val="auto"/>
              </w:rPr>
            </w:pPr>
            <w:r>
              <w:rPr>
                <w:rFonts w:ascii="Arial" w:cs="Arial" w:eastAsia="Arial" w:hAnsi="Arial"/>
                <w:sz w:val="20"/>
                <w:szCs w:val="20"/>
                <w:color w:val="auto"/>
                <w:w w:val="89"/>
              </w:rPr>
              <w:t>8.6 years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line="21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-1094740</wp:posOffset>
            </wp:positionV>
            <wp:extent cx="6410325" cy="1101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340" w:space="720"/>
            <w:col w:w="4980"/>
          </w:cols>
          <w:pgMar w:left="920" w:top="544" w:right="920" w:bottom="0" w:gutter="0" w:footer="0" w:header="0"/>
          <w:type w:val="continuous"/>
        </w:sectPr>
      </w:pPr>
    </w:p>
    <w:p>
      <w:pPr>
        <w:spacing w:after="0" w:line="43" w:lineRule="exact"/>
        <w:rPr>
          <w:sz w:val="20"/>
          <w:szCs w:val="20"/>
          <w:color w:val="auto"/>
        </w:rPr>
      </w:pPr>
    </w:p>
    <w:p>
      <w:pPr>
        <w:ind w:right="100"/>
        <w:spacing w:after="0" w:line="325" w:lineRule="auto"/>
        <w:rPr>
          <w:sz w:val="20"/>
          <w:szCs w:val="20"/>
          <w:color w:val="auto"/>
        </w:rPr>
      </w:pPr>
      <w:r>
        <w:rPr>
          <w:rFonts w:ascii="Arial" w:cs="Arial" w:eastAsia="Arial" w:hAnsi="Arial"/>
          <w:sz w:val="17"/>
          <w:szCs w:val="17"/>
          <w:color w:val="auto"/>
        </w:rPr>
        <w:t>At December 31, 2024, the total unrecognized compensation expense related to stock options expected to be recognized over the weighted-average period of approximately 1.8 years is $12.5 million. The total fair value of stock options vested during the years ended December 31, 2024, 2023 and 2022 was $16.3 million, $10.6 million and $4.4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RSUs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RSUs generally vest ratably over a period of one to four years and are valued based on the market price on the date of grant.</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unvested RSUs activity for the year ended December 31, 2024:</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w w:val="95"/>
              </w:rPr>
              <w:t>Weighted-average Grant</w:t>
            </w:r>
          </w:p>
        </w:tc>
      </w:tr>
      <w:tr>
        <w:trPr>
          <w:trHeight w:val="213"/>
        </w:trPr>
        <w:tc>
          <w:tcPr>
            <w:tcW w:w="6420" w:type="dxa"/>
            <w:vAlign w:val="bottom"/>
          </w:tcPr>
          <w:p>
            <w:pPr>
              <w:spacing w:after="0"/>
              <w:rPr>
                <w:sz w:val="18"/>
                <w:szCs w:val="18"/>
                <w:color w:val="auto"/>
              </w:rPr>
            </w:pPr>
          </w:p>
        </w:tc>
        <w:tc>
          <w:tcPr>
            <w:tcW w:w="1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Date Fair Value</w:t>
            </w: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Unvested at the beginning of the year</w:t>
            </w:r>
          </w:p>
        </w:tc>
        <w:tc>
          <w:tcPr>
            <w:tcW w:w="1580" w:type="dxa"/>
            <w:vAlign w:val="bottom"/>
          </w:tcPr>
          <w:p>
            <w:pPr>
              <w:jc w:val="right"/>
              <w:spacing w:after="0"/>
              <w:rPr>
                <w:sz w:val="20"/>
                <w:szCs w:val="20"/>
                <w:color w:val="auto"/>
              </w:rPr>
            </w:pPr>
            <w:r>
              <w:rPr>
                <w:rFonts w:ascii="Arial" w:cs="Arial" w:eastAsia="Arial" w:hAnsi="Arial"/>
                <w:sz w:val="20"/>
                <w:szCs w:val="20"/>
                <w:color w:val="auto"/>
              </w:rPr>
              <w:t>2,298,836</w:t>
            </w:r>
          </w:p>
        </w:tc>
        <w:tc>
          <w:tcPr>
            <w:tcW w:w="400" w:type="dxa"/>
            <w:vAlign w:val="bottom"/>
            <w:gridSpan w:val="2"/>
          </w:tcPr>
          <w:p>
            <w:pPr>
              <w:jc w:val="right"/>
              <w:ind w:right="52"/>
              <w:spacing w:after="0"/>
              <w:rPr>
                <w:sz w:val="20"/>
                <w:szCs w:val="20"/>
                <w:color w:val="auto"/>
              </w:rPr>
            </w:pP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color w:val="auto"/>
              </w:rPr>
              <w:t>13.81</w:t>
            </w:r>
          </w:p>
        </w:tc>
      </w:tr>
      <w:tr>
        <w:trPr>
          <w:trHeight w:val="279"/>
        </w:trPr>
        <w:tc>
          <w:tcPr>
            <w:tcW w:w="6420" w:type="dxa"/>
            <w:vAlign w:val="bottom"/>
          </w:tcPr>
          <w:p>
            <w:pPr>
              <w:ind w:left="240"/>
              <w:spacing w:after="0"/>
              <w:rPr>
                <w:sz w:val="20"/>
                <w:szCs w:val="20"/>
                <w:color w:val="auto"/>
              </w:rPr>
            </w:pPr>
            <w:r>
              <w:rPr>
                <w:rFonts w:ascii="Arial" w:cs="Arial" w:eastAsia="Arial" w:hAnsi="Arial"/>
                <w:sz w:val="20"/>
                <w:szCs w:val="20"/>
                <w:color w:val="auto"/>
              </w:rPr>
              <w:t>Granted</w:t>
            </w:r>
          </w:p>
        </w:tc>
        <w:tc>
          <w:tcPr>
            <w:tcW w:w="1580" w:type="dxa"/>
            <w:vAlign w:val="bottom"/>
          </w:tcPr>
          <w:p>
            <w:pPr>
              <w:jc w:val="right"/>
              <w:spacing w:after="0"/>
              <w:rPr>
                <w:sz w:val="20"/>
                <w:szCs w:val="20"/>
                <w:color w:val="auto"/>
              </w:rPr>
            </w:pPr>
            <w:r>
              <w:rPr>
                <w:rFonts w:ascii="Arial" w:cs="Arial" w:eastAsia="Arial" w:hAnsi="Arial"/>
                <w:sz w:val="20"/>
                <w:szCs w:val="20"/>
                <w:color w:val="auto"/>
              </w:rPr>
              <w:t>1,233,596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14.05</w:t>
            </w:r>
          </w:p>
        </w:tc>
      </w:tr>
      <w:tr>
        <w:trPr>
          <w:trHeight w:val="279"/>
        </w:trPr>
        <w:tc>
          <w:tcPr>
            <w:tcW w:w="6420" w:type="dxa"/>
            <w:vAlign w:val="bottom"/>
          </w:tcPr>
          <w:p>
            <w:pPr>
              <w:ind w:left="240"/>
              <w:spacing w:after="0"/>
              <w:rPr>
                <w:sz w:val="20"/>
                <w:szCs w:val="20"/>
                <w:color w:val="auto"/>
              </w:rPr>
            </w:pPr>
            <w:r>
              <w:rPr>
                <w:rFonts w:ascii="Arial" w:cs="Arial" w:eastAsia="Arial" w:hAnsi="Arial"/>
                <w:sz w:val="20"/>
                <w:szCs w:val="20"/>
                <w:color w:val="auto"/>
              </w:rPr>
              <w:t>Forfeited</w:t>
            </w:r>
          </w:p>
        </w:tc>
        <w:tc>
          <w:tcPr>
            <w:tcW w:w="1580" w:type="dxa"/>
            <w:vAlign w:val="bottom"/>
          </w:tcPr>
          <w:p>
            <w:pPr>
              <w:jc w:val="right"/>
              <w:spacing w:after="0"/>
              <w:rPr>
                <w:sz w:val="20"/>
                <w:szCs w:val="20"/>
                <w:color w:val="auto"/>
              </w:rPr>
            </w:pPr>
            <w:r>
              <w:rPr>
                <w:rFonts w:ascii="Arial" w:cs="Arial" w:eastAsia="Arial" w:hAnsi="Arial"/>
                <w:sz w:val="20"/>
                <w:szCs w:val="20"/>
                <w:color w:val="auto"/>
              </w:rPr>
              <w:t>(190,297)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12.27</w:t>
            </w:r>
          </w:p>
        </w:tc>
      </w:tr>
      <w:tr>
        <w:trPr>
          <w:trHeight w:val="283"/>
        </w:trPr>
        <w:tc>
          <w:tcPr>
            <w:tcW w:w="6420" w:type="dxa"/>
            <w:vAlign w:val="bottom"/>
          </w:tcPr>
          <w:p>
            <w:pPr>
              <w:ind w:left="240"/>
              <w:spacing w:after="0"/>
              <w:rPr>
                <w:sz w:val="20"/>
                <w:szCs w:val="20"/>
                <w:color w:val="auto"/>
              </w:rPr>
            </w:pPr>
            <w:r>
              <w:rPr>
                <w:rFonts w:ascii="Arial" w:cs="Arial" w:eastAsia="Arial" w:hAnsi="Arial"/>
                <w:sz w:val="20"/>
                <w:szCs w:val="20"/>
                <w:color w:val="auto"/>
              </w:rPr>
              <w:t>Vested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(1,063,598)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14.52</w:t>
            </w:r>
          </w:p>
        </w:tc>
      </w:tr>
      <w:tr>
        <w:trPr>
          <w:trHeight w:val="240"/>
        </w:trPr>
        <w:tc>
          <w:tcPr>
            <w:tcW w:w="6420" w:type="dxa"/>
            <w:vAlign w:val="bottom"/>
          </w:tcPr>
          <w:p>
            <w:pPr>
              <w:spacing w:after="0"/>
              <w:rPr>
                <w:sz w:val="20"/>
                <w:szCs w:val="20"/>
                <w:color w:val="auto"/>
              </w:rPr>
            </w:pPr>
            <w:r>
              <w:rPr>
                <w:rFonts w:ascii="Arial" w:cs="Arial" w:eastAsia="Arial" w:hAnsi="Arial"/>
                <w:sz w:val="20"/>
                <w:szCs w:val="20"/>
                <w:b w:val="1"/>
                <w:bCs w:val="1"/>
                <w:color w:val="auto"/>
              </w:rPr>
              <w:t>Unvested at the end of the year</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2,278,537</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0"/>
                <w:szCs w:val="20"/>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13.73</w:t>
            </w:r>
          </w:p>
        </w:tc>
      </w:tr>
      <w:tr>
        <w:trPr>
          <w:trHeight w:val="20"/>
        </w:trPr>
        <w:tc>
          <w:tcPr>
            <w:tcW w:w="6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223" w:lineRule="exact"/>
        <w:rPr>
          <w:sz w:val="20"/>
          <w:szCs w:val="20"/>
          <w:color w:val="auto"/>
        </w:rPr>
      </w:pPr>
    </w:p>
    <w:p>
      <w:pPr>
        <w:jc w:val="both"/>
        <w:ind w:right="500"/>
        <w:spacing w:after="0" w:line="325" w:lineRule="auto"/>
        <w:rPr>
          <w:sz w:val="20"/>
          <w:szCs w:val="20"/>
          <w:color w:val="auto"/>
        </w:rPr>
      </w:pPr>
      <w:r>
        <w:rPr>
          <w:rFonts w:ascii="Arial" w:cs="Arial" w:eastAsia="Arial" w:hAnsi="Arial"/>
          <w:sz w:val="17"/>
          <w:szCs w:val="17"/>
          <w:color w:val="auto"/>
        </w:rPr>
        <w:t>As of December 31, 2024, total unrecognized compensation expense related to RSUs expected to be recognized over the weighted-average period of approximately 1.7 years is $18.7 million. The total fair value of RSUs vested during the years ended December 31, 2024, 2023 and 2022 was $15.4 million, $14.1 million and $5.7 million, respectively.</w:t>
      </w:r>
    </w:p>
    <w:p>
      <w:pPr>
        <w:sectPr>
          <w:pgSz w:w="11880" w:h="15480" w:orient="portrait"/>
          <w:cols w:equalWidth="0" w:num="1">
            <w:col w:w="10040"/>
          </w:cols>
          <w:pgMar w:left="920" w:top="54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10040"/>
          </w:cols>
          <w:pgMar w:left="920" w:top="544" w:right="920" w:bottom="0" w:gutter="0" w:footer="0" w:header="0"/>
          <w:type w:val="continuous"/>
        </w:sectPr>
      </w:pPr>
    </w:p>
    <w:bookmarkStart w:id="108" w:name="page109"/>
    <w:bookmarkEnd w:id="108"/>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16. Earnings (Loss) Per Share</w:t>
      </w:r>
    </w:p>
    <w:p>
      <w:pPr>
        <w:spacing w:after="0" w:line="248" w:lineRule="exact"/>
        <w:rPr>
          <w:sz w:val="20"/>
          <w:szCs w:val="20"/>
          <w:color w:val="auto"/>
        </w:rPr>
      </w:pPr>
    </w:p>
    <w:p>
      <w:pPr>
        <w:ind w:left="7" w:right="40"/>
        <w:spacing w:after="0" w:line="252" w:lineRule="auto"/>
        <w:rPr>
          <w:sz w:val="20"/>
          <w:szCs w:val="20"/>
          <w:color w:val="auto"/>
        </w:rPr>
      </w:pPr>
      <w:r>
        <w:rPr>
          <w:rFonts w:ascii="Arial" w:cs="Arial" w:eastAsia="Arial" w:hAnsi="Arial"/>
          <w:sz w:val="20"/>
          <w:szCs w:val="20"/>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r>
        <w:rPr>
          <w:rFonts w:ascii="Arial" w:cs="Arial" w:eastAsia="Arial" w:hAnsi="Arial"/>
          <w:sz w:val="23"/>
          <w:szCs w:val="23"/>
          <w:color w:val="auto"/>
        </w:rPr>
        <w:t>.</w:t>
      </w:r>
    </w:p>
    <w:p>
      <w:pPr>
        <w:spacing w:after="0" w:line="215" w:lineRule="exact"/>
        <w:rPr>
          <w:sz w:val="20"/>
          <w:szCs w:val="20"/>
          <w:color w:val="auto"/>
        </w:rPr>
      </w:pPr>
    </w:p>
    <w:p>
      <w:pPr>
        <w:ind w:left="7" w:right="80"/>
        <w:spacing w:after="0" w:line="263" w:lineRule="auto"/>
        <w:rPr>
          <w:sz w:val="20"/>
          <w:szCs w:val="20"/>
          <w:color w:val="auto"/>
        </w:rPr>
      </w:pPr>
      <w:r>
        <w:rPr>
          <w:rFonts w:ascii="Arial" w:cs="Arial" w:eastAsia="Arial" w:hAnsi="Arial"/>
          <w:sz w:val="19"/>
          <w:szCs w:val="19"/>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As of March 4, 2024, the performance threshold applicable to all Class B-2 restricted stock awards were fully satisfied, thereby releasing the vesting and forfeiture restrictions on these common shares. Beginning on that date, B-2 restricted stock was not included in the earnings allocation. Diluted earnings per share is computed using the more dilutive of (a) the two-class method, or (b) treasury stock method, as applicable, to the potentially dilutive instruments.</w:t>
      </w:r>
    </w:p>
    <w:p>
      <w:pPr>
        <w:spacing w:after="0" w:line="232" w:lineRule="exact"/>
        <w:rPr>
          <w:sz w:val="20"/>
          <w:szCs w:val="20"/>
          <w:color w:val="auto"/>
        </w:rPr>
      </w:pPr>
    </w:p>
    <w:p>
      <w:pPr>
        <w:ind w:left="7"/>
        <w:spacing w:after="0"/>
        <w:rPr>
          <w:sz w:val="20"/>
          <w:szCs w:val="20"/>
          <w:color w:val="auto"/>
        </w:rPr>
      </w:pPr>
      <w:r>
        <w:rPr>
          <w:rFonts w:ascii="Arial" w:cs="Arial" w:eastAsia="Arial" w:hAnsi="Arial"/>
          <w:sz w:val="20"/>
          <w:szCs w:val="20"/>
          <w:color w:val="auto"/>
        </w:rPr>
        <w:t>Our basic and diluted earnings (loss) per common share are calculated as follows:</w:t>
      </w:r>
    </w:p>
    <w:p>
      <w:pPr>
        <w:spacing w:after="0" w:line="130" w:lineRule="exact"/>
        <w:rPr>
          <w:sz w:val="20"/>
          <w:szCs w:val="20"/>
          <w:color w:val="auto"/>
        </w:rPr>
      </w:pPr>
    </w:p>
    <w:tbl>
      <w:tblPr>
        <w:tblLayout w:type="fixed"/>
        <w:tblInd w:w="47"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1"/>
              </w:rPr>
              <w:t>in thousands of U.S. dollars and share amounts (except per share amounts)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43"/>
              <w:spacing w:after="0" w:line="219" w:lineRule="exact"/>
              <w:rPr>
                <w:sz w:val="20"/>
                <w:szCs w:val="20"/>
                <w:color w:val="auto"/>
              </w:rPr>
            </w:pPr>
            <w:r>
              <w:rPr>
                <w:rFonts w:ascii="Arial" w:cs="Arial" w:eastAsia="Arial" w:hAnsi="Arial"/>
                <w:sz w:val="20"/>
                <w:szCs w:val="20"/>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62"/>
              <w:spacing w:after="0" w:line="219" w:lineRule="exact"/>
              <w:rPr>
                <w:sz w:val="20"/>
                <w:szCs w:val="20"/>
                <w:color w:val="auto"/>
              </w:rPr>
            </w:pPr>
            <w:r>
              <w:rPr>
                <w:rFonts w:ascii="Arial" w:cs="Arial" w:eastAsia="Arial" w:hAnsi="Arial"/>
                <w:sz w:val="20"/>
                <w:szCs w:val="20"/>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42"/>
              <w:spacing w:after="0" w:line="219" w:lineRule="exact"/>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Earnings (loss):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59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5900" w:type="dxa"/>
            <w:vAlign w:val="bottom"/>
            <w:gridSpan w:val="2"/>
          </w:tcPr>
          <w:p>
            <w:pPr>
              <w:ind w:left="180"/>
              <w:spacing w:after="0"/>
              <w:rPr>
                <w:sz w:val="20"/>
                <w:szCs w:val="20"/>
                <w:color w:val="auto"/>
              </w:rPr>
            </w:pPr>
            <w:r>
              <w:rPr>
                <w:rFonts w:ascii="Arial" w:cs="Arial" w:eastAsia="Arial" w:hAnsi="Arial"/>
                <w:sz w:val="20"/>
                <w:szCs w:val="20"/>
                <w:color w:val="auto"/>
              </w:rPr>
              <w:t>Net income (loss)</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44,398</w:t>
            </w:r>
          </w:p>
        </w:tc>
        <w:tc>
          <w:tcPr>
            <w:tcW w:w="42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51,376</w:t>
            </w:r>
          </w:p>
        </w:tc>
        <w:tc>
          <w:tcPr>
            <w:tcW w:w="46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(233,570)</w:t>
            </w:r>
          </w:p>
        </w:tc>
        <w:tc>
          <w:tcPr>
            <w:tcW w:w="0" w:type="dxa"/>
            <w:vAlign w:val="bottom"/>
          </w:tcPr>
          <w:p>
            <w:pPr>
              <w:spacing w:after="0"/>
              <w:rPr>
                <w:sz w:val="1"/>
                <w:szCs w:val="1"/>
                <w:color w:val="auto"/>
              </w:rPr>
            </w:pPr>
          </w:p>
        </w:tc>
      </w:tr>
      <w:tr>
        <w:trPr>
          <w:trHeight w:val="283"/>
        </w:trPr>
        <w:tc>
          <w:tcPr>
            <w:tcW w:w="5900" w:type="dxa"/>
            <w:vAlign w:val="bottom"/>
            <w:gridSpan w:val="2"/>
          </w:tcPr>
          <w:p>
            <w:pPr>
              <w:ind w:left="180"/>
              <w:spacing w:after="0"/>
              <w:rPr>
                <w:sz w:val="20"/>
                <w:szCs w:val="20"/>
                <w:color w:val="auto"/>
              </w:rPr>
            </w:pPr>
            <w:r>
              <w:rPr>
                <w:rFonts w:ascii="Arial" w:cs="Arial" w:eastAsia="Arial" w:hAnsi="Arial"/>
                <w:sz w:val="20"/>
                <w:szCs w:val="20"/>
                <w:color w:val="auto"/>
              </w:rPr>
              <w:t>Less: Allocation to participating securities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7"/>
        </w:trPr>
        <w:tc>
          <w:tcPr>
            <w:tcW w:w="5900" w:type="dxa"/>
            <w:vAlign w:val="bottom"/>
            <w:gridSpan w:val="2"/>
          </w:tcPr>
          <w:p>
            <w:pPr>
              <w:ind w:left="180"/>
              <w:spacing w:after="0" w:line="178" w:lineRule="exact"/>
              <w:rPr>
                <w:sz w:val="20"/>
                <w:szCs w:val="20"/>
                <w:color w:val="auto"/>
              </w:rPr>
            </w:pPr>
            <w:r>
              <w:rPr>
                <w:rFonts w:ascii="Arial" w:cs="Arial" w:eastAsia="Arial" w:hAnsi="Arial"/>
                <w:sz w:val="20"/>
                <w:szCs w:val="20"/>
                <w:color w:val="auto"/>
                <w:w w:val="97"/>
              </w:rPr>
              <w:t>Net income (loss) attributable to Sotera Health Company common</w:t>
            </w:r>
          </w:p>
        </w:tc>
        <w:tc>
          <w:tcPr>
            <w:tcW w:w="300" w:type="dxa"/>
            <w:vAlign w:val="bottom"/>
            <w:vMerge w:val="restart"/>
          </w:tcPr>
          <w:p>
            <w:pPr>
              <w:jc w:val="right"/>
              <w:ind w:right="42"/>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44,339</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51,089</w:t>
            </w: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(233,570)</w:t>
            </w:r>
          </w:p>
        </w:tc>
        <w:tc>
          <w:tcPr>
            <w:tcW w:w="0" w:type="dxa"/>
            <w:vAlign w:val="bottom"/>
          </w:tcPr>
          <w:p>
            <w:pPr>
              <w:spacing w:after="0"/>
              <w:rPr>
                <w:sz w:val="1"/>
                <w:szCs w:val="1"/>
                <w:color w:val="auto"/>
              </w:rPr>
            </w:pPr>
          </w:p>
        </w:tc>
      </w:tr>
      <w:tr>
        <w:trPr>
          <w:trHeight w:val="239"/>
        </w:trPr>
        <w:tc>
          <w:tcPr>
            <w:tcW w:w="5900" w:type="dxa"/>
            <w:vAlign w:val="bottom"/>
            <w:gridSpan w:val="2"/>
          </w:tcPr>
          <w:p>
            <w:pPr>
              <w:ind w:left="540"/>
              <w:spacing w:after="0"/>
              <w:rPr>
                <w:sz w:val="20"/>
                <w:szCs w:val="20"/>
                <w:color w:val="auto"/>
              </w:rPr>
            </w:pPr>
            <w:r>
              <w:rPr>
                <w:rFonts w:ascii="Arial" w:cs="Arial" w:eastAsia="Arial" w:hAnsi="Arial"/>
                <w:sz w:val="20"/>
                <w:szCs w:val="20"/>
                <w:color w:val="auto"/>
              </w:rPr>
              <w:t>stockholders</w:t>
            </w:r>
          </w:p>
        </w:tc>
        <w:tc>
          <w:tcPr>
            <w:tcW w:w="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Weighted Average Common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900" w:type="dxa"/>
            <w:vAlign w:val="bottom"/>
            <w:gridSpan w:val="2"/>
          </w:tcPr>
          <w:p>
            <w:pPr>
              <w:ind w:left="180"/>
              <w:spacing w:after="0"/>
              <w:rPr>
                <w:sz w:val="20"/>
                <w:szCs w:val="20"/>
                <w:color w:val="auto"/>
              </w:rPr>
            </w:pPr>
            <w:r>
              <w:rPr>
                <w:rFonts w:ascii="Arial" w:cs="Arial" w:eastAsia="Arial" w:hAnsi="Arial"/>
                <w:sz w:val="20"/>
                <w:szCs w:val="20"/>
                <w:color w:val="auto"/>
              </w:rPr>
              <w:t>Weighted-average common shares outstanding - basic</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282,784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281,008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280,096</w:t>
            </w:r>
          </w:p>
        </w:tc>
        <w:tc>
          <w:tcPr>
            <w:tcW w:w="0" w:type="dxa"/>
            <w:vAlign w:val="bottom"/>
          </w:tcPr>
          <w:p>
            <w:pPr>
              <w:spacing w:after="0"/>
              <w:rPr>
                <w:sz w:val="1"/>
                <w:szCs w:val="1"/>
                <w:color w:val="auto"/>
              </w:rPr>
            </w:pPr>
          </w:p>
        </w:tc>
      </w:tr>
      <w:tr>
        <w:trPr>
          <w:trHeight w:val="297"/>
        </w:trPr>
        <w:tc>
          <w:tcPr>
            <w:tcW w:w="5900" w:type="dxa"/>
            <w:vAlign w:val="bottom"/>
            <w:gridSpan w:val="2"/>
          </w:tcPr>
          <w:p>
            <w:pPr>
              <w:ind w:left="180"/>
              <w:spacing w:after="0"/>
              <w:rPr>
                <w:sz w:val="20"/>
                <w:szCs w:val="20"/>
                <w:color w:val="auto"/>
              </w:rPr>
            </w:pPr>
            <w:r>
              <w:rPr>
                <w:rFonts w:ascii="Arial" w:cs="Arial" w:eastAsia="Arial" w:hAnsi="Arial"/>
                <w:sz w:val="20"/>
                <w:szCs w:val="20"/>
                <w:color w:val="auto"/>
              </w:rPr>
              <w:t>Dilutive effect of potential common shares</w:t>
            </w:r>
            <w:r>
              <w:rPr>
                <w:rFonts w:ascii="Arial" w:cs="Arial" w:eastAsia="Arial" w:hAnsi="Arial"/>
                <w:sz w:val="25"/>
                <w:szCs w:val="25"/>
                <w:color w:val="auto"/>
                <w:vertAlign w:val="superscript"/>
              </w:rPr>
              <w:t>(a)</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2,122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5900" w:type="dxa"/>
            <w:vAlign w:val="bottom"/>
            <w:gridSpan w:val="2"/>
          </w:tcPr>
          <w:p>
            <w:pPr>
              <w:ind w:left="180"/>
              <w:spacing w:after="0"/>
              <w:rPr>
                <w:sz w:val="20"/>
                <w:szCs w:val="20"/>
                <w:color w:val="auto"/>
              </w:rPr>
            </w:pPr>
            <w:r>
              <w:rPr>
                <w:rFonts w:ascii="Arial" w:cs="Arial" w:eastAsia="Arial" w:hAnsi="Arial"/>
                <w:sz w:val="20"/>
                <w:szCs w:val="20"/>
                <w:color w:val="auto"/>
              </w:rPr>
              <w:t>Weighted-average common shares outstanding - diluted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284,906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283,222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280,096</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Earnings (loss) per Common Share:</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9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00" w:type="dxa"/>
            <w:vAlign w:val="bottom"/>
            <w:gridSpan w:val="2"/>
          </w:tcPr>
          <w:p>
            <w:pPr>
              <w:ind w:left="180"/>
              <w:spacing w:after="0" w:line="225" w:lineRule="exact"/>
              <w:rPr>
                <w:sz w:val="20"/>
                <w:szCs w:val="20"/>
                <w:color w:val="auto"/>
              </w:rPr>
            </w:pPr>
            <w:r>
              <w:rPr>
                <w:rFonts w:ascii="Arial" w:cs="Arial" w:eastAsia="Arial" w:hAnsi="Arial"/>
                <w:sz w:val="20"/>
                <w:szCs w:val="20"/>
                <w:color w:val="auto"/>
                <w:w w:val="97"/>
              </w:rPr>
              <w:t>Net income (loss) per common share attributable to Sotera Health</w:t>
            </w:r>
          </w:p>
        </w:tc>
        <w:tc>
          <w:tcPr>
            <w:tcW w:w="300" w:type="dxa"/>
            <w:vAlign w:val="bottom"/>
            <w:vMerge w:val="restart"/>
          </w:tcPr>
          <w:p>
            <w:pPr>
              <w:jc w:val="right"/>
              <w:ind w:right="42"/>
              <w:spacing w:after="0"/>
              <w:rPr>
                <w:sz w:val="20"/>
                <w:szCs w:val="20"/>
                <w:color w:val="auto"/>
              </w:rPr>
            </w:pPr>
            <w:r>
              <w:rPr>
                <w:rFonts w:ascii="Arial" w:cs="Arial" w:eastAsia="Arial" w:hAnsi="Arial"/>
                <w:sz w:val="20"/>
                <w:szCs w:val="20"/>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0.16</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0.18</w:t>
            </w: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(0.83)</w:t>
            </w:r>
          </w:p>
        </w:tc>
        <w:tc>
          <w:tcPr>
            <w:tcW w:w="0" w:type="dxa"/>
            <w:vAlign w:val="bottom"/>
          </w:tcPr>
          <w:p>
            <w:pPr>
              <w:spacing w:after="0"/>
              <w:rPr>
                <w:sz w:val="1"/>
                <w:szCs w:val="1"/>
                <w:color w:val="auto"/>
              </w:rPr>
            </w:pPr>
          </w:p>
        </w:tc>
      </w:tr>
      <w:tr>
        <w:trPr>
          <w:trHeight w:val="255"/>
        </w:trPr>
        <w:tc>
          <w:tcPr>
            <w:tcW w:w="5900" w:type="dxa"/>
            <w:vAlign w:val="bottom"/>
            <w:gridSpan w:val="2"/>
          </w:tcPr>
          <w:p>
            <w:pPr>
              <w:ind w:left="540"/>
              <w:spacing w:after="0"/>
              <w:rPr>
                <w:sz w:val="20"/>
                <w:szCs w:val="20"/>
                <w:color w:val="auto"/>
              </w:rPr>
            </w:pPr>
            <w:r>
              <w:rPr>
                <w:rFonts w:ascii="Arial" w:cs="Arial" w:eastAsia="Arial" w:hAnsi="Arial"/>
                <w:sz w:val="20"/>
                <w:szCs w:val="20"/>
                <w:color w:val="auto"/>
              </w:rPr>
              <w:t>Company common stockholders - basic</w:t>
            </w:r>
          </w:p>
        </w:tc>
        <w:tc>
          <w:tcPr>
            <w:tcW w:w="30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900" w:type="dxa"/>
            <w:vAlign w:val="bottom"/>
            <w:gridSpan w:val="2"/>
          </w:tcPr>
          <w:p>
            <w:pPr>
              <w:ind w:left="180"/>
              <w:spacing w:after="0" w:line="201" w:lineRule="exact"/>
              <w:rPr>
                <w:sz w:val="20"/>
                <w:szCs w:val="20"/>
                <w:color w:val="auto"/>
              </w:rPr>
            </w:pPr>
            <w:r>
              <w:rPr>
                <w:rFonts w:ascii="Arial" w:cs="Arial" w:eastAsia="Arial" w:hAnsi="Arial"/>
                <w:sz w:val="20"/>
                <w:szCs w:val="20"/>
                <w:color w:val="auto"/>
                <w:w w:val="97"/>
              </w:rPr>
              <w:t>Net income (loss) per common share attributable to Sotera Health</w:t>
            </w: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0.16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(0.83)</w:t>
            </w:r>
          </w:p>
        </w:tc>
        <w:tc>
          <w:tcPr>
            <w:tcW w:w="0" w:type="dxa"/>
            <w:vAlign w:val="bottom"/>
          </w:tcPr>
          <w:p>
            <w:pPr>
              <w:spacing w:after="0"/>
              <w:rPr>
                <w:sz w:val="1"/>
                <w:szCs w:val="1"/>
                <w:color w:val="auto"/>
              </w:rPr>
            </w:pPr>
          </w:p>
        </w:tc>
      </w:tr>
      <w:tr>
        <w:trPr>
          <w:trHeight w:val="255"/>
        </w:trPr>
        <w:tc>
          <w:tcPr>
            <w:tcW w:w="5900" w:type="dxa"/>
            <w:vAlign w:val="bottom"/>
            <w:gridSpan w:val="2"/>
          </w:tcPr>
          <w:p>
            <w:pPr>
              <w:ind w:left="540"/>
              <w:spacing w:after="0"/>
              <w:rPr>
                <w:sz w:val="20"/>
                <w:szCs w:val="20"/>
                <w:color w:val="auto"/>
              </w:rPr>
            </w:pPr>
            <w:r>
              <w:rPr>
                <w:rFonts w:ascii="Arial" w:cs="Arial" w:eastAsia="Arial" w:hAnsi="Arial"/>
                <w:sz w:val="20"/>
                <w:szCs w:val="20"/>
                <w:color w:val="auto"/>
              </w:rPr>
              <w:t>Company common stockholders - diluted</w:t>
            </w: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-2467610</wp:posOffset>
            </wp:positionV>
            <wp:extent cx="6410325" cy="2489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extLst>
                        <a:ext uri="{28A0092B-C50C-407E-A947-70E740481C1C}"/>
                      </a:extLst>
                    </a:blip>
                    <a:srcRect/>
                    <a:stretch>
                      <a:fillRect/>
                    </a:stretch>
                  </pic:blipFill>
                  <pic:spPr bwMode="auto">
                    <a:xfrm>
                      <a:off x="0" y="0"/>
                      <a:ext cx="6410325" cy="2489835"/>
                    </a:xfrm>
                    <a:prstGeom prst="rect">
                      <a:avLst/>
                    </a:prstGeom>
                    <a:noFill/>
                  </pic:spPr>
                </pic:pic>
              </a:graphicData>
            </a:graphic>
          </wp:anchor>
        </w:drawing>
      </w:r>
    </w:p>
    <w:p>
      <w:pPr>
        <w:spacing w:after="0" w:line="154" w:lineRule="exact"/>
        <w:rPr>
          <w:sz w:val="20"/>
          <w:szCs w:val="20"/>
          <w:color w:val="auto"/>
        </w:rPr>
      </w:pPr>
    </w:p>
    <w:p>
      <w:pPr>
        <w:jc w:val="both"/>
        <w:ind w:left="347" w:right="140" w:hanging="347"/>
        <w:spacing w:after="0" w:line="258" w:lineRule="auto"/>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the Company reported a net loss for the year ended December 31, 2022, the calculation of diluted weighted average common shares outstanding is not applicable for the year ended December 31, 2022 because the effect of including the potential common shares would be anti-dilutive.</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17"/>
          <w:szCs w:val="17"/>
          <w:color w:val="auto"/>
        </w:rPr>
        <w:t>Diluted earnings per shares does not consider the following potential common shares as the effect would be anti-dilutive:</w:t>
      </w:r>
    </w:p>
    <w:p>
      <w:pPr>
        <w:spacing w:after="0" w:line="251" w:lineRule="exact"/>
        <w:rPr>
          <w:sz w:val="20"/>
          <w:szCs w:val="20"/>
          <w:color w:val="auto"/>
        </w:rPr>
      </w:pPr>
    </w:p>
    <w:p>
      <w:pPr>
        <w:ind w:left="7067"/>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3817620</wp:posOffset>
                </wp:positionH>
                <wp:positionV relativeFrom="paragraph">
                  <wp:posOffset>24765</wp:posOffset>
                </wp:positionV>
                <wp:extent cx="256667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66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6pt,1.95pt" to="502.7pt,1.95pt" o:allowincell="f" strokecolor="#000000" strokeweight="1pt"/>
            </w:pict>
          </mc:Fallback>
        </mc:AlternateContent>
      </w:r>
    </w:p>
    <w:p>
      <w:pPr>
        <w:spacing w:after="0" w:line="19" w:lineRule="exact"/>
        <w:rPr>
          <w:sz w:val="20"/>
          <w:szCs w:val="20"/>
          <w:color w:val="auto"/>
        </w:rPr>
      </w:pPr>
    </w:p>
    <w:tbl>
      <w:tblPr>
        <w:tblLayout w:type="fixed"/>
        <w:tblInd w:w="47"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share amounts</w:t>
            </w:r>
          </w:p>
        </w:tc>
        <w:tc>
          <w:tcPr>
            <w:tcW w:w="1280" w:type="dxa"/>
            <w:vAlign w:val="bottom"/>
          </w:tcPr>
          <w:p>
            <w:pPr>
              <w:jc w:val="right"/>
              <w:ind w:right="342"/>
              <w:spacing w:after="0"/>
              <w:rPr>
                <w:sz w:val="20"/>
                <w:szCs w:val="20"/>
                <w:color w:val="auto"/>
              </w:rPr>
            </w:pPr>
            <w:r>
              <w:rPr>
                <w:rFonts w:ascii="Arial" w:cs="Arial" w:eastAsia="Arial" w:hAnsi="Arial"/>
                <w:sz w:val="20"/>
                <w:szCs w:val="20"/>
                <w:b w:val="1"/>
                <w:bCs w:val="1"/>
                <w:color w:val="auto"/>
              </w:rPr>
              <w:t>2024</w:t>
            </w:r>
          </w:p>
        </w:tc>
        <w:tc>
          <w:tcPr>
            <w:tcW w:w="1380" w:type="dxa"/>
            <w:vAlign w:val="bottom"/>
            <w:gridSpan w:val="2"/>
          </w:tcPr>
          <w:p>
            <w:pPr>
              <w:jc w:val="right"/>
              <w:ind w:right="342"/>
              <w:spacing w:after="0"/>
              <w:rPr>
                <w:sz w:val="20"/>
                <w:szCs w:val="20"/>
                <w:color w:val="auto"/>
              </w:rPr>
            </w:pPr>
            <w:r>
              <w:rPr>
                <w:rFonts w:ascii="Arial" w:cs="Arial" w:eastAsia="Arial" w:hAnsi="Arial"/>
                <w:sz w:val="20"/>
                <w:szCs w:val="20"/>
                <w:b w:val="1"/>
                <w:bCs w:val="1"/>
                <w:color w:val="auto"/>
              </w:rPr>
              <w:t>2023</w:t>
            </w:r>
          </w:p>
        </w:tc>
        <w:tc>
          <w:tcPr>
            <w:tcW w:w="1380" w:type="dxa"/>
            <w:vAlign w:val="bottom"/>
            <w:gridSpan w:val="2"/>
          </w:tcPr>
          <w:p>
            <w:pPr>
              <w:jc w:val="right"/>
              <w:ind w:right="342"/>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RSUs</w:t>
            </w:r>
          </w:p>
        </w:tc>
        <w:tc>
          <w:tcPr>
            <w:tcW w:w="404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920" w:type="dxa"/>
            <w:vAlign w:val="bottom"/>
            <w:vMerge w:val="continue"/>
          </w:tcPr>
          <w:p>
            <w:pPr>
              <w:spacing w:after="0"/>
              <w:rPr>
                <w:sz w:val="22"/>
                <w:szCs w:val="22"/>
                <w:color w:val="auto"/>
              </w:rPr>
            </w:pPr>
          </w:p>
        </w:tc>
        <w:tc>
          <w:tcPr>
            <w:tcW w:w="4040" w:type="dxa"/>
            <w:vAlign w:val="bottom"/>
            <w:vMerge w:val="continue"/>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34</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291</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2,467</w:t>
            </w:r>
          </w:p>
        </w:tc>
        <w:tc>
          <w:tcPr>
            <w:tcW w:w="0" w:type="dxa"/>
            <w:vAlign w:val="bottom"/>
          </w:tcPr>
          <w:p>
            <w:pPr>
              <w:spacing w:after="0"/>
              <w:rPr>
                <w:sz w:val="1"/>
                <w:szCs w:val="1"/>
                <w:color w:val="auto"/>
              </w:rPr>
            </w:pPr>
          </w:p>
        </w:tc>
      </w:tr>
      <w:tr>
        <w:trPr>
          <w:trHeight w:val="280"/>
        </w:trPr>
        <w:tc>
          <w:tcPr>
            <w:tcW w:w="5960" w:type="dxa"/>
            <w:vAlign w:val="bottom"/>
            <w:gridSpan w:val="2"/>
          </w:tcPr>
          <w:p>
            <w:pPr>
              <w:spacing w:after="0"/>
              <w:rPr>
                <w:sz w:val="20"/>
                <w:szCs w:val="20"/>
                <w:color w:val="auto"/>
              </w:rPr>
            </w:pPr>
            <w:r>
              <w:rPr>
                <w:rFonts w:ascii="Arial" w:cs="Arial" w:eastAsia="Arial" w:hAnsi="Arial"/>
                <w:sz w:val="20"/>
                <w:szCs w:val="20"/>
                <w:color w:val="auto"/>
              </w:rPr>
              <w:t>Stock options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5,469</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4,108</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5,990</w:t>
            </w:r>
          </w:p>
        </w:tc>
        <w:tc>
          <w:tcPr>
            <w:tcW w:w="0" w:type="dxa"/>
            <w:vAlign w:val="bottom"/>
          </w:tcPr>
          <w:p>
            <w:pPr>
              <w:spacing w:after="0"/>
              <w:rPr>
                <w:sz w:val="1"/>
                <w:szCs w:val="1"/>
                <w:color w:val="auto"/>
              </w:rPr>
            </w:pPr>
          </w:p>
        </w:tc>
      </w:tr>
      <w:tr>
        <w:trPr>
          <w:trHeight w:val="240"/>
        </w:trPr>
        <w:tc>
          <w:tcPr>
            <w:tcW w:w="5960" w:type="dxa"/>
            <w:vAlign w:val="bottom"/>
            <w:gridSpan w:val="2"/>
          </w:tcPr>
          <w:p>
            <w:pPr>
              <w:spacing w:after="0"/>
              <w:rPr>
                <w:sz w:val="20"/>
                <w:szCs w:val="20"/>
                <w:color w:val="auto"/>
              </w:rPr>
            </w:pPr>
            <w:r>
              <w:rPr>
                <w:rFonts w:ascii="Arial" w:cs="Arial" w:eastAsia="Arial" w:hAnsi="Arial"/>
                <w:sz w:val="20"/>
                <w:szCs w:val="20"/>
                <w:b w:val="1"/>
                <w:bCs w:val="1"/>
                <w:color w:val="auto"/>
              </w:rPr>
              <w:t>Total anti-dilutive securities</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5,503</w:t>
            </w:r>
          </w:p>
        </w:tc>
        <w:tc>
          <w:tcPr>
            <w:tcW w:w="10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4,399</w:t>
            </w:r>
          </w:p>
        </w:tc>
        <w:tc>
          <w:tcPr>
            <w:tcW w:w="10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8,457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-563245</wp:posOffset>
            </wp:positionV>
            <wp:extent cx="6410325" cy="5702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10047"/>
          </w:cols>
          <w:pgMar w:left="913" w:top="544" w:right="920" w:bottom="0" w:gutter="0" w:footer="0" w:header="0"/>
          <w:type w:val="continuous"/>
        </w:sectPr>
      </w:pPr>
    </w:p>
    <w:bookmarkStart w:id="109" w:name="page110"/>
    <w:bookmarkEnd w:id="109"/>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17. Leases</w:t>
      </w:r>
    </w:p>
    <w:p>
      <w:pPr>
        <w:spacing w:after="0" w:line="130" w:lineRule="exact"/>
        <w:rPr>
          <w:sz w:val="20"/>
          <w:szCs w:val="20"/>
          <w:color w:val="auto"/>
        </w:rPr>
      </w:pPr>
    </w:p>
    <w:p>
      <w:pPr>
        <w:ind w:left="7" w:right="440"/>
        <w:spacing w:after="0" w:line="258" w:lineRule="auto"/>
        <w:rPr>
          <w:sz w:val="20"/>
          <w:szCs w:val="20"/>
          <w:color w:val="auto"/>
        </w:rPr>
      </w:pPr>
      <w:r>
        <w:rPr>
          <w:rFonts w:ascii="Arial" w:cs="Arial" w:eastAsia="Arial" w:hAnsi="Arial"/>
          <w:sz w:val="20"/>
          <w:szCs w:val="20"/>
          <w:color w:val="auto"/>
        </w:rPr>
        <w:t>We lease certain facilities and equipment under various non-cancelable leases. Most of our real property leases provide for renewal periods and rent escalations and stipulate that we pay taxes, maintenance, and certain other operating expenses applicable to the leased premises.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components of lease expense were as follows:</w:t>
      </w:r>
    </w:p>
    <w:p>
      <w:pPr>
        <w:spacing w:after="0" w:line="187" w:lineRule="exact"/>
        <w:rPr>
          <w:sz w:val="20"/>
          <w:szCs w:val="20"/>
          <w:color w:val="auto"/>
        </w:rPr>
      </w:pPr>
    </w:p>
    <w:tbl>
      <w:tblPr>
        <w:tblLayout w:type="fixed"/>
        <w:tblInd w:w="47"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43"/>
              <w:spacing w:after="0" w:line="219" w:lineRule="exact"/>
              <w:rPr>
                <w:sz w:val="20"/>
                <w:szCs w:val="20"/>
                <w:color w:val="auto"/>
              </w:rPr>
            </w:pPr>
            <w:r>
              <w:rPr>
                <w:rFonts w:ascii="Arial" w:cs="Arial" w:eastAsia="Arial" w:hAnsi="Arial"/>
                <w:sz w:val="20"/>
                <w:szCs w:val="20"/>
                <w:b w:val="1"/>
                <w:bCs w:val="1"/>
                <w:color w:val="auto"/>
              </w:rPr>
              <w:t>2024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42"/>
              <w:spacing w:after="0" w:line="219" w:lineRule="exact"/>
              <w:rPr>
                <w:sz w:val="20"/>
                <w:szCs w:val="20"/>
                <w:color w:val="auto"/>
              </w:rPr>
            </w:pPr>
            <w:r>
              <w:rPr>
                <w:rFonts w:ascii="Arial" w:cs="Arial" w:eastAsia="Arial" w:hAnsi="Arial"/>
                <w:sz w:val="20"/>
                <w:szCs w:val="20"/>
                <w:b w:val="1"/>
                <w:bCs w:val="1"/>
                <w:color w:val="auto"/>
              </w:rPr>
              <w:t>2023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02"/>
              <w:spacing w:after="0" w:line="219" w:lineRule="exact"/>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 xml:space="preserve">Operating lease costs </w:t>
            </w:r>
            <w:r>
              <w:rPr>
                <w:rFonts w:ascii="Arial" w:cs="Arial" w:eastAsia="Arial" w:hAnsi="Arial"/>
                <w:sz w:val="10"/>
                <w:szCs w:val="10"/>
                <w:b w:val="1"/>
                <w:bCs w:val="1"/>
                <w:i w:val="1"/>
                <w:iCs w:val="1"/>
                <w:color w:val="auto"/>
              </w:rPr>
              <w:t>(a)</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5440" w:type="dxa"/>
            <w:vAlign w:val="bottom"/>
            <w:gridSpan w:val="2"/>
            <w:vMerge w:val="continue"/>
          </w:tcPr>
          <w:p>
            <w:pPr>
              <w:spacing w:after="0"/>
              <w:rPr>
                <w:sz w:val="21"/>
                <w:szCs w:val="21"/>
                <w:color w:val="auto"/>
              </w:rPr>
            </w:pPr>
          </w:p>
        </w:tc>
        <w:tc>
          <w:tcPr>
            <w:tcW w:w="34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13,267</w:t>
            </w:r>
          </w:p>
        </w:tc>
        <w:tc>
          <w:tcPr>
            <w:tcW w:w="4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13,920</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15,122</w:t>
            </w:r>
          </w:p>
        </w:tc>
        <w:tc>
          <w:tcPr>
            <w:tcW w:w="0" w:type="dxa"/>
            <w:vAlign w:val="bottom"/>
          </w:tcPr>
          <w:p>
            <w:pPr>
              <w:spacing w:after="0"/>
              <w:rPr>
                <w:sz w:val="1"/>
                <w:szCs w:val="1"/>
                <w:color w:val="auto"/>
              </w:rPr>
            </w:pPr>
          </w:p>
        </w:tc>
      </w:tr>
      <w:tr>
        <w:trPr>
          <w:trHeight w:val="259"/>
        </w:trPr>
        <w:tc>
          <w:tcPr>
            <w:tcW w:w="5440" w:type="dxa"/>
            <w:vAlign w:val="bottom"/>
            <w:gridSpan w:val="2"/>
          </w:tcPr>
          <w:p>
            <w:pPr>
              <w:spacing w:after="0"/>
              <w:rPr>
                <w:sz w:val="20"/>
                <w:szCs w:val="20"/>
                <w:color w:val="auto"/>
              </w:rPr>
            </w:pPr>
            <w:r>
              <w:rPr>
                <w:rFonts w:ascii="Arial" w:cs="Arial" w:eastAsia="Arial" w:hAnsi="Arial"/>
                <w:sz w:val="20"/>
                <w:szCs w:val="20"/>
                <w:b w:val="1"/>
                <w:bCs w:val="1"/>
                <w:color w:val="auto"/>
              </w:rPr>
              <w:t>Finance lease costs: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440" w:type="dxa"/>
            <w:vAlign w:val="bottom"/>
            <w:gridSpan w:val="2"/>
          </w:tcPr>
          <w:p>
            <w:pPr>
              <w:ind w:left="480"/>
              <w:spacing w:after="0"/>
              <w:rPr>
                <w:sz w:val="20"/>
                <w:szCs w:val="20"/>
                <w:color w:val="auto"/>
              </w:rPr>
            </w:pPr>
            <w:r>
              <w:rPr>
                <w:rFonts w:ascii="Arial" w:cs="Arial" w:eastAsia="Arial" w:hAnsi="Arial"/>
                <w:sz w:val="20"/>
                <w:szCs w:val="20"/>
                <w:color w:val="auto"/>
              </w:rPr>
              <w:t>Amortization of right of use assets</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8,438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8,152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6,368</w:t>
            </w:r>
          </w:p>
        </w:tc>
        <w:tc>
          <w:tcPr>
            <w:tcW w:w="0" w:type="dxa"/>
            <w:vAlign w:val="bottom"/>
          </w:tcPr>
          <w:p>
            <w:pPr>
              <w:spacing w:after="0"/>
              <w:rPr>
                <w:sz w:val="1"/>
                <w:szCs w:val="1"/>
                <w:color w:val="auto"/>
              </w:rPr>
            </w:pPr>
          </w:p>
        </w:tc>
      </w:tr>
      <w:tr>
        <w:trPr>
          <w:trHeight w:val="283"/>
        </w:trPr>
        <w:tc>
          <w:tcPr>
            <w:tcW w:w="5440" w:type="dxa"/>
            <w:vAlign w:val="bottom"/>
            <w:gridSpan w:val="2"/>
          </w:tcPr>
          <w:p>
            <w:pPr>
              <w:ind w:left="480"/>
              <w:spacing w:after="0"/>
              <w:rPr>
                <w:sz w:val="20"/>
                <w:szCs w:val="20"/>
                <w:color w:val="auto"/>
              </w:rPr>
            </w:pPr>
            <w:r>
              <w:rPr>
                <w:rFonts w:ascii="Arial" w:cs="Arial" w:eastAsia="Arial" w:hAnsi="Arial"/>
                <w:sz w:val="20"/>
                <w:szCs w:val="20"/>
                <w:color w:val="auto"/>
              </w:rPr>
              <w:t>Interest on lease liabilities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6,064</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3,454</w:t>
            </w:r>
          </w:p>
        </w:tc>
        <w:tc>
          <w:tcPr>
            <w:tcW w:w="0" w:type="dxa"/>
            <w:vAlign w:val="bottom"/>
          </w:tcPr>
          <w:p>
            <w:pPr>
              <w:spacing w:after="0"/>
              <w:rPr>
                <w:sz w:val="1"/>
                <w:szCs w:val="1"/>
                <w:color w:val="auto"/>
              </w:rPr>
            </w:pPr>
          </w:p>
        </w:tc>
      </w:tr>
      <w:tr>
        <w:trPr>
          <w:trHeight w:val="259"/>
        </w:trPr>
        <w:tc>
          <w:tcPr>
            <w:tcW w:w="5440" w:type="dxa"/>
            <w:vAlign w:val="bottom"/>
            <w:gridSpan w:val="2"/>
          </w:tcPr>
          <w:p>
            <w:pPr>
              <w:ind w:left="940"/>
              <w:spacing w:after="0"/>
              <w:rPr>
                <w:sz w:val="20"/>
                <w:szCs w:val="20"/>
                <w:color w:val="auto"/>
              </w:rPr>
            </w:pPr>
            <w:r>
              <w:rPr>
                <w:rFonts w:ascii="Arial" w:cs="Arial" w:eastAsia="Arial" w:hAnsi="Arial"/>
                <w:sz w:val="20"/>
                <w:szCs w:val="20"/>
                <w:b w:val="1"/>
                <w:bCs w:val="1"/>
                <w:color w:val="auto"/>
              </w:rPr>
              <w:t>Total finance lease costs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14,502</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12,546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9,822</w:t>
            </w:r>
          </w:p>
        </w:tc>
        <w:tc>
          <w:tcPr>
            <w:tcW w:w="0" w:type="dxa"/>
            <w:vAlign w:val="bottom"/>
          </w:tcPr>
          <w:p>
            <w:pPr>
              <w:spacing w:after="0"/>
              <w:rPr>
                <w:sz w:val="1"/>
                <w:szCs w:val="1"/>
                <w:color w:val="auto"/>
              </w:rPr>
            </w:pPr>
          </w:p>
        </w:tc>
      </w:tr>
      <w:tr>
        <w:trPr>
          <w:trHeight w:val="240"/>
        </w:trPr>
        <w:tc>
          <w:tcPr>
            <w:tcW w:w="5440" w:type="dxa"/>
            <w:vAlign w:val="bottom"/>
            <w:gridSpan w:val="2"/>
          </w:tcPr>
          <w:p>
            <w:pPr>
              <w:spacing w:after="0"/>
              <w:rPr>
                <w:sz w:val="20"/>
                <w:szCs w:val="20"/>
                <w:color w:val="auto"/>
              </w:rPr>
            </w:pPr>
            <w:r>
              <w:rPr>
                <w:rFonts w:ascii="Arial" w:cs="Arial" w:eastAsia="Arial" w:hAnsi="Arial"/>
                <w:sz w:val="20"/>
                <w:szCs w:val="20"/>
                <w:b w:val="1"/>
                <w:bCs w:val="1"/>
                <w:color w:val="auto"/>
              </w:rPr>
              <w:t>Total lease costs</w:t>
            </w:r>
          </w:p>
        </w:tc>
        <w:tc>
          <w:tcPr>
            <w:tcW w:w="340" w:type="dxa"/>
            <w:vAlign w:val="bottom"/>
          </w:tcPr>
          <w:p>
            <w:pPr>
              <w:jc w:val="right"/>
              <w:ind w:right="102"/>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27,769</w:t>
            </w:r>
          </w:p>
        </w:tc>
        <w:tc>
          <w:tcPr>
            <w:tcW w:w="48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26,466</w:t>
            </w:r>
          </w:p>
        </w:tc>
        <w:tc>
          <w:tcPr>
            <w:tcW w:w="44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24,944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-1272540</wp:posOffset>
            </wp:positionV>
            <wp:extent cx="6410325" cy="127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115" w:lineRule="exact"/>
        <w:rPr>
          <w:sz w:val="20"/>
          <w:szCs w:val="20"/>
          <w:color w:val="auto"/>
        </w:rPr>
      </w:pPr>
    </w:p>
    <w:p>
      <w:pPr>
        <w:ind w:left="527" w:right="600" w:hanging="527"/>
        <w:spacing w:after="0" w:line="271" w:lineRule="auto"/>
        <w:tabs>
          <w:tab w:leader="none" w:pos="527"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$1.5 million, $1.4 million, and $1.3 million of short-term lease costs in the years ended December 31, 2024, 2023, and 2022, respectively.</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20"/>
          <w:szCs w:val="20"/>
          <w:color w:val="auto"/>
        </w:rPr>
        <w:t>Lease terms and discount rates were as follows:</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1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Weighted average remaining lease term:</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140"/>
              <w:spacing w:after="0"/>
              <w:rPr>
                <w:sz w:val="20"/>
                <w:szCs w:val="20"/>
                <w:color w:val="auto"/>
              </w:rPr>
            </w:pPr>
            <w:r>
              <w:rPr>
                <w:rFonts w:ascii="Arial" w:cs="Arial" w:eastAsia="Arial" w:hAnsi="Arial"/>
                <w:sz w:val="20"/>
                <w:szCs w:val="20"/>
                <w:b w:val="1"/>
                <w:bCs w:val="1"/>
                <w:color w:val="auto"/>
              </w:rPr>
              <w:t>2024</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w w:val="85"/>
              </w:rPr>
              <w:t>2023</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Operating leases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20"/>
                <w:szCs w:val="20"/>
                <w:b w:val="1"/>
                <w:bCs w:val="1"/>
                <w:color w:val="auto"/>
                <w:w w:val="84"/>
              </w:rPr>
              <w:t>7.3 years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5.7 years</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Finance leases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20"/>
                <w:szCs w:val="20"/>
                <w:b w:val="1"/>
                <w:bCs w:val="1"/>
                <w:color w:val="auto"/>
                <w:w w:val="92"/>
              </w:rPr>
              <w:t>15.2 years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14.0 years</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6180" w:type="dxa"/>
            <w:vAlign w:val="bottom"/>
            <w:gridSpan w:val="2"/>
          </w:tcPr>
          <w:p>
            <w:pPr>
              <w:spacing w:after="0"/>
              <w:rPr>
                <w:sz w:val="20"/>
                <w:szCs w:val="20"/>
                <w:color w:val="auto"/>
              </w:rPr>
            </w:pPr>
            <w:r>
              <w:rPr>
                <w:rFonts w:ascii="Arial" w:cs="Arial" w:eastAsia="Arial" w:hAnsi="Arial"/>
                <w:sz w:val="20"/>
                <w:szCs w:val="20"/>
                <w:b w:val="1"/>
                <w:bCs w:val="1"/>
                <w:color w:val="auto"/>
              </w:rPr>
              <w:t>Weighted average discount rate:</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Operating leases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6.57 %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center"/>
              <w:ind w:left="222"/>
              <w:spacing w:after="0"/>
              <w:rPr>
                <w:sz w:val="20"/>
                <w:szCs w:val="20"/>
                <w:color w:val="auto"/>
              </w:rPr>
            </w:pPr>
            <w:r>
              <w:rPr>
                <w:rFonts w:ascii="Arial" w:cs="Arial" w:eastAsia="Arial" w:hAnsi="Arial"/>
                <w:sz w:val="20"/>
                <w:szCs w:val="20"/>
                <w:color w:val="auto"/>
                <w:w w:val="93"/>
              </w:rPr>
              <w:t>5.92 %</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Finance leases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auto"/>
              </w:rPr>
              <w:t>6.55 %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center"/>
              <w:ind w:left="222"/>
              <w:spacing w:after="0"/>
              <w:rPr>
                <w:sz w:val="20"/>
                <w:szCs w:val="20"/>
                <w:color w:val="auto"/>
              </w:rPr>
            </w:pPr>
            <w:r>
              <w:rPr>
                <w:rFonts w:ascii="Arial" w:cs="Arial" w:eastAsia="Arial" w:hAnsi="Arial"/>
                <w:sz w:val="20"/>
                <w:szCs w:val="20"/>
                <w:color w:val="auto"/>
                <w:w w:val="93"/>
              </w:rPr>
              <w:t>5.76 %</w:t>
            </w:r>
          </w:p>
        </w:tc>
        <w:tc>
          <w:tcPr>
            <w:tcW w:w="0" w:type="dxa"/>
            <w:vAlign w:val="bottom"/>
          </w:tcPr>
          <w:p>
            <w:pPr>
              <w:spacing w:after="0"/>
              <w:rPr>
                <w:sz w:val="1"/>
                <w:szCs w:val="1"/>
                <w:color w:val="auto"/>
              </w:rPr>
            </w:pPr>
          </w:p>
        </w:tc>
      </w:tr>
      <w:tr>
        <w:trPr>
          <w:trHeight w:val="541"/>
        </w:trPr>
        <w:tc>
          <w:tcPr>
            <w:tcW w:w="6220" w:type="dxa"/>
            <w:vAlign w:val="bottom"/>
            <w:gridSpan w:val="3"/>
          </w:tcPr>
          <w:p>
            <w:pPr>
              <w:spacing w:after="0"/>
              <w:rPr>
                <w:sz w:val="20"/>
                <w:szCs w:val="20"/>
                <w:color w:val="auto"/>
              </w:rPr>
            </w:pPr>
            <w:r>
              <w:rPr>
                <w:rFonts w:ascii="Arial" w:cs="Arial" w:eastAsia="Arial" w:hAnsi="Arial"/>
                <w:sz w:val="20"/>
                <w:szCs w:val="20"/>
                <w:color w:val="auto"/>
              </w:rPr>
              <w:t>Supplemental cash flow information related to leases was as follows: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4"/>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2024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62"/>
              <w:spacing w:after="0" w:line="219" w:lineRule="exact"/>
              <w:rPr>
                <w:sz w:val="20"/>
                <w:szCs w:val="20"/>
                <w:color w:val="auto"/>
              </w:rPr>
            </w:pPr>
            <w:r>
              <w:rPr>
                <w:rFonts w:ascii="Arial" w:cs="Arial" w:eastAsia="Arial" w:hAnsi="Arial"/>
                <w:sz w:val="20"/>
                <w:szCs w:val="20"/>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02"/>
              <w:spacing w:after="0" w:line="219" w:lineRule="exact"/>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gridSpan w:val="2"/>
            <w:vMerge w:val="restart"/>
          </w:tcPr>
          <w:p>
            <w:pPr>
              <w:spacing w:after="0"/>
              <w:rPr>
                <w:sz w:val="20"/>
                <w:szCs w:val="20"/>
                <w:color w:val="auto"/>
              </w:rPr>
            </w:pPr>
            <w:r>
              <w:rPr>
                <w:rFonts w:ascii="Arial" w:cs="Arial" w:eastAsia="Arial" w:hAnsi="Arial"/>
                <w:sz w:val="20"/>
                <w:szCs w:val="20"/>
                <w:b w:val="1"/>
                <w:bCs w:val="1"/>
                <w:color w:val="auto"/>
                <w:w w:val="91"/>
              </w:rPr>
              <w:t>Cash paid for amounts included in the measurement of lease liabilities:</w:t>
            </w: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1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Operating cash flows for operating leases</w:t>
            </w: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7,382</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1040" w:type="dxa"/>
            <w:vAlign w:val="bottom"/>
            <w:gridSpan w:val="3"/>
          </w:tcPr>
          <w:p>
            <w:pPr>
              <w:jc w:val="right"/>
              <w:ind w:right="80"/>
              <w:spacing w:after="0"/>
              <w:rPr>
                <w:sz w:val="20"/>
                <w:szCs w:val="20"/>
                <w:color w:val="auto"/>
              </w:rPr>
            </w:pPr>
            <w:r>
              <w:rPr>
                <w:rFonts w:ascii="Arial" w:cs="Arial" w:eastAsia="Arial" w:hAnsi="Arial"/>
                <w:sz w:val="20"/>
                <w:szCs w:val="20"/>
                <w:color w:val="auto"/>
              </w:rPr>
              <w:t>10,067</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11,112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Operating cash flows for finance leases</w:t>
            </w:r>
          </w:p>
        </w:tc>
        <w:tc>
          <w:tcPr>
            <w:tcW w:w="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6,277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20"/>
                <w:szCs w:val="20"/>
                <w:color w:val="auto"/>
              </w:rPr>
              <w:t>3,988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center"/>
              <w:ind w:left="202"/>
              <w:spacing w:after="0"/>
              <w:rPr>
                <w:sz w:val="20"/>
                <w:szCs w:val="20"/>
                <w:color w:val="auto"/>
              </w:rPr>
            </w:pPr>
            <w:r>
              <w:rPr>
                <w:rFonts w:ascii="Arial" w:cs="Arial" w:eastAsia="Arial" w:hAnsi="Arial"/>
                <w:sz w:val="20"/>
                <w:szCs w:val="20"/>
                <w:color w:val="auto"/>
                <w:w w:val="87"/>
              </w:rPr>
              <w:t>2,932</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6180" w:type="dxa"/>
            <w:vAlign w:val="bottom"/>
            <w:gridSpan w:val="2"/>
          </w:tcPr>
          <w:p>
            <w:pPr>
              <w:ind w:left="480"/>
              <w:spacing w:after="0"/>
              <w:rPr>
                <w:sz w:val="20"/>
                <w:szCs w:val="20"/>
                <w:color w:val="auto"/>
              </w:rPr>
            </w:pPr>
            <w:r>
              <w:rPr>
                <w:rFonts w:ascii="Arial" w:cs="Arial" w:eastAsia="Arial" w:hAnsi="Arial"/>
                <w:sz w:val="20"/>
                <w:szCs w:val="20"/>
                <w:color w:val="auto"/>
              </w:rPr>
              <w:t>Finance cash flows for finance leases</w:t>
            </w:r>
          </w:p>
        </w:tc>
        <w:tc>
          <w:tcPr>
            <w:tcW w:w="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0"/>
                <w:szCs w:val="20"/>
                <w:b w:val="1"/>
                <w:bCs w:val="1"/>
                <w:color w:val="auto"/>
              </w:rPr>
              <w:t>8,088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20"/>
                <w:szCs w:val="20"/>
                <w:color w:val="auto"/>
              </w:rPr>
              <w:t>1,823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center"/>
              <w:ind w:left="202"/>
              <w:spacing w:after="0"/>
              <w:rPr>
                <w:sz w:val="20"/>
                <w:szCs w:val="20"/>
                <w:color w:val="auto"/>
              </w:rPr>
            </w:pPr>
            <w:r>
              <w:rPr>
                <w:rFonts w:ascii="Arial" w:cs="Arial" w:eastAsia="Arial" w:hAnsi="Arial"/>
                <w:sz w:val="20"/>
                <w:szCs w:val="20"/>
                <w:color w:val="auto"/>
                <w:w w:val="87"/>
              </w:rPr>
              <w:t>1,066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-2663825</wp:posOffset>
            </wp:positionV>
            <wp:extent cx="6410325" cy="12668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6410325" cy="12668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-890270</wp:posOffset>
            </wp:positionV>
            <wp:extent cx="6410325" cy="912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6410325" cy="912495"/>
                    </a:xfrm>
                    <a:prstGeom prst="rect">
                      <a:avLst/>
                    </a:prstGeom>
                    <a:noFill/>
                  </pic:spPr>
                </pic:pic>
              </a:graphicData>
            </a:graphic>
          </wp:anchor>
        </w:drawing>
      </w:r>
    </w:p>
    <w:p>
      <w:pPr>
        <w:spacing w:after="0" w:line="333" w:lineRule="exact"/>
        <w:rPr>
          <w:sz w:val="20"/>
          <w:szCs w:val="20"/>
          <w:color w:val="auto"/>
        </w:rPr>
      </w:pPr>
    </w:p>
    <w:p>
      <w:pPr>
        <w:ind w:left="7"/>
        <w:spacing w:after="0"/>
        <w:rPr>
          <w:sz w:val="20"/>
          <w:szCs w:val="20"/>
          <w:color w:val="auto"/>
        </w:rPr>
      </w:pPr>
      <w:r>
        <w:rPr>
          <w:rFonts w:ascii="Arial" w:cs="Arial" w:eastAsia="Arial" w:hAnsi="Arial"/>
          <w:sz w:val="20"/>
          <w:szCs w:val="20"/>
          <w:color w:val="auto"/>
        </w:rPr>
        <w:t>Supplemental non-cash information was as follows:</w:t>
      </w:r>
    </w:p>
    <w:p>
      <w:pPr>
        <w:spacing w:after="0" w:line="187" w:lineRule="exact"/>
        <w:rPr>
          <w:sz w:val="20"/>
          <w:szCs w:val="20"/>
          <w:color w:val="auto"/>
        </w:rPr>
      </w:pPr>
    </w:p>
    <w:p>
      <w:pPr>
        <w:ind w:left="7387"/>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wp:posOffset>
            </wp:positionV>
            <wp:extent cx="6410325" cy="7346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19" w:lineRule="exact"/>
        <w:rPr>
          <w:sz w:val="20"/>
          <w:szCs w:val="20"/>
          <w:color w:val="auto"/>
        </w:rPr>
      </w:pPr>
    </w:p>
    <w:tbl>
      <w:tblPr>
        <w:tblLayout w:type="fixed"/>
        <w:tblInd w:w="47"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42"/>
              <w:spacing w:after="0"/>
              <w:rPr>
                <w:sz w:val="20"/>
                <w:szCs w:val="20"/>
                <w:color w:val="auto"/>
              </w:rPr>
            </w:pPr>
            <w:r>
              <w:rPr>
                <w:rFonts w:ascii="Arial" w:cs="Arial" w:eastAsia="Arial" w:hAnsi="Arial"/>
                <w:sz w:val="20"/>
                <w:szCs w:val="20"/>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42"/>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42"/>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Lease liabilities arising from obtaining right-of-use assets: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66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620" w:type="dxa"/>
            <w:vAlign w:val="bottom"/>
            <w:gridSpan w:val="2"/>
          </w:tcPr>
          <w:p>
            <w:pPr>
              <w:ind w:left="480"/>
              <w:spacing w:after="0"/>
              <w:rPr>
                <w:sz w:val="20"/>
                <w:szCs w:val="20"/>
                <w:color w:val="auto"/>
              </w:rPr>
            </w:pPr>
            <w:r>
              <w:rPr>
                <w:rFonts w:ascii="Arial" w:cs="Arial" w:eastAsia="Arial" w:hAnsi="Arial"/>
                <w:sz w:val="20"/>
                <w:szCs w:val="20"/>
                <w:color w:val="auto"/>
              </w:rPr>
              <w:t>Operating leases</w:t>
            </w:r>
          </w:p>
        </w:tc>
        <w:tc>
          <w:tcPr>
            <w:tcW w:w="240" w:type="dxa"/>
            <w:vAlign w:val="bottom"/>
          </w:tcPr>
          <w:p>
            <w:pPr>
              <w:jc w:val="right"/>
              <w:ind w:right="2"/>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10,550</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4,559</w:t>
            </w:r>
          </w:p>
        </w:tc>
        <w:tc>
          <w:tcPr>
            <w:tcW w:w="3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1,338</w:t>
            </w:r>
          </w:p>
        </w:tc>
        <w:tc>
          <w:tcPr>
            <w:tcW w:w="0" w:type="dxa"/>
            <w:vAlign w:val="bottom"/>
          </w:tcPr>
          <w:p>
            <w:pPr>
              <w:spacing w:after="0"/>
              <w:rPr>
                <w:sz w:val="1"/>
                <w:szCs w:val="1"/>
                <w:color w:val="auto"/>
              </w:rPr>
            </w:pPr>
          </w:p>
        </w:tc>
      </w:tr>
      <w:tr>
        <w:trPr>
          <w:trHeight w:val="279"/>
        </w:trPr>
        <w:tc>
          <w:tcPr>
            <w:tcW w:w="6620" w:type="dxa"/>
            <w:vAlign w:val="bottom"/>
            <w:gridSpan w:val="2"/>
          </w:tcPr>
          <w:p>
            <w:pPr>
              <w:ind w:left="480"/>
              <w:spacing w:after="0"/>
              <w:rPr>
                <w:sz w:val="20"/>
                <w:szCs w:val="20"/>
                <w:color w:val="auto"/>
              </w:rPr>
            </w:pPr>
            <w:r>
              <w:rPr>
                <w:rFonts w:ascii="Arial" w:cs="Arial" w:eastAsia="Arial" w:hAnsi="Arial"/>
                <w:sz w:val="20"/>
                <w:szCs w:val="20"/>
                <w:color w:val="auto"/>
              </w:rPr>
              <w:t>Finance leases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36,016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14,770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18,286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10047"/>
          </w:cols>
          <w:pgMar w:left="913" w:top="544" w:right="920" w:bottom="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Maturities of lease liabilities as of December 31, 2024 are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7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06"/>
              <w:spacing w:after="0"/>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366"/>
              <w:spacing w:after="0"/>
              <w:rPr>
                <w:sz w:val="20"/>
                <w:szCs w:val="20"/>
                <w:color w:val="auto"/>
              </w:rPr>
            </w:pPr>
            <w:r>
              <w:rPr>
                <w:rFonts w:ascii="Arial" w:cs="Arial" w:eastAsia="Arial" w:hAnsi="Arial"/>
                <w:sz w:val="16"/>
                <w:szCs w:val="16"/>
                <w:b w:val="1"/>
                <w:bCs w:val="1"/>
                <w:color w:val="auto"/>
              </w:rPr>
              <w:t>Finance</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360" w:type="dxa"/>
            <w:vAlign w:val="bottom"/>
            <w:gridSpan w:val="2"/>
          </w:tcPr>
          <w:p>
            <w:pPr>
              <w:spacing w:after="0" w:line="173" w:lineRule="exact"/>
              <w:rPr>
                <w:sz w:val="20"/>
                <w:szCs w:val="20"/>
                <w:color w:val="auto"/>
              </w:rPr>
            </w:pPr>
            <w:r>
              <w:rPr>
                <w:rFonts w:ascii="Arial" w:cs="Arial" w:eastAsia="Arial" w:hAnsi="Arial"/>
                <w:sz w:val="16"/>
                <w:szCs w:val="16"/>
                <w:b w:val="1"/>
                <w:bCs w:val="1"/>
                <w:i w:val="1"/>
                <w:iCs w:val="1"/>
                <w:color w:val="auto"/>
              </w:rPr>
              <w:t>(thousands of U.S. dollars)</w:t>
            </w:r>
          </w:p>
        </w:tc>
        <w:tc>
          <w:tcPr>
            <w:tcW w:w="280" w:type="dxa"/>
            <w:vAlign w:val="bottom"/>
          </w:tcPr>
          <w:p>
            <w:pPr>
              <w:spacing w:after="0"/>
              <w:rPr>
                <w:sz w:val="15"/>
                <w:szCs w:val="15"/>
                <w:color w:val="auto"/>
              </w:rPr>
            </w:pPr>
          </w:p>
        </w:tc>
        <w:tc>
          <w:tcPr>
            <w:tcW w:w="1200" w:type="dxa"/>
            <w:vAlign w:val="bottom"/>
          </w:tcPr>
          <w:p>
            <w:pPr>
              <w:jc w:val="right"/>
              <w:ind w:right="426"/>
              <w:spacing w:after="0" w:line="173" w:lineRule="exact"/>
              <w:rPr>
                <w:sz w:val="20"/>
                <w:szCs w:val="20"/>
                <w:color w:val="auto"/>
              </w:rPr>
            </w:pPr>
            <w:r>
              <w:rPr>
                <w:rFonts w:ascii="Arial" w:cs="Arial" w:eastAsia="Arial" w:hAnsi="Arial"/>
                <w:sz w:val="16"/>
                <w:szCs w:val="16"/>
                <w:b w:val="1"/>
                <w:bCs w:val="1"/>
                <w:color w:val="auto"/>
              </w:rPr>
              <w:t>Leases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26"/>
              <w:spacing w:after="0" w:line="173" w:lineRule="exact"/>
              <w:rPr>
                <w:sz w:val="20"/>
                <w:szCs w:val="20"/>
                <w:color w:val="auto"/>
              </w:rPr>
            </w:pPr>
            <w:r>
              <w:rPr>
                <w:rFonts w:ascii="Arial" w:cs="Arial" w:eastAsia="Arial" w:hAnsi="Arial"/>
                <w:sz w:val="16"/>
                <w:szCs w:val="16"/>
                <w:b w:val="1"/>
                <w:bCs w:val="1"/>
                <w:color w:val="auto"/>
              </w:rPr>
              <w:t>Leases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44"/>
              <w:spacing w:after="0" w:line="17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1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2025</w:t>
            </w: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700" w:type="dxa"/>
            <w:vAlign w:val="bottom"/>
            <w:vMerge w:val="continue"/>
          </w:tcPr>
          <w:p>
            <w:pPr>
              <w:spacing w:after="0"/>
              <w:rPr>
                <w:sz w:val="22"/>
                <w:szCs w:val="22"/>
                <w:color w:val="auto"/>
              </w:rPr>
            </w:pPr>
          </w:p>
        </w:tc>
        <w:tc>
          <w:tcPr>
            <w:tcW w:w="3660" w:type="dxa"/>
            <w:vAlign w:val="bottom"/>
          </w:tcPr>
          <w:p>
            <w:pPr>
              <w:spacing w:after="0"/>
              <w:rPr>
                <w:sz w:val="22"/>
                <w:szCs w:val="22"/>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6,937</w:t>
            </w:r>
          </w:p>
        </w:tc>
        <w:tc>
          <w:tcPr>
            <w:tcW w:w="100" w:type="dxa"/>
            <w:vAlign w:val="bottom"/>
          </w:tcPr>
          <w:p>
            <w:pPr>
              <w:spacing w:after="0"/>
              <w:rPr>
                <w:sz w:val="22"/>
                <w:szCs w:val="22"/>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9,245</w:t>
            </w:r>
          </w:p>
        </w:tc>
        <w:tc>
          <w:tcPr>
            <w:tcW w:w="120" w:type="dxa"/>
            <w:vAlign w:val="bottom"/>
          </w:tcPr>
          <w:p>
            <w:pPr>
              <w:spacing w:after="0"/>
              <w:rPr>
                <w:sz w:val="22"/>
                <w:szCs w:val="22"/>
                <w:color w:val="auto"/>
              </w:rPr>
            </w:pPr>
          </w:p>
        </w:tc>
        <w:tc>
          <w:tcPr>
            <w:tcW w:w="360" w:type="dxa"/>
            <w:vAlign w:val="bottom"/>
          </w:tcPr>
          <w:p>
            <w:pPr>
              <w:jc w:val="right"/>
              <w:ind w:right="122"/>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16,182</w:t>
            </w: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0"/>
                <w:szCs w:val="20"/>
                <w:color w:val="auto"/>
              </w:rPr>
            </w:pPr>
            <w:r>
              <w:rPr>
                <w:rFonts w:ascii="Arial" w:cs="Arial" w:eastAsia="Arial" w:hAnsi="Arial"/>
                <w:sz w:val="20"/>
                <w:szCs w:val="20"/>
                <w:color w:val="auto"/>
              </w:rPr>
              <w:t>2026</w:t>
            </w: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6,572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9,365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15,937</w:t>
            </w:r>
          </w:p>
        </w:tc>
        <w:tc>
          <w:tcPr>
            <w:tcW w:w="0" w:type="dxa"/>
            <w:vAlign w:val="bottom"/>
          </w:tcPr>
          <w:p>
            <w:pPr>
              <w:spacing w:after="0"/>
              <w:rPr>
                <w:sz w:val="1"/>
                <w:szCs w:val="1"/>
                <w:color w:val="auto"/>
              </w:rPr>
            </w:pP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2027</w:t>
            </w: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5,540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9,647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15,187</w:t>
            </w:r>
          </w:p>
        </w:tc>
        <w:tc>
          <w:tcPr>
            <w:tcW w:w="0" w:type="dxa"/>
            <w:vAlign w:val="bottom"/>
          </w:tcPr>
          <w:p>
            <w:pPr>
              <w:spacing w:after="0"/>
              <w:rPr>
                <w:sz w:val="1"/>
                <w:szCs w:val="1"/>
                <w:color w:val="auto"/>
              </w:rPr>
            </w:pP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2028</w:t>
            </w: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4,293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9,947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14,240</w:t>
            </w:r>
          </w:p>
        </w:tc>
        <w:tc>
          <w:tcPr>
            <w:tcW w:w="0" w:type="dxa"/>
            <w:vAlign w:val="bottom"/>
          </w:tcPr>
          <w:p>
            <w:pPr>
              <w:spacing w:after="0"/>
              <w:rPr>
                <w:sz w:val="1"/>
                <w:szCs w:val="1"/>
                <w:color w:val="auto"/>
              </w:rPr>
            </w:pPr>
          </w:p>
        </w:tc>
      </w:tr>
      <w:tr>
        <w:trPr>
          <w:trHeight w:val="279"/>
        </w:trPr>
        <w:tc>
          <w:tcPr>
            <w:tcW w:w="1700" w:type="dxa"/>
            <w:vAlign w:val="bottom"/>
          </w:tcPr>
          <w:p>
            <w:pPr>
              <w:spacing w:after="0"/>
              <w:rPr>
                <w:sz w:val="20"/>
                <w:szCs w:val="20"/>
                <w:color w:val="auto"/>
              </w:rPr>
            </w:pPr>
            <w:r>
              <w:rPr>
                <w:rFonts w:ascii="Arial" w:cs="Arial" w:eastAsia="Arial" w:hAnsi="Arial"/>
                <w:sz w:val="20"/>
                <w:szCs w:val="20"/>
                <w:color w:val="auto"/>
              </w:rPr>
              <w:t>2029</w:t>
            </w: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3,499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9,626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13,125</w:t>
            </w:r>
          </w:p>
        </w:tc>
        <w:tc>
          <w:tcPr>
            <w:tcW w:w="0" w:type="dxa"/>
            <w:vAlign w:val="bottom"/>
          </w:tcPr>
          <w:p>
            <w:pPr>
              <w:spacing w:after="0"/>
              <w:rPr>
                <w:sz w:val="1"/>
                <w:szCs w:val="1"/>
                <w:color w:val="auto"/>
              </w:rPr>
            </w:pPr>
          </w:p>
        </w:tc>
      </w:tr>
      <w:tr>
        <w:trPr>
          <w:trHeight w:val="283"/>
        </w:trPr>
        <w:tc>
          <w:tcPr>
            <w:tcW w:w="5360" w:type="dxa"/>
            <w:vAlign w:val="bottom"/>
            <w:gridSpan w:val="2"/>
          </w:tcPr>
          <w:p>
            <w:pPr>
              <w:spacing w:after="0"/>
              <w:rPr>
                <w:sz w:val="20"/>
                <w:szCs w:val="20"/>
                <w:color w:val="auto"/>
              </w:rPr>
            </w:pPr>
            <w:r>
              <w:rPr>
                <w:rFonts w:ascii="Arial" w:cs="Arial" w:eastAsia="Arial" w:hAnsi="Arial"/>
                <w:sz w:val="20"/>
                <w:szCs w:val="20"/>
                <w:color w:val="auto"/>
              </w:rPr>
              <w:t>2030 and Thereafter</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12,289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117,367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129,656</w:t>
            </w:r>
          </w:p>
        </w:tc>
        <w:tc>
          <w:tcPr>
            <w:tcW w:w="0" w:type="dxa"/>
            <w:vAlign w:val="bottom"/>
          </w:tcPr>
          <w:p>
            <w:pPr>
              <w:spacing w:after="0"/>
              <w:rPr>
                <w:sz w:val="1"/>
                <w:szCs w:val="1"/>
                <w:color w:val="auto"/>
              </w:rPr>
            </w:pPr>
          </w:p>
        </w:tc>
      </w:tr>
      <w:tr>
        <w:trPr>
          <w:trHeight w:val="259"/>
        </w:trPr>
        <w:tc>
          <w:tcPr>
            <w:tcW w:w="5360" w:type="dxa"/>
            <w:vAlign w:val="bottom"/>
            <w:gridSpan w:val="2"/>
          </w:tcPr>
          <w:p>
            <w:pPr>
              <w:ind w:left="480"/>
              <w:spacing w:after="0"/>
              <w:rPr>
                <w:sz w:val="20"/>
                <w:szCs w:val="20"/>
                <w:color w:val="auto"/>
              </w:rPr>
            </w:pPr>
            <w:r>
              <w:rPr>
                <w:rFonts w:ascii="Arial" w:cs="Arial" w:eastAsia="Arial" w:hAnsi="Arial"/>
                <w:sz w:val="20"/>
                <w:szCs w:val="20"/>
                <w:color w:val="auto"/>
              </w:rPr>
              <w:t>Total lease payments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39,130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165,197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204,327</w:t>
            </w:r>
          </w:p>
        </w:tc>
        <w:tc>
          <w:tcPr>
            <w:tcW w:w="0" w:type="dxa"/>
            <w:vAlign w:val="bottom"/>
          </w:tcPr>
          <w:p>
            <w:pPr>
              <w:spacing w:after="0"/>
              <w:rPr>
                <w:sz w:val="1"/>
                <w:szCs w:val="1"/>
                <w:color w:val="auto"/>
              </w:rPr>
            </w:pPr>
          </w:p>
        </w:tc>
      </w:tr>
      <w:tr>
        <w:trPr>
          <w:trHeight w:val="280"/>
        </w:trPr>
        <w:tc>
          <w:tcPr>
            <w:tcW w:w="5360" w:type="dxa"/>
            <w:vAlign w:val="bottom"/>
            <w:gridSpan w:val="2"/>
          </w:tcPr>
          <w:p>
            <w:pPr>
              <w:ind w:left="940"/>
              <w:spacing w:after="0"/>
              <w:rPr>
                <w:sz w:val="20"/>
                <w:szCs w:val="20"/>
                <w:color w:val="auto"/>
              </w:rPr>
            </w:pPr>
            <w:r>
              <w:rPr>
                <w:rFonts w:ascii="Arial" w:cs="Arial" w:eastAsia="Arial" w:hAnsi="Arial"/>
                <w:sz w:val="20"/>
                <w:szCs w:val="20"/>
                <w:color w:val="auto"/>
              </w:rPr>
              <w:t>Less imputed interest</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(9,609)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(66,988)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(76,597)</w:t>
            </w:r>
          </w:p>
        </w:tc>
        <w:tc>
          <w:tcPr>
            <w:tcW w:w="0" w:type="dxa"/>
            <w:vAlign w:val="bottom"/>
          </w:tcPr>
          <w:p>
            <w:pPr>
              <w:spacing w:after="0"/>
              <w:rPr>
                <w:sz w:val="1"/>
                <w:szCs w:val="1"/>
                <w:color w:val="auto"/>
              </w:rPr>
            </w:pPr>
          </w:p>
        </w:tc>
      </w:tr>
      <w:tr>
        <w:trPr>
          <w:trHeight w:val="240"/>
        </w:trPr>
        <w:tc>
          <w:tcPr>
            <w:tcW w:w="5360" w:type="dxa"/>
            <w:vAlign w:val="bottom"/>
            <w:gridSpan w:val="2"/>
          </w:tcPr>
          <w:p>
            <w:pPr>
              <w:ind w:left="480"/>
              <w:spacing w:after="0"/>
              <w:rPr>
                <w:sz w:val="20"/>
                <w:szCs w:val="20"/>
                <w:color w:val="auto"/>
              </w:rPr>
            </w:pPr>
            <w:r>
              <w:rPr>
                <w:rFonts w:ascii="Arial" w:cs="Arial" w:eastAsia="Arial" w:hAnsi="Arial"/>
                <w:sz w:val="20"/>
                <w:szCs w:val="20"/>
                <w:color w:val="auto"/>
              </w:rPr>
              <w:t>Total lease liabilities</w:t>
            </w: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29,521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98,209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127,730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10325" cy="16338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410325" cy="16338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Asset Retirement Obligations (“ARO”)</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within cost of revenues, respectively.</w:t>
      </w:r>
    </w:p>
    <w:p>
      <w:pPr>
        <w:spacing w:after="0" w:line="202"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The fair value of the ARO is determined based on estimates requiring management judgment.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Each year, we review decommissioning costs and consider changes in marketplace rates. The following table describes changes to our ARO liability during the years presented:</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18"/>
                <w:szCs w:val="18"/>
                <w:color w:val="auto"/>
              </w:rPr>
            </w:pPr>
          </w:p>
        </w:tc>
        <w:tc>
          <w:tcPr>
            <w:tcW w:w="90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22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color w:val="auto"/>
                <w:w w:val="95"/>
              </w:rPr>
              <w:t>ARO – beginning of period</w:t>
            </w:r>
          </w:p>
        </w:tc>
        <w:tc>
          <w:tcPr>
            <w:tcW w:w="52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2280" w:type="dxa"/>
            <w:vAlign w:val="bottom"/>
            <w:gridSpan w:val="2"/>
            <w:vMerge w:val="continue"/>
          </w:tcPr>
          <w:p>
            <w:pPr>
              <w:spacing w:after="0"/>
              <w:rPr>
                <w:sz w:val="22"/>
                <w:szCs w:val="22"/>
                <w:color w:val="auto"/>
              </w:rPr>
            </w:pPr>
          </w:p>
        </w:tc>
        <w:tc>
          <w:tcPr>
            <w:tcW w:w="5260" w:type="dxa"/>
            <w:vAlign w:val="bottom"/>
            <w:vMerge w:val="continue"/>
          </w:tcPr>
          <w:p>
            <w:pPr>
              <w:spacing w:after="0"/>
              <w:rPr>
                <w:sz w:val="22"/>
                <w:szCs w:val="22"/>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47,944</w:t>
            </w:r>
          </w:p>
        </w:tc>
        <w:tc>
          <w:tcPr>
            <w:tcW w:w="400" w:type="dxa"/>
            <w:vAlign w:val="bottom"/>
            <w:gridSpan w:val="2"/>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45,482</w:t>
            </w:r>
          </w:p>
        </w:tc>
        <w:tc>
          <w:tcPr>
            <w:tcW w:w="0" w:type="dxa"/>
            <w:vAlign w:val="bottom"/>
          </w:tcPr>
          <w:p>
            <w:pPr>
              <w:spacing w:after="0"/>
              <w:rPr>
                <w:sz w:val="1"/>
                <w:szCs w:val="1"/>
                <w:color w:val="auto"/>
              </w:rPr>
            </w:pPr>
          </w:p>
        </w:tc>
      </w:tr>
      <w:tr>
        <w:trPr>
          <w:trHeight w:val="276"/>
        </w:trPr>
        <w:tc>
          <w:tcPr>
            <w:tcW w:w="7540" w:type="dxa"/>
            <w:vAlign w:val="bottom"/>
            <w:gridSpan w:val="3"/>
          </w:tcPr>
          <w:p>
            <w:pPr>
              <w:spacing w:after="0"/>
              <w:rPr>
                <w:sz w:val="20"/>
                <w:szCs w:val="20"/>
                <w:color w:val="auto"/>
              </w:rPr>
            </w:pPr>
            <w:r>
              <w:rPr>
                <w:rFonts w:ascii="Arial" w:cs="Arial" w:eastAsia="Arial" w:hAnsi="Arial"/>
                <w:sz w:val="20"/>
                <w:szCs w:val="20"/>
                <w:color w:val="auto"/>
              </w:rPr>
              <w:t>Liabilities settled</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(2,896)</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Changes in estimates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1,240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2,133</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Accretion expense</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2,638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2,413</w:t>
            </w:r>
          </w:p>
        </w:tc>
        <w:tc>
          <w:tcPr>
            <w:tcW w:w="0" w:type="dxa"/>
            <w:vAlign w:val="bottom"/>
          </w:tcPr>
          <w:p>
            <w:pPr>
              <w:spacing w:after="0"/>
              <w:rPr>
                <w:sz w:val="1"/>
                <w:szCs w:val="1"/>
                <w:color w:val="auto"/>
              </w:rPr>
            </w:pPr>
          </w:p>
        </w:tc>
      </w:tr>
      <w:tr>
        <w:trPr>
          <w:trHeight w:val="283"/>
        </w:trPr>
        <w:tc>
          <w:tcPr>
            <w:tcW w:w="7540" w:type="dxa"/>
            <w:vAlign w:val="bottom"/>
            <w:gridSpan w:val="3"/>
          </w:tcPr>
          <w:p>
            <w:pPr>
              <w:spacing w:after="0"/>
              <w:rPr>
                <w:sz w:val="20"/>
                <w:szCs w:val="20"/>
                <w:color w:val="auto"/>
              </w:rPr>
            </w:pPr>
            <w:r>
              <w:rPr>
                <w:rFonts w:ascii="Arial" w:cs="Arial" w:eastAsia="Arial" w:hAnsi="Arial"/>
                <w:sz w:val="20"/>
                <w:szCs w:val="20"/>
                <w:color w:val="auto"/>
              </w:rPr>
              <w:t>Foreign currency exchange and other</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(2,503)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812</w:t>
            </w:r>
          </w:p>
        </w:tc>
        <w:tc>
          <w:tcPr>
            <w:tcW w:w="0" w:type="dxa"/>
            <w:vAlign w:val="bottom"/>
          </w:tcPr>
          <w:p>
            <w:pPr>
              <w:spacing w:after="0"/>
              <w:rPr>
                <w:sz w:val="1"/>
                <w:szCs w:val="1"/>
                <w:color w:val="auto"/>
              </w:rPr>
            </w:pPr>
          </w:p>
        </w:tc>
      </w:tr>
      <w:tr>
        <w:trPr>
          <w:trHeight w:val="259"/>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ARO – end of period</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rPr>
              <w:t>$</w:t>
            </w: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20"/>
                <w:szCs w:val="20"/>
                <w:b w:val="1"/>
                <w:bCs w:val="1"/>
                <w:color w:val="auto"/>
              </w:rPr>
              <w:t>49,319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20"/>
                <w:szCs w:val="20"/>
                <w:color w:val="auto"/>
              </w:rPr>
              <w:t>47,944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-1082675</wp:posOffset>
            </wp:positionV>
            <wp:extent cx="6410325" cy="10896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410325" cy="1089660"/>
                    </a:xfrm>
                    <a:prstGeom prst="rect">
                      <a:avLst/>
                    </a:prstGeom>
                    <a:noFill/>
                  </pic:spPr>
                </pic:pic>
              </a:graphicData>
            </a:graphic>
          </wp:anchor>
        </w:drawing>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recorded depreciation expense on the ARO of $0.4 million, $0.4 million and $0.3 million, for the years ended December 31, 2024, 2023, and 2022 respectively.</w:t>
      </w:r>
    </w:p>
    <w:p>
      <w:pPr>
        <w:spacing w:after="0" w:line="186"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color w:val="auto"/>
        </w:rPr>
        <w:t>We are obligated to provide financial assurance to local and state licensing authorities for possible future decommissioning costs associated with the various facilities that hold Co-60. At December 31, 2024 and 2023, $49.1 million and $48.2 million, respectively, of the standby letters of credit referenced above and surety bonds were outstanding in favor of the various local and state licensing authorities in the event we defaulted on our decommissioning obligation.</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10040"/>
          </w:cols>
          <w:pgMar w:left="920" w:top="544" w:right="920" w:bottom="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Commitments and Contingencies</w:t>
      </w:r>
    </w:p>
    <w:p>
      <w:pPr>
        <w:spacing w:after="0" w:line="295"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We depend on a limited number of suppliers and our agreements with these suppliers account for material portions of our supply and direct material costs. These costs include obligations under various supply agreements in our Nordion segment for Co-60 that are enforceable and legally binding on us. As of December 31, 2024, we had minimum purchase commitments primarily with domestic and international suppliers of raw materials for the Nordion business totaling $2,219.1 million. The terms of these long-term supply or service arrangements range from 1 to 39 years. In addition, our Sterigenics segment has obligations to purchase ethylene oxide (“EO”). Our contract to purchase EO in the U.S. requires us to purchase all of our requirements from one supplier, and our contracts to purchase EO outside the U.S. generally require that we purchase a specified percentage of our requirements for our operations in the countries covered by those contracts. We expect to utilize the Co-60 and EO encompassed by these agreements in the normal course of our business and therefore our commitments under these agreements are not recognized on the consolidated balance sheets as a liability.</w:t>
      </w:r>
    </w:p>
    <w:p>
      <w:pPr>
        <w:spacing w:after="0" w:line="22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From time to time, we may be or are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 We assess these regulatory and legal actions to determine if a contingent liability should be recorded. In making these determinations, we may, depending on the nature of the matter, consult with internal and external legal counsel and technical experts.</w:t>
      </w:r>
    </w:p>
    <w:p>
      <w:pPr>
        <w:spacing w:after="0" w:line="209"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The outcomes of regulatory and legal actions can be difficult to predict and are often resolved over long periods of time, making our probability and estimability determinations highly judgmental. Probability determinations require the analysis of various possible outcomes, assessments of potential damages and the impact of multiple factors beyond our control, including potential actions by others, interpretations of the law, and changes and developments in relevant facts, circumstances, regulations and other laws. If a potentially material loss contingency is not probable, but is reasonably possible, or is probable but cannot be estimated, then the nature of the contingent liability is disclosed, together with an estimate of the range of possible loss if the range is determinable and material. In certain of the matters described below, we are not able to estimate potential liability because of the uncertainties related to the outcome(s) and/or the amount(s) or range(s) of loss. The ultimate resolution of pending regulatory and legal matters in future periods, including the matters described below, may have a material adverse effect on our financial condition, results of operations and/or liquidity. The Company may also incur material defense and settlement costs, diversion of management resources and other adverse effects on our business, financial condition, and/or results of operations.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Ethylene Oxide Tort Litigation</w:t>
      </w:r>
    </w:p>
    <w:p>
      <w:pPr>
        <w:spacing w:after="0" w:line="242" w:lineRule="exact"/>
        <w:rPr>
          <w:sz w:val="20"/>
          <w:szCs w:val="20"/>
          <w:color w:val="auto"/>
        </w:rPr>
      </w:pPr>
    </w:p>
    <w:p>
      <w:pPr>
        <w:ind w:right="360"/>
        <w:spacing w:after="0" w:line="278" w:lineRule="auto"/>
        <w:rPr>
          <w:sz w:val="20"/>
          <w:szCs w:val="20"/>
          <w:color w:val="auto"/>
        </w:rPr>
      </w:pPr>
      <w:r>
        <w:rPr>
          <w:rFonts w:ascii="Arial" w:cs="Arial" w:eastAsia="Arial" w:hAnsi="Arial"/>
          <w:sz w:val="19"/>
          <w:szCs w:val="19"/>
          <w:color w:val="auto"/>
        </w:rPr>
        <w:t>Sterigenics U.S., LLC (“Sterigenics”) and other medical supply sterilization companies have been subjected to tort lawsuits alleging various injuries caused by low-level environmental exposure to EO used at or emitted from sterilization facilities. Those lawsuits, as detailed further below, are individual claims, as opposed to class actions.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w:t>
      </w:r>
    </w:p>
    <w:p>
      <w:pPr>
        <w:spacing w:after="0" w:line="242"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As of December 31, 2024, subsidiaries of the Company and other parties were defendants in four lawsuits in Los Angeles County Superior Court in which the plaintiffs are asserting 33 claims for personal injuries and wrongful death allegedly resulting from emissions and releases of EO from Sterigenics’ Vernon facilities (the “Vernon Cases”). The Vernon Cases have been assigned to one judge and discovery is underway.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We are vigorously defending the Vernon Cases.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Georgia</w:t>
      </w:r>
    </w:p>
    <w:p>
      <w:pPr>
        <w:spacing w:after="0" w:line="242"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Subsidiaries of the Company and other parties are defendants in lawsuits in Georgia in which plaintiffs allege personal injuries, wrongful death and property devaluation resulting from use, emissions and releases of EO from or at Sterigenics’ Atlanta facility (the “Atlanta Cases”).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10040"/>
          </w:cols>
          <w:pgMar w:left="920" w:top="544" w:right="920" w:bottom="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As of December 31, 2024, subsidiaries of the Company and other parties were defendants in 313 personal injury and wrongful death claims in the State Court of Cobb County (the “Georgia Trial Court”) and 312 of the claims have been consolidated for pretrial purposes (the “Consolidated Personal Injury Cases”). The Consolidated Personal Injury Cases are governed by a case management order pursuant to which general causation issues in a pool of eight cases are to be adjudicated in Phase 1 and specific causation issues in the pool cases are to be adjudicated in Phase 2; the remaining Consolidated Personal Injury Cases (including ten cases that include both personal injury and property claims) are stayed. On November 22, 2024, the Georgia Trial Court issued a Phase 1 ruling on general causation issues granting in part and denying in part defendants’ motions to exclude certain Phase 1 expert testimony and defendants’ motions for summary judgment on Phase 1 issues (the “Phase 1 Ruling”). Both plaintiffs and defendants appealed the Phase 1 Ruling and these appeals are pending before the Georgia Court of Appeals. Phase 2 discovery in the pool cases is scheduled to take place through May 2025. One lawsuit has not been consolidated and the parties have jointly requested the Georgia Trial Court to stay the case along with the stayed cases in the Consolidated Personal Injury Cases.</w:t>
      </w:r>
    </w:p>
    <w:p>
      <w:pPr>
        <w:spacing w:after="0" w:line="200" w:lineRule="exact"/>
        <w:rPr>
          <w:sz w:val="20"/>
          <w:szCs w:val="20"/>
          <w:color w:val="auto"/>
        </w:rPr>
      </w:pPr>
    </w:p>
    <w:p>
      <w:pPr>
        <w:spacing w:after="0" w:line="215"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As of December 31, 2024, subsidiaries of the Company and other parties were also defendants in a lawsuit pending in the Georgia Trial Court in which employees of a sterilization customer of Sterigenics allege they were injured while working at the customer’s distribution facility by exposure to residual EO allegedly emanating from products of the customer that had been sterilized by Sterigenics. Pursuant to the customer’s contract with Sterigenics, the customer is indemnifying Sterigenics against this lawsuit and discovery is underway.</w:t>
      </w:r>
    </w:p>
    <w:p>
      <w:pPr>
        <w:spacing w:after="0" w:line="209"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As of December 31, 2024, subsidiaries of the Company were also defendants in 345 property devaluation lawsuits pending in the Georgia Trial Court that have been consolidated for pretrial purposes (the “Consolidated Property Cases”). A pool of nine of the Consolidated Property Cases are proceeding under case management orders and the remaining cases are stayed.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We are vigorously defending the Atlanta Cases.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Illinois</w:t>
      </w:r>
    </w:p>
    <w:p>
      <w:pPr>
        <w:spacing w:after="0" w:line="242"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As of December 31, 2024, subsidiaries of the Company and other parties were defendants in 96 lawsuits in Illinois in which plaintiffs allege personal injuries or wrongful deaths resulting from purported emissions and releases of EO from Sterigenics’ former Willowbrook facility (the “Willowbrook Cases”). The Willowbrook Cases are pending in the Circuit Court of Cook County and have been assigned to a single judge for coordinated discovery and pretrial proceedings. Two of the Willowbrook Cases are set for trial in April 2025 and five of the Willowbrook Cases are set for trial in June 2025.</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We are vigorously defending the Willowbrook Cases.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Mexico</w:t>
      </w:r>
    </w:p>
    <w:p>
      <w:pPr>
        <w:spacing w:after="0" w:line="242" w:lineRule="exact"/>
        <w:rPr>
          <w:sz w:val="20"/>
          <w:szCs w:val="20"/>
          <w:color w:val="auto"/>
        </w:rPr>
      </w:pPr>
    </w:p>
    <w:p>
      <w:pPr>
        <w:ind w:right="160"/>
        <w:spacing w:after="0" w:line="299" w:lineRule="auto"/>
        <w:rPr>
          <w:sz w:val="20"/>
          <w:szCs w:val="20"/>
          <w:color w:val="auto"/>
        </w:rPr>
      </w:pPr>
      <w:r>
        <w:rPr>
          <w:rFonts w:ascii="Arial" w:cs="Arial" w:eastAsia="Arial" w:hAnsi="Arial"/>
          <w:sz w:val="17"/>
          <w:szCs w:val="17"/>
          <w:color w:val="auto"/>
        </w:rPr>
        <w:t>The Company and certain subsidiaries are defendants in a lawsuit in the Third Judicial District Court, Doña Ana County, New Mexico in which the New Mexico Attorney General (“NMAG”) alleges that emissions and releases of EO from Sterigenics’ facility in Santa Teresa have deteriorated the air quality in surrounding communities and materially contributed to increased health risks for residents of those communities. In April 2024, the Court of Appeals of the State of New Mexico denied the NMAG’s petition for leave to file an interlocutory appeal of an August 2023 order granting Sterigenics’ motion for summary judgment on strict liability, the Unfair Practices Act claim, and the claims for decreased property values, increased healthcare costs and medical monitoring costs. The case has been remanded to the District Court of Doña Ana County for further proceedings on the remaining claims. The case is set for trial in July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We are vigorously defending the NMAG’s remaining claims.</w:t>
      </w:r>
    </w:p>
    <w:p>
      <w:pPr>
        <w:spacing w:after="0" w:line="268" w:lineRule="exact"/>
        <w:rPr>
          <w:sz w:val="20"/>
          <w:szCs w:val="20"/>
          <w:color w:val="auto"/>
        </w:rPr>
      </w:pPr>
    </w:p>
    <w:p>
      <w:pPr>
        <w:ind w:left="4220"/>
        <w:spacing w:after="0"/>
        <w:tabs>
          <w:tab w:leader="none" w:pos="4960" w:val="left"/>
          <w:tab w:leader="none" w:pos="57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60" w:lineRule="exact"/>
        <w:rPr>
          <w:sz w:val="20"/>
          <w:szCs w:val="20"/>
          <w:color w:val="auto"/>
        </w:rPr>
      </w:pPr>
    </w:p>
    <w:p>
      <w:pPr>
        <w:ind w:right="220"/>
        <w:spacing w:after="0" w:line="325" w:lineRule="auto"/>
        <w:rPr>
          <w:sz w:val="20"/>
          <w:szCs w:val="20"/>
          <w:color w:val="auto"/>
        </w:rPr>
      </w:pPr>
      <w:r>
        <w:rPr>
          <w:rFonts w:ascii="Arial" w:cs="Arial" w:eastAsia="Arial" w:hAnsi="Arial"/>
          <w:sz w:val="17"/>
          <w:szCs w:val="17"/>
          <w:color w:val="auto"/>
        </w:rPr>
        <w:t>Additional EO lawsuits have been threatened relating to Sterigenics’ former facility in Willowbrook and existing facilities in Atlanta, Georgia; Charlotte, North Carolina; Grand Prairie, Texas; and Vernon, California and may be filed in the future relating to these or Sterigenics’ other EO facilities; these threats of additional EO lawsuits are comparable to threats that have</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10040"/>
          </w:cols>
          <w:pgMar w:left="920" w:top="544" w:right="920" w:bottom="0" w:gutter="0" w:footer="0" w:header="0"/>
          <w:type w:val="continuous"/>
        </w:sectPr>
      </w:pPr>
    </w:p>
    <w:bookmarkStart w:id="113" w:name="page114"/>
    <w:bookmarkEnd w:id="113"/>
    <w:p>
      <w:pPr>
        <w:jc w:val="center"/>
        <w:ind w:right="-19"/>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similarly been made against other companies within our industry. Based on our view of the strength of the science and related evidence that emissions of EO from Sterigenics’ operations have not caused and could not have caused the harms alleged in such lawsuits, we believe that losses in the remaining or future EO cases through trials and any appeals that may prove necessary are not probable. Although the Company is vigorously defending against the EO tort claims, future settlements of EO tort claims are reasonably possible. The previously disclosed settlements of certain cases related to our facilities in Willowbrook and Atlanta Settlements and the resolution of the tort lawsuit pending in the United States District Court for the District of New Mexico (as previously disclosed in Note 14, Commitments and Contingencies of our Quarterly Report on Form 10-Q for the quarterly period ended September 30, 2024) were driven by dynamics unique to the claims that were settled and thus should not give rise to presumptions that the Company will settle additional EO tort claims and/or that any such settlements will be for comparable amounts.</w:t>
      </w:r>
    </w:p>
    <w:p>
      <w:pPr>
        <w:spacing w:after="0" w:line="20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Potential trial and settlement outcomes can vary widely based on a host of factors. EO tort lawsuits will be presided over by different judges, tried by different counsel presenting different evidence and decided by different juries. The substantive and procedural laws of jurisdictions vary and can meaningfully impact the litigation process and outcome of a case. Each plaintiff’s claim involves unique facts and evidence including the circumstances of the plaintiff’s alleged exposure, the type and severity of the plaintiff’s disease, the plaintiff’s medical history and course of treatment, the location of and other factors related to the plaintiff’s real property, and other circumstances. The outcomes of trials before juries are rarely certain and a judgment rendered or settlement reached in one case is not necessarily representative of potential outcomes of other seemingly comparable cases. As a result, it is not possible to estimate a reasonably possible loss or range of loss with respect to any future EO tort lawsuit, trial or settlement.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Insurance Coverage for Environmental Liabilities</w:t>
      </w: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An environmental liability insurance policy under which we have received coverage for the EO tort lawsuits in Georgia, Illinois and New Mexico described above had limits of $10.0 million per occurrence and $20.0 million in the aggregate. Those per occurrence and aggregate limits were fully utilized in the defense of the Georgia, Illinois and New Mexico litigation. Our insurance for future alleged environmental liabilities excludes coverage for EO claims.</w:t>
      </w:r>
    </w:p>
    <w:p>
      <w:pPr>
        <w:spacing w:after="0" w:line="173" w:lineRule="exact"/>
        <w:rPr>
          <w:sz w:val="20"/>
          <w:szCs w:val="20"/>
          <w:color w:val="auto"/>
        </w:rPr>
      </w:pPr>
    </w:p>
    <w:p>
      <w:pPr>
        <w:ind w:right="140"/>
        <w:spacing w:after="0" w:line="299" w:lineRule="auto"/>
        <w:rPr>
          <w:sz w:val="20"/>
          <w:szCs w:val="20"/>
          <w:color w:val="auto"/>
        </w:rPr>
      </w:pPr>
      <w:r>
        <w:rPr>
          <w:rFonts w:ascii="Arial" w:cs="Arial" w:eastAsia="Arial" w:hAnsi="Arial"/>
          <w:sz w:val="17"/>
          <w:szCs w:val="17"/>
          <w:color w:val="auto"/>
        </w:rPr>
        <w:t>We are pursuing additional insurance coverage for our legal expenses related to EO tort lawsuits. In 2021, Sterigenics filed an insurance coverage lawsuit in the U.S. District Court for the Northern District of Illinois (the “Illinois District Court”) relating to two commercial general liability policies issued in the 1980s (the “Northern District of Illinois Coverage Lawsuit”). The Illinois District Court issued an order declaring that the defendant insurer owes a duty to Sterigenics and another insured party to defend the Willowbrook Cases (the “Duty to Defend Order”) and entered judgment for Sterigenics in January 2024 in the amount of $110.2 million for certain defense costs incurred in the Willowbrook Cases as of August 2022 (the “Defense Costs Judgment”). The defendant insurer has appealed the Duty to Defend Order and Defense Costs Judgment; briefing is complete, and oral argument was held before the United States Court of Appeals for the Seventh Circuit on September 25, 2024.</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Sterigenics is also a party in insurance coverage lawsuits pending in the Circuit Court of Cook County, the Delaware Superior Court and the Los Angeles County Superior Court relating to insurance coverage from various historical commercial general liability policies for certain EO litigation settlement amounts and defense costs that the insurer against which a judgment has been secured in the Northern District of Illinois Coverage Lawsuit may fail to fund. The Delaware Superior Court case is stayed pending resolution of the coverage lawsuit in the Circuit Court of Cook County and the Los Angeles County Superior Court case remains in preliminary stages. It is not possible to predict how much, if any, of the insurance proceeds sought will ultimately be recovered.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Sotera Health Company Securities Litigation and Related Matters</w:t>
      </w:r>
    </w:p>
    <w:p>
      <w:pPr>
        <w:spacing w:after="0" w:line="242" w:lineRule="exact"/>
        <w:rPr>
          <w:sz w:val="20"/>
          <w:szCs w:val="20"/>
          <w:color w:val="auto"/>
        </w:rPr>
      </w:pPr>
    </w:p>
    <w:p>
      <w:pPr>
        <w:ind w:right="120"/>
        <w:spacing w:after="0" w:line="299" w:lineRule="auto"/>
        <w:rPr>
          <w:sz w:val="20"/>
          <w:szCs w:val="20"/>
          <w:color w:val="auto"/>
        </w:rPr>
      </w:pPr>
      <w:r>
        <w:rPr>
          <w:rFonts w:ascii="Arial" w:cs="Arial" w:eastAsia="Arial" w:hAnsi="Arial"/>
          <w:sz w:val="17"/>
          <w:szCs w:val="17"/>
          <w:color w:val="auto"/>
        </w:rPr>
        <w:t>In January 2023, a stockholder class action was filed in the U.S. District Court for the Northern District of Ohio (the “Ohio District Court”) against the Company, certain past and present directors and senior executives, the Company’s private equity stockholders and the underwriters of the Company’s initial public offering (“IPO”) in November 2020 and the Company’s secondary public offering (“SPO”) in March 2021 (the “Michigan Funds Litigation”). In April 2023, the Ohio District Court appointed the Oakland County Employees’ Retirement System, Oakland County Voluntary Employees’ Beneficiary Association, and Wayne County Employees’ Retirement System (the “Michigan Funds”) to serve as lead plaintiff to prosecute claims on behalf of a proposed class of stockholders who acquired shares of the Company in connection with our IPO or SPO between November 20, 2020 and September 19, 2022 (the “Proposed Class”). The Michigan Funds allege that certain</w:t>
      </w:r>
    </w:p>
    <w:p>
      <w:pPr>
        <w:sectPr>
          <w:pgSz w:w="11880" w:h="15480" w:orient="portrait"/>
          <w:cols w:equalWidth="0" w:num="1">
            <w:col w:w="10020"/>
          </w:cols>
          <w:pgMar w:left="920" w:top="544" w:right="940" w:bottom="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10020"/>
          </w:cols>
          <w:pgMar w:left="920" w:top="544" w:right="94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statements made regarding the safety of the Company’s use of EO and/or the EO tort lawsuits and other risks of its EO operations violated Sections 11, 12(a)(2) and 15 of the Securities Act of 1933 (when made in the registration statements for the IPO and SPO) and Sections 10(b), Section 20(a) and Rule 10b-5 of the Securities Exchange Act of 1934 (when made in subsequent securities filings and other contexts). Defendants have moved to dismiss the Amended Complaint, and that motion remains pending.</w:t>
      </w:r>
    </w:p>
    <w:p>
      <w:pPr>
        <w:spacing w:after="0" w:line="209"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auto"/>
        </w:rPr>
        <w:t>In May 2024, a stockholder derivative lawsuit was filed in the Court of Chancery of the State of Delaware (the “Delaware Chancery Court”) for the benefit of the Company as the nominal defendant (the “May 2024 Derivative Litigation”). The plaintiffs allege breaches of fiduciary duties, insider trading, unjust enrichment and other violations by certain past and present directors and senior executives of the Company and the Company’s private equity stockholders. On June 25, 2024, the Delaware Chancery Court stayed the May 2024 Derivative Litigation pending a ruling on the merits on the motion to dismiss the Amended Complaint in the Michigan Funds Litigation.</w:t>
      </w:r>
    </w:p>
    <w:p>
      <w:pPr>
        <w:spacing w:after="0" w:line="193"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The Company is vigorously defending the Michigan Funds Litigation and, if necessary, plans to vigorously defend the May 2024 Derivative Litigation.</w:t>
      </w:r>
    </w:p>
    <w:p>
      <w:pPr>
        <w:spacing w:after="0" w:line="186"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The Company has also received demands pursuant to 8 Del. C. §220 for inspections of its books and records (“220 Demands”) from shareholders purporting to investigate potential wrongdoing by Company fiduciaries and other issues relating to the Company’s statements regarding the safety of its use of EO and/or the EO tort lawsuits and other risks of its EO operations. The Company has produced documents in response to the 220 Demands and may produce additional documents.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Financial Instruments and Financial Risk</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We do not use derivatives for trading or speculative purposes and are not a party to leveraged derivatives.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 Designated in Hedge Relationships</w:t>
      </w:r>
    </w:p>
    <w:p>
      <w:pPr>
        <w:spacing w:after="0" w:line="242" w:lineRule="exact"/>
        <w:rPr>
          <w:sz w:val="20"/>
          <w:szCs w:val="20"/>
          <w:color w:val="auto"/>
        </w:rPr>
      </w:pPr>
    </w:p>
    <w:p>
      <w:pPr>
        <w:jc w:val="both"/>
        <w:ind w:right="160"/>
        <w:spacing w:after="0" w:line="325" w:lineRule="auto"/>
        <w:rPr>
          <w:sz w:val="20"/>
          <w:szCs w:val="20"/>
          <w:color w:val="auto"/>
        </w:rPr>
      </w:pPr>
      <w:r>
        <w:rPr>
          <w:rFonts w:ascii="Arial" w:cs="Arial" w:eastAsia="Arial" w:hAnsi="Arial"/>
          <w:sz w:val="17"/>
          <w:szCs w:val="17"/>
          <w:color w:val="auto"/>
        </w:rPr>
        <w:t>From time to time, the Company utilizes interest rate derivatives designated in hedge relationships to manage interest rate risk associated with our variable rate borrowings. These instruments are measured at fair value with changes in fair value recorded as a component of “Accumulated other comprehensive income (loss)” on our Consolidated Balance Sheets.</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In March 2023, we entered into an interest rate swap agreement with a notional amount of $400.0 million. The interest rate swap was effective on August 23, 2023 and expires on August 23, 2025. We have designated the interest rate swap as a cash flow hedge designed to hedge the variability of cash flows attributable to changes in the SOFR benchmark interest rate of our Term Loan (or any successor thereto). We receive interest at the one-month Term SOFR rate and pay a fixed interest rate under the terms of the swap agreement.</w:t>
      </w:r>
    </w:p>
    <w:p>
      <w:pPr>
        <w:spacing w:after="0" w:line="209"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In May 2022, we entered into two interest rate cap agreements with a combined notional amount of $1,000.0 million for a total option premium of $4.1 million. The interest rate caps were effective on July 31, 2023 and expired on July 31, 2024. We designated these interest rate caps as cash flow hedges designed to hedge the variability of cash flows attributable to changes in the benchmark interest rate of our Term Loan (or any successor thereto). Under the current terms of the loan agreement, the benchmark interest rate index transitioned from LIBOR to the Term SOFR on June 30, 2023. Accordingly, the interest rate cap agreements hedged the variability of cash flows attributable to changes in SOFR by limiting our cash flow exposure related to Term SOFR under a portion of our variable rate borrowings to 3.5%.</w:t>
      </w:r>
    </w:p>
    <w:p>
      <w:pPr>
        <w:spacing w:after="0" w:line="171"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color w:val="auto"/>
        </w:rPr>
        <w:t>In October 2021, we entered into two interest rate cap agreements with a combined notional amount of $1,000.0 million for a total option premium of $1.8 million. Both interest rate caps were effective on December 31, 2022 and expired on July 31, 2023. These interest rate caps were designated as cash flow hedges and were designed to hedge the variability of cash flows attributable to changes in LIBOR (or its successor), the benchmark interest rate being hedged, by limiting our cash flow exposure related to the LIBOR base rate under a portion of our variable rate borrowings to 1.0%.</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10040"/>
          </w:cols>
          <w:pgMar w:left="920" w:top="544" w:right="920" w:bottom="0" w:gutter="0" w:footer="0" w:header="0"/>
          <w:type w:val="continuous"/>
        </w:sectPr>
      </w:pPr>
    </w:p>
    <w:bookmarkStart w:id="115" w:name="page116"/>
    <w:bookmarkEnd w:id="115"/>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6"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Derivatives Not Designated in Hedge Relationships</w:t>
      </w:r>
    </w:p>
    <w:p>
      <w:pPr>
        <w:spacing w:after="0" w:line="242" w:lineRule="exact"/>
        <w:rPr>
          <w:sz w:val="20"/>
          <w:szCs w:val="20"/>
          <w:color w:val="auto"/>
        </w:rPr>
      </w:pPr>
    </w:p>
    <w:p>
      <w:pPr>
        <w:ind w:left="7" w:right="40"/>
        <w:spacing w:after="0" w:line="254" w:lineRule="auto"/>
        <w:rPr>
          <w:sz w:val="20"/>
          <w:szCs w:val="20"/>
          <w:color w:val="auto"/>
        </w:rPr>
      </w:pPr>
      <w:r>
        <w:rPr>
          <w:rFonts w:ascii="Arial" w:cs="Arial" w:eastAsia="Arial" w:hAnsi="Arial"/>
          <w:sz w:val="20"/>
          <w:szCs w:val="20"/>
          <w:color w:val="auto"/>
        </w:rPr>
        <w:t>Additionally, from time to time, the Company enters into interest rate derivatives to manage economic risks associated with our variable rate borrowings that are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spacing w:after="0" w:line="249" w:lineRule="exact"/>
        <w:rPr>
          <w:sz w:val="20"/>
          <w:szCs w:val="20"/>
          <w:color w:val="auto"/>
        </w:rPr>
      </w:pPr>
    </w:p>
    <w:p>
      <w:pPr>
        <w:ind w:left="7" w:right="280"/>
        <w:spacing w:after="0" w:line="258" w:lineRule="auto"/>
        <w:rPr>
          <w:sz w:val="20"/>
          <w:szCs w:val="20"/>
          <w:color w:val="auto"/>
        </w:rPr>
      </w:pPr>
      <w:r>
        <w:rPr>
          <w:rFonts w:ascii="Arial" w:cs="Arial" w:eastAsia="Arial" w:hAnsi="Arial"/>
          <w:sz w:val="20"/>
          <w:szCs w:val="20"/>
          <w:color w:val="auto"/>
        </w:rPr>
        <w:t>The Company also routinely enters into foreign currency forward contracts to manage foreign currency exchange rate risk of our intercompany loans in certain of our international subsidiaries and non-functional currency assets and liabilities. The foreign currency forward contracts expire on a monthly basis.</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Embedded Derivatives</w:t>
      </w:r>
    </w:p>
    <w:p>
      <w:pPr>
        <w:spacing w:after="0" w:line="242" w:lineRule="exact"/>
        <w:rPr>
          <w:sz w:val="20"/>
          <w:szCs w:val="20"/>
          <w:color w:val="auto"/>
        </w:rPr>
      </w:pPr>
    </w:p>
    <w:p>
      <w:pPr>
        <w:ind w:left="7" w:right="140"/>
        <w:spacing w:after="0" w:line="325" w:lineRule="auto"/>
        <w:rPr>
          <w:sz w:val="20"/>
          <w:szCs w:val="20"/>
          <w:color w:val="auto"/>
        </w:rPr>
      </w:pPr>
      <w:r>
        <w:rPr>
          <w:rFonts w:ascii="Arial" w:cs="Arial" w:eastAsia="Arial" w:hAnsi="Arial"/>
          <w:sz w:val="17"/>
          <w:szCs w:val="17"/>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provides a summary of the notional and fair values of our derivative instruments:</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8"/>
                <w:szCs w:val="18"/>
                <w:b w:val="1"/>
                <w:bCs w:val="1"/>
                <w:color w:val="auto"/>
              </w:rPr>
              <w:t>December 31, 2024</w:t>
            </w: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50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December 31, 2023</w:t>
            </w:r>
          </w:p>
        </w:tc>
        <w:tc>
          <w:tcPr>
            <w:tcW w:w="440" w:type="dxa"/>
            <w:vAlign w:val="bottom"/>
            <w:tcBorders>
              <w:bottom w:val="single" w:sz="8" w:color="auto"/>
            </w:tcBorders>
          </w:tcPr>
          <w:p>
            <w:pPr>
              <w:spacing w:after="0"/>
              <w:rPr>
                <w:sz w:val="20"/>
                <w:szCs w:val="20"/>
                <w:color w:val="auto"/>
              </w:rPr>
            </w:pPr>
          </w:p>
        </w:tc>
      </w:tr>
      <w:tr>
        <w:trPr>
          <w:trHeight w:val="219"/>
        </w:trPr>
        <w:tc>
          <w:tcPr>
            <w:tcW w:w="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87"/>
              </w:rPr>
              <w:t>(in U.S. dollars; notional in millions, fair value in thousands)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Fair Value</w:t>
            </w:r>
          </w:p>
        </w:tc>
        <w:tc>
          <w:tcPr>
            <w:tcW w:w="440" w:type="dxa"/>
            <w:vAlign w:val="bottom"/>
          </w:tcPr>
          <w:p>
            <w:pPr>
              <w:spacing w:after="0"/>
              <w:rPr>
                <w:sz w:val="19"/>
                <w:szCs w:val="19"/>
                <w:color w:val="auto"/>
              </w:rPr>
            </w:pPr>
          </w:p>
        </w:tc>
      </w:tr>
      <w:tr>
        <w:trPr>
          <w:trHeight w:val="25"/>
        </w:trPr>
        <w:tc>
          <w:tcPr>
            <w:tcW w:w="40" w:type="dxa"/>
            <w:vAlign w:val="bottom"/>
          </w:tcPr>
          <w:p>
            <w:pPr>
              <w:spacing w:after="0"/>
              <w:rPr>
                <w:sz w:val="2"/>
                <w:szCs w:val="2"/>
                <w:color w:val="auto"/>
              </w:rPr>
            </w:pPr>
          </w:p>
        </w:tc>
        <w:tc>
          <w:tcPr>
            <w:tcW w:w="38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r>
      <w:tr>
        <w:trPr>
          <w:trHeight w:val="197"/>
        </w:trPr>
        <w:tc>
          <w:tcPr>
            <w:tcW w:w="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
              <w:spacing w:after="0" w:line="197" w:lineRule="exact"/>
              <w:rPr>
                <w:sz w:val="20"/>
                <w:szCs w:val="20"/>
                <w:color w:val="auto"/>
              </w:rPr>
            </w:pPr>
            <w:r>
              <w:rPr>
                <w:rFonts w:ascii="Arial" w:cs="Arial" w:eastAsia="Arial" w:hAnsi="Arial"/>
                <w:sz w:val="18"/>
                <w:szCs w:val="18"/>
                <w:b w:val="1"/>
                <w:bCs w:val="1"/>
                <w:color w:val="auto"/>
              </w:rPr>
              <w:t>Notional</w:t>
            </w:r>
          </w:p>
        </w:tc>
        <w:tc>
          <w:tcPr>
            <w:tcW w:w="240" w:type="dxa"/>
            <w:vAlign w:val="bottom"/>
          </w:tcPr>
          <w:p>
            <w:pPr>
              <w:spacing w:after="0"/>
              <w:rPr>
                <w:sz w:val="17"/>
                <w:szCs w:val="17"/>
                <w:color w:val="auto"/>
              </w:rPr>
            </w:pPr>
          </w:p>
        </w:tc>
        <w:tc>
          <w:tcPr>
            <w:tcW w:w="920" w:type="dxa"/>
            <w:vAlign w:val="bottom"/>
            <w:gridSpan w:val="2"/>
          </w:tcPr>
          <w:p>
            <w:pPr>
              <w:ind w:left="80"/>
              <w:spacing w:after="0" w:line="197" w:lineRule="exact"/>
              <w:rPr>
                <w:sz w:val="20"/>
                <w:szCs w:val="20"/>
                <w:color w:val="auto"/>
              </w:rPr>
            </w:pPr>
            <w:r>
              <w:rPr>
                <w:rFonts w:ascii="Arial" w:cs="Arial" w:eastAsia="Arial" w:hAnsi="Arial"/>
                <w:sz w:val="18"/>
                <w:szCs w:val="18"/>
                <w:b w:val="1"/>
                <w:bCs w:val="1"/>
                <w:color w:val="auto"/>
                <w:w w:val="95"/>
              </w:rPr>
              <w:t>Derivative</w:t>
            </w:r>
          </w:p>
        </w:tc>
        <w:tc>
          <w:tcPr>
            <w:tcW w:w="940" w:type="dxa"/>
            <w:vAlign w:val="bottom"/>
            <w:gridSpan w:val="2"/>
          </w:tcPr>
          <w:p>
            <w:pPr>
              <w:jc w:val="right"/>
              <w:spacing w:after="0" w:line="197" w:lineRule="exact"/>
              <w:rPr>
                <w:sz w:val="20"/>
                <w:szCs w:val="20"/>
                <w:color w:val="auto"/>
              </w:rPr>
            </w:pPr>
            <w:r>
              <w:rPr>
                <w:rFonts w:ascii="Arial" w:cs="Arial" w:eastAsia="Arial" w:hAnsi="Arial"/>
                <w:sz w:val="18"/>
                <w:szCs w:val="18"/>
                <w:b w:val="1"/>
                <w:bCs w:val="1"/>
                <w:color w:val="auto"/>
                <w:w w:val="97"/>
              </w:rPr>
              <w:t>Derivative</w:t>
            </w:r>
          </w:p>
        </w:tc>
        <w:tc>
          <w:tcPr>
            <w:tcW w:w="60" w:type="dxa"/>
            <w:vAlign w:val="bottom"/>
          </w:tcPr>
          <w:p>
            <w:pPr>
              <w:spacing w:after="0"/>
              <w:rPr>
                <w:sz w:val="17"/>
                <w:szCs w:val="17"/>
                <w:color w:val="auto"/>
              </w:rPr>
            </w:pPr>
          </w:p>
        </w:tc>
        <w:tc>
          <w:tcPr>
            <w:tcW w:w="860" w:type="dxa"/>
            <w:vAlign w:val="bottom"/>
          </w:tcPr>
          <w:p>
            <w:pPr>
              <w:jc w:val="right"/>
              <w:ind w:right="9"/>
              <w:spacing w:after="0" w:line="197" w:lineRule="exact"/>
              <w:rPr>
                <w:sz w:val="20"/>
                <w:szCs w:val="20"/>
                <w:color w:val="auto"/>
              </w:rPr>
            </w:pPr>
            <w:r>
              <w:rPr>
                <w:rFonts w:ascii="Arial" w:cs="Arial" w:eastAsia="Arial" w:hAnsi="Arial"/>
                <w:sz w:val="18"/>
                <w:szCs w:val="18"/>
                <w:b w:val="1"/>
                <w:bCs w:val="1"/>
                <w:color w:val="auto"/>
              </w:rPr>
              <w:t>Notional</w:t>
            </w:r>
          </w:p>
        </w:tc>
        <w:tc>
          <w:tcPr>
            <w:tcW w:w="240" w:type="dxa"/>
            <w:vAlign w:val="bottom"/>
          </w:tcPr>
          <w:p>
            <w:pPr>
              <w:spacing w:after="0"/>
              <w:rPr>
                <w:sz w:val="17"/>
                <w:szCs w:val="17"/>
                <w:color w:val="auto"/>
              </w:rPr>
            </w:pPr>
          </w:p>
        </w:tc>
        <w:tc>
          <w:tcPr>
            <w:tcW w:w="920" w:type="dxa"/>
            <w:vAlign w:val="bottom"/>
            <w:gridSpan w:val="2"/>
          </w:tcPr>
          <w:p>
            <w:pPr>
              <w:ind w:left="80"/>
              <w:spacing w:after="0" w:line="197" w:lineRule="exact"/>
              <w:rPr>
                <w:sz w:val="20"/>
                <w:szCs w:val="20"/>
                <w:color w:val="auto"/>
              </w:rPr>
            </w:pPr>
            <w:r>
              <w:rPr>
                <w:rFonts w:ascii="Arial" w:cs="Arial" w:eastAsia="Arial" w:hAnsi="Arial"/>
                <w:sz w:val="18"/>
                <w:szCs w:val="18"/>
                <w:b w:val="1"/>
                <w:bCs w:val="1"/>
                <w:color w:val="auto"/>
                <w:w w:val="95"/>
              </w:rPr>
              <w:t>Derivative</w:t>
            </w:r>
          </w:p>
        </w:tc>
        <w:tc>
          <w:tcPr>
            <w:tcW w:w="920" w:type="dxa"/>
            <w:vAlign w:val="bottom"/>
            <w:gridSpan w:val="2"/>
          </w:tcPr>
          <w:p>
            <w:pPr>
              <w:ind w:left="80"/>
              <w:spacing w:after="0" w:line="197" w:lineRule="exact"/>
              <w:rPr>
                <w:sz w:val="20"/>
                <w:szCs w:val="20"/>
                <w:color w:val="auto"/>
              </w:rPr>
            </w:pPr>
            <w:r>
              <w:rPr>
                <w:rFonts w:ascii="Arial" w:cs="Arial" w:eastAsia="Arial" w:hAnsi="Arial"/>
                <w:sz w:val="18"/>
                <w:szCs w:val="18"/>
                <w:b w:val="1"/>
                <w:bCs w:val="1"/>
                <w:color w:val="auto"/>
                <w:w w:val="95"/>
              </w:rPr>
              <w:t>Derivative</w:t>
            </w:r>
          </w:p>
        </w:tc>
      </w:tr>
      <w:tr>
        <w:trPr>
          <w:trHeight w:val="234"/>
        </w:trPr>
        <w:tc>
          <w:tcPr>
            <w:tcW w:w="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w w:val="81"/>
              </w:rPr>
              <w:t>Assets</w:t>
            </w:r>
          </w:p>
        </w:tc>
        <w:tc>
          <w:tcPr>
            <w:tcW w:w="9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w w:val="98"/>
              </w:rPr>
              <w:t>Liabilities</w:t>
            </w: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5"/>
              <w:spacing w:after="0"/>
              <w:rPr>
                <w:sz w:val="20"/>
                <w:szCs w:val="20"/>
                <w:color w:val="auto"/>
              </w:rPr>
            </w:pPr>
            <w:r>
              <w:rPr>
                <w:rFonts w:ascii="Arial" w:cs="Arial" w:eastAsia="Arial" w:hAnsi="Arial"/>
                <w:sz w:val="18"/>
                <w:szCs w:val="18"/>
                <w:b w:val="1"/>
                <w:bCs w:val="1"/>
                <w:color w:val="auto"/>
                <w:w w:val="81"/>
              </w:rPr>
              <w:t>Assets</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Liabilities</w:t>
            </w:r>
          </w:p>
        </w:tc>
      </w:tr>
      <w:tr>
        <w:trPr>
          <w:trHeight w:val="255"/>
        </w:trPr>
        <w:tc>
          <w:tcPr>
            <w:tcW w:w="40" w:type="dxa"/>
            <w:vAlign w:val="bottom"/>
          </w:tcPr>
          <w:p>
            <w:pPr>
              <w:spacing w:after="0"/>
              <w:rPr>
                <w:sz w:val="22"/>
                <w:szCs w:val="22"/>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w w:val="96"/>
              </w:rPr>
              <w:t>Derivatives designated as hedging instruments</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0"/>
        </w:trPr>
        <w:tc>
          <w:tcPr>
            <w:tcW w:w="40" w:type="dxa"/>
            <w:vAlign w:val="bottom"/>
          </w:tcPr>
          <w:p>
            <w:pPr>
              <w:spacing w:after="0"/>
              <w:rPr>
                <w:sz w:val="24"/>
                <w:szCs w:val="24"/>
                <w:color w:val="auto"/>
              </w:rPr>
            </w:pPr>
          </w:p>
        </w:tc>
        <w:tc>
          <w:tcPr>
            <w:tcW w:w="4020" w:type="dxa"/>
            <w:vAlign w:val="bottom"/>
            <w:gridSpan w:val="2"/>
          </w:tcPr>
          <w:p>
            <w:pPr>
              <w:ind w:left="240"/>
              <w:spacing w:after="0"/>
              <w:rPr>
                <w:sz w:val="20"/>
                <w:szCs w:val="20"/>
                <w:color w:val="auto"/>
              </w:rPr>
            </w:pPr>
            <w:r>
              <w:rPr>
                <w:rFonts w:ascii="Arial" w:cs="Arial" w:eastAsia="Arial" w:hAnsi="Arial"/>
                <w:sz w:val="20"/>
                <w:szCs w:val="20"/>
                <w:color w:val="auto"/>
              </w:rPr>
              <w:t>Interest rate caps</w:t>
            </w:r>
          </w:p>
        </w:tc>
        <w:tc>
          <w:tcPr>
            <w:tcW w:w="26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1140" w:type="dxa"/>
            <w:vAlign w:val="bottom"/>
            <w:gridSpan w:val="2"/>
          </w:tcPr>
          <w:p>
            <w:pPr>
              <w:jc w:val="right"/>
              <w:ind w:right="169"/>
              <w:spacing w:after="0"/>
              <w:rPr>
                <w:sz w:val="20"/>
                <w:szCs w:val="20"/>
                <w:color w:val="auto"/>
              </w:rPr>
            </w:pPr>
            <w:r>
              <w:rPr>
                <w:rFonts w:ascii="Arial" w:cs="Arial" w:eastAsia="Arial" w:hAnsi="Arial"/>
                <w:sz w:val="20"/>
                <w:szCs w:val="20"/>
                <w:b w:val="1"/>
                <w:bCs w:val="1"/>
                <w:color w:val="auto"/>
              </w:rPr>
              <w:t>— $</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$ 1,000.0</w:t>
            </w:r>
          </w:p>
        </w:tc>
        <w:tc>
          <w:tcPr>
            <w:tcW w:w="24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8,763</w:t>
            </w:r>
          </w:p>
        </w:tc>
        <w:tc>
          <w:tcPr>
            <w:tcW w:w="480" w:type="dxa"/>
            <w:vAlign w:val="bottom"/>
          </w:tcPr>
          <w:p>
            <w:pPr>
              <w:ind w:left="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0" w:type="dxa"/>
            <w:vAlign w:val="bottom"/>
          </w:tcPr>
          <w:p>
            <w:pPr>
              <w:spacing w:after="0"/>
              <w:rPr>
                <w:sz w:val="24"/>
                <w:szCs w:val="24"/>
                <w:color w:val="auto"/>
              </w:rPr>
            </w:pPr>
          </w:p>
        </w:tc>
        <w:tc>
          <w:tcPr>
            <w:tcW w:w="4020" w:type="dxa"/>
            <w:vAlign w:val="bottom"/>
            <w:gridSpan w:val="2"/>
          </w:tcPr>
          <w:p>
            <w:pPr>
              <w:ind w:left="240"/>
              <w:spacing w:after="0"/>
              <w:rPr>
                <w:sz w:val="20"/>
                <w:szCs w:val="20"/>
                <w:color w:val="auto"/>
              </w:rPr>
            </w:pPr>
            <w:r>
              <w:rPr>
                <w:rFonts w:ascii="Arial" w:cs="Arial" w:eastAsia="Arial" w:hAnsi="Arial"/>
                <w:sz w:val="20"/>
                <w:szCs w:val="20"/>
                <w:color w:val="auto"/>
              </w:rPr>
              <w:t>Interest rate swaps</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400.0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459</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400.0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1,487</w:t>
            </w:r>
          </w:p>
        </w:tc>
        <w:tc>
          <w:tcPr>
            <w:tcW w:w="4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w w:val="89"/>
              </w:rPr>
              <w:t>Derivatives not designated as hedging instruments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020" w:type="dxa"/>
            <w:vAlign w:val="bottom"/>
            <w:gridSpan w:val="2"/>
          </w:tcPr>
          <w:p>
            <w:pPr>
              <w:ind w:left="240"/>
              <w:spacing w:after="0"/>
              <w:rPr>
                <w:sz w:val="20"/>
                <w:szCs w:val="20"/>
                <w:color w:val="auto"/>
              </w:rPr>
            </w:pPr>
            <w:r>
              <w:rPr>
                <w:rFonts w:ascii="Arial" w:cs="Arial" w:eastAsia="Arial" w:hAnsi="Arial"/>
                <w:sz w:val="20"/>
                <w:szCs w:val="20"/>
                <w:color w:val="auto"/>
              </w:rPr>
              <w:t>Foreign currency forward contracts</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263.7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88</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rPr>
              <w:t>198</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171.0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149</w:t>
            </w:r>
          </w:p>
        </w:tc>
        <w:tc>
          <w:tcPr>
            <w:tcW w:w="4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40" w:type="dxa"/>
            <w:vAlign w:val="bottom"/>
          </w:tcPr>
          <w:p>
            <w:pPr>
              <w:spacing w:after="0"/>
              <w:rPr>
                <w:sz w:val="24"/>
                <w:szCs w:val="24"/>
                <w:color w:val="auto"/>
              </w:rPr>
            </w:pPr>
          </w:p>
        </w:tc>
        <w:tc>
          <w:tcPr>
            <w:tcW w:w="4020" w:type="dxa"/>
            <w:vAlign w:val="bottom"/>
            <w:gridSpan w:val="2"/>
          </w:tcPr>
          <w:p>
            <w:pPr>
              <w:ind w:left="240"/>
              <w:spacing w:after="0"/>
              <w:rPr>
                <w:sz w:val="20"/>
                <w:szCs w:val="20"/>
                <w:color w:val="auto"/>
              </w:rPr>
            </w:pPr>
            <w:r>
              <w:rPr>
                <w:rFonts w:ascii="Arial" w:cs="Arial" w:eastAsia="Arial" w:hAnsi="Arial"/>
                <w:sz w:val="20"/>
                <w:szCs w:val="20"/>
                <w:color w:val="auto"/>
              </w:rPr>
              <w:t>Embedded derivatives</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230.8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(a)</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2,689</w:t>
            </w: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4,098</w:t>
            </w:r>
          </w:p>
        </w:tc>
        <w:tc>
          <w:tcPr>
            <w:tcW w:w="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150.1</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(a)</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w:t>
            </w: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405</w:t>
            </w:r>
          </w:p>
        </w:tc>
      </w:tr>
      <w:tr>
        <w:trPr>
          <w:trHeight w:val="269"/>
        </w:trPr>
        <w:tc>
          <w:tcPr>
            <w:tcW w:w="40" w:type="dxa"/>
            <w:vAlign w:val="bottom"/>
          </w:tcPr>
          <w:p>
            <w:pPr>
              <w:spacing w:after="0"/>
              <w:rPr>
                <w:sz w:val="23"/>
                <w:szCs w:val="23"/>
                <w:color w:val="auto"/>
              </w:rPr>
            </w:pPr>
          </w:p>
        </w:tc>
        <w:tc>
          <w:tcPr>
            <w:tcW w:w="4020" w:type="dxa"/>
            <w:vAlign w:val="bottom"/>
            <w:gridSpan w:val="2"/>
          </w:tcPr>
          <w:p>
            <w:pPr>
              <w:ind w:left="360"/>
              <w:spacing w:after="0"/>
              <w:rPr>
                <w:sz w:val="20"/>
                <w:szCs w:val="20"/>
                <w:color w:val="auto"/>
              </w:rPr>
            </w:pPr>
            <w:r>
              <w:rPr>
                <w:rFonts w:ascii="Arial" w:cs="Arial" w:eastAsia="Arial" w:hAnsi="Arial"/>
                <w:sz w:val="20"/>
                <w:szCs w:val="20"/>
                <w:b w:val="1"/>
                <w:bCs w:val="1"/>
                <w:color w:val="auto"/>
              </w:rPr>
              <w:t>Total</w:t>
            </w:r>
          </w:p>
        </w:tc>
        <w:tc>
          <w:tcPr>
            <w:tcW w:w="260" w:type="dxa"/>
            <w:vAlign w:val="bottom"/>
          </w:tcPr>
          <w:p>
            <w:pPr>
              <w:jc w:val="right"/>
              <w:ind w:right="7"/>
              <w:spacing w:after="0"/>
              <w:rPr>
                <w:sz w:val="20"/>
                <w:szCs w:val="20"/>
                <w:color w:val="auto"/>
              </w:rPr>
            </w:pPr>
            <w:r>
              <w:rPr>
                <w:rFonts w:ascii="Arial" w:cs="Arial" w:eastAsia="Arial" w:hAnsi="Arial"/>
                <w:sz w:val="20"/>
                <w:szCs w:val="20"/>
                <w:b w:val="1"/>
                <w:bCs w:val="1"/>
                <w:color w:val="auto"/>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auto"/>
              </w:rPr>
              <w:t>894.5</w:t>
            </w:r>
          </w:p>
        </w:tc>
        <w:tc>
          <w:tcPr>
            <w:tcW w:w="24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20"/>
                <w:szCs w:val="20"/>
                <w:b w:val="1"/>
                <w:bCs w:val="1"/>
                <w:color w:val="auto"/>
              </w:rPr>
              <w:t>$</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rPr>
              <w:t>3,236</w:t>
            </w:r>
          </w:p>
        </w:tc>
        <w:tc>
          <w:tcPr>
            <w:tcW w:w="420" w:type="dxa"/>
            <w:vAlign w:val="bottom"/>
          </w:tcPr>
          <w:p>
            <w:pPr>
              <w:jc w:val="right"/>
              <w:ind w:right="169"/>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jc w:val="right"/>
              <w:spacing w:after="0"/>
              <w:rPr>
                <w:sz w:val="20"/>
                <w:szCs w:val="20"/>
                <w:color w:val="auto"/>
              </w:rPr>
            </w:pPr>
            <w:r>
              <w:rPr>
                <w:rFonts w:ascii="Arial" w:cs="Arial" w:eastAsia="Arial" w:hAnsi="Arial"/>
                <w:sz w:val="20"/>
                <w:szCs w:val="20"/>
                <w:b w:val="1"/>
                <w:bCs w:val="1"/>
                <w:color w:val="auto"/>
                <w:w w:val="83"/>
              </w:rPr>
              <w:t>4,296</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$ 1,721.1</w:t>
            </w:r>
          </w:p>
        </w:tc>
        <w:tc>
          <w:tcPr>
            <w:tcW w:w="24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11,624</w:t>
            </w:r>
          </w:p>
        </w:tc>
        <w:tc>
          <w:tcPr>
            <w:tcW w:w="480" w:type="dxa"/>
            <w:vAlign w:val="bottom"/>
          </w:tcPr>
          <w:p>
            <w:pPr>
              <w:ind w:left="60"/>
              <w:spacing w:after="0"/>
              <w:rPr>
                <w:sz w:val="20"/>
                <w:szCs w:val="20"/>
                <w:color w:val="auto"/>
              </w:rPr>
            </w:pPr>
            <w:r>
              <w:rPr>
                <w:rFonts w:ascii="Arial" w:cs="Arial" w:eastAsia="Arial" w:hAnsi="Arial"/>
                <w:sz w:val="20"/>
                <w:szCs w:val="20"/>
                <w:color w:val="auto"/>
              </w:rPr>
              <w:t>$</w:t>
            </w:r>
          </w:p>
        </w:tc>
        <w:tc>
          <w:tcPr>
            <w:tcW w:w="440" w:type="dxa"/>
            <w:vAlign w:val="bottom"/>
          </w:tcPr>
          <w:p>
            <w:pPr>
              <w:jc w:val="right"/>
              <w:spacing w:after="0"/>
              <w:rPr>
                <w:sz w:val="20"/>
                <w:szCs w:val="20"/>
                <w:color w:val="auto"/>
              </w:rPr>
            </w:pPr>
            <w:r>
              <w:rPr>
                <w:rFonts w:ascii="Arial" w:cs="Arial" w:eastAsia="Arial" w:hAnsi="Arial"/>
                <w:sz w:val="20"/>
                <w:szCs w:val="20"/>
                <w:color w:val="auto"/>
              </w:rPr>
              <w:t>414</w:t>
            </w: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-1290955</wp:posOffset>
            </wp:positionV>
            <wp:extent cx="6400800" cy="129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400800" cy="1297940"/>
                    </a:xfrm>
                    <a:prstGeom prst="rect">
                      <a:avLst/>
                    </a:prstGeom>
                    <a:noFill/>
                  </pic:spPr>
                </pic:pic>
              </a:graphicData>
            </a:graphic>
          </wp:anchor>
        </w:drawing>
      </w:r>
    </w:p>
    <w:p>
      <w:pPr>
        <w:ind w:left="347" w:right="160" w:hanging="347"/>
        <w:spacing w:after="0" w:line="271" w:lineRule="auto"/>
        <w:tabs>
          <w:tab w:leader="none" w:pos="347" w:val="left"/>
        </w:tabs>
        <w:numPr>
          <w:ilvl w:val="0"/>
          <w:numId w:val="50"/>
        </w:numPr>
        <w:rPr>
          <w:rFonts w:ascii="Arial" w:cs="Arial" w:eastAsia="Arial" w:hAnsi="Arial"/>
          <w:sz w:val="18"/>
          <w:szCs w:val="18"/>
          <w:color w:val="auto"/>
        </w:rPr>
      </w:pPr>
      <w:r>
        <w:rPr>
          <w:rFonts w:ascii="Arial" w:cs="Arial" w:eastAsia="Arial" w:hAnsi="Arial"/>
          <w:sz w:val="20"/>
          <w:szCs w:val="20"/>
          <w:color w:val="auto"/>
        </w:rPr>
        <w:t>Represents the total notional amounts for certain of the Company’s supply and sales contracts accounted for as embedded derivatives.</w:t>
      </w:r>
    </w:p>
    <w:p>
      <w:pPr>
        <w:spacing w:after="0" w:line="186" w:lineRule="exact"/>
        <w:rPr>
          <w:sz w:val="20"/>
          <w:szCs w:val="20"/>
          <w:color w:val="auto"/>
        </w:rPr>
      </w:pPr>
    </w:p>
    <w:p>
      <w:pPr>
        <w:ind w:left="7"/>
        <w:spacing w:after="0" w:line="254" w:lineRule="auto"/>
        <w:rPr>
          <w:sz w:val="20"/>
          <w:szCs w:val="20"/>
          <w:color w:val="auto"/>
        </w:rPr>
      </w:pPr>
      <w:r>
        <w:rPr>
          <w:rFonts w:ascii="Arial" w:cs="Arial" w:eastAsia="Arial" w:hAnsi="Arial"/>
          <w:sz w:val="20"/>
          <w:szCs w:val="20"/>
          <w:color w:val="auto"/>
        </w:rPr>
        <w:t>Embedded derivatives assets and foreign currency forward contracts are included in “Prepaid expenses and other current assets” and “Accrued Liabilities” on our Consolidated Balance Sheets depending upon their position at period end. Interest rate swaps and interest rate caps are included in “Other assets” and “Noncurrent liabilities” on the Consolidated Balance Sheets depending upon their position at period end.</w:t>
      </w:r>
    </w:p>
    <w:p>
      <w:pPr>
        <w:spacing w:after="0" w:line="202" w:lineRule="exact"/>
        <w:rPr>
          <w:sz w:val="20"/>
          <w:szCs w:val="20"/>
          <w:color w:val="auto"/>
        </w:rPr>
      </w:pPr>
    </w:p>
    <w:p>
      <w:pPr>
        <w:ind w:left="7" w:right="80"/>
        <w:spacing w:after="0" w:line="271" w:lineRule="auto"/>
        <w:rPr>
          <w:sz w:val="20"/>
          <w:szCs w:val="20"/>
          <w:color w:val="auto"/>
        </w:rPr>
      </w:pPr>
      <w:r>
        <w:rPr>
          <w:rFonts w:ascii="Arial" w:cs="Arial" w:eastAsia="Arial" w:hAnsi="Arial"/>
          <w:sz w:val="20"/>
          <w:szCs w:val="20"/>
          <w:color w:val="auto"/>
        </w:rPr>
        <w:t>The following tables summarize the activities of our derivative instruments for the periods presented, and the line item they are recorded in the Consolidated Statements of Operations and Comprehensive Income (Loss):</w:t>
      </w:r>
    </w:p>
    <w:p>
      <w:pPr>
        <w:spacing w:after="0" w:line="248"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00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70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jc w:val="right"/>
              <w:ind w:right="266"/>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66"/>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66"/>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20"/>
                <w:szCs w:val="20"/>
                <w:color w:val="auto"/>
                <w:w w:val="98"/>
              </w:rPr>
              <w:t>Realized gain on interest rate derivatives recorded in interest expense, net</w:t>
            </w:r>
            <w:r>
              <w:rPr>
                <w:rFonts w:ascii="Arial" w:cs="Arial" w:eastAsia="Arial" w:hAnsi="Arial"/>
                <w:sz w:val="25"/>
                <w:szCs w:val="25"/>
                <w:color w:val="auto"/>
                <w:w w:val="98"/>
                <w:vertAlign w:val="superscript"/>
              </w:rPr>
              <w:t>(a)</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6700" w:type="dxa"/>
            <w:vAlign w:val="bottom"/>
            <w:gridSpan w:val="3"/>
            <w:vMerge w:val="continue"/>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  (13,233)</w:t>
            </w:r>
          </w:p>
        </w:tc>
        <w:tc>
          <w:tcPr>
            <w:tcW w:w="38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(33,094)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tcPr>
          <w:p>
            <w:pPr>
              <w:jc w:val="right"/>
              <w:spacing w:after="0"/>
              <w:rPr>
                <w:sz w:val="20"/>
                <w:szCs w:val="20"/>
                <w:color w:val="auto"/>
              </w:rPr>
            </w:pPr>
            <w:r>
              <w:rPr>
                <w:rFonts w:ascii="Arial" w:cs="Arial" w:eastAsia="Arial" w:hAnsi="Arial"/>
                <w:sz w:val="20"/>
                <w:szCs w:val="20"/>
                <w:color w:val="auto"/>
              </w:rPr>
              <w:t>(12,226)</w:t>
            </w:r>
          </w:p>
        </w:tc>
        <w:tc>
          <w:tcPr>
            <w:tcW w:w="0" w:type="dxa"/>
            <w:vAlign w:val="bottom"/>
          </w:tcPr>
          <w:p>
            <w:pPr>
              <w:spacing w:after="0"/>
              <w:rPr>
                <w:sz w:val="1"/>
                <w:szCs w:val="1"/>
                <w:color w:val="auto"/>
              </w:rPr>
            </w:pPr>
          </w:p>
        </w:tc>
      </w:tr>
      <w:tr>
        <w:trPr>
          <w:trHeight w:val="259"/>
        </w:trPr>
        <w:tc>
          <w:tcPr>
            <w:tcW w:w="6700" w:type="dxa"/>
            <w:vAlign w:val="bottom"/>
            <w:gridSpan w:val="3"/>
          </w:tcPr>
          <w:p>
            <w:pPr>
              <w:spacing w:after="0"/>
              <w:rPr>
                <w:sz w:val="20"/>
                <w:szCs w:val="20"/>
                <w:color w:val="auto"/>
              </w:rPr>
            </w:pPr>
            <w:r>
              <w:rPr>
                <w:rFonts w:ascii="Arial" w:cs="Arial" w:eastAsia="Arial" w:hAnsi="Arial"/>
                <w:sz w:val="20"/>
                <w:szCs w:val="20"/>
                <w:color w:val="auto"/>
                <w:w w:val="97"/>
              </w:rPr>
              <w:t>Unrealized loss (gain) on embedded derivatives recorded in other income, net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2,213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(1,637)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1,324</w:t>
            </w:r>
          </w:p>
        </w:tc>
        <w:tc>
          <w:tcPr>
            <w:tcW w:w="0" w:type="dxa"/>
            <w:vAlign w:val="bottom"/>
          </w:tcPr>
          <w:p>
            <w:pPr>
              <w:spacing w:after="0"/>
              <w:rPr>
                <w:sz w:val="1"/>
                <w:szCs w:val="1"/>
                <w:color w:val="auto"/>
              </w:rPr>
            </w:pPr>
          </w:p>
        </w:tc>
      </w:tr>
      <w:tr>
        <w:trPr>
          <w:trHeight w:val="231"/>
        </w:trPr>
        <w:tc>
          <w:tcPr>
            <w:tcW w:w="6700" w:type="dxa"/>
            <w:vAlign w:val="bottom"/>
            <w:gridSpan w:val="3"/>
          </w:tcPr>
          <w:p>
            <w:pPr>
              <w:spacing w:after="0"/>
              <w:rPr>
                <w:sz w:val="20"/>
                <w:szCs w:val="20"/>
                <w:color w:val="auto"/>
              </w:rPr>
            </w:pPr>
            <w:r>
              <w:rPr>
                <w:rFonts w:ascii="Arial" w:cs="Arial" w:eastAsia="Arial" w:hAnsi="Arial"/>
                <w:sz w:val="20"/>
                <w:szCs w:val="20"/>
                <w:color w:val="auto"/>
                <w:w w:val="97"/>
              </w:rPr>
              <w:t>Realized loss (gain) on foreign currency forward contracts recorded in foreign</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18,055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(2,025)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3,931</w:t>
            </w:r>
          </w:p>
        </w:tc>
        <w:tc>
          <w:tcPr>
            <w:tcW w:w="0" w:type="dxa"/>
            <w:vAlign w:val="bottom"/>
          </w:tcPr>
          <w:p>
            <w:pPr>
              <w:spacing w:after="0"/>
              <w:rPr>
                <w:sz w:val="1"/>
                <w:szCs w:val="1"/>
                <w:color w:val="auto"/>
              </w:rPr>
            </w:pPr>
          </w:p>
        </w:tc>
      </w:tr>
      <w:tr>
        <w:trPr>
          <w:trHeight w:val="255"/>
        </w:trPr>
        <w:tc>
          <w:tcPr>
            <w:tcW w:w="6700" w:type="dxa"/>
            <w:vAlign w:val="bottom"/>
            <w:gridSpan w:val="3"/>
          </w:tcPr>
          <w:p>
            <w:pPr>
              <w:ind w:left="360"/>
              <w:spacing w:after="0"/>
              <w:rPr>
                <w:sz w:val="20"/>
                <w:szCs w:val="20"/>
                <w:color w:val="auto"/>
              </w:rPr>
            </w:pPr>
            <w:r>
              <w:rPr>
                <w:rFonts w:ascii="Arial" w:cs="Arial" w:eastAsia="Arial" w:hAnsi="Arial"/>
                <w:sz w:val="20"/>
                <w:szCs w:val="20"/>
                <w:color w:val="auto"/>
              </w:rPr>
              <w:t>exchange loss</w:t>
            </w:r>
          </w:p>
        </w:tc>
        <w:tc>
          <w:tcPr>
            <w:tcW w:w="10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700" w:type="dxa"/>
            <w:vAlign w:val="bottom"/>
            <w:gridSpan w:val="3"/>
          </w:tcPr>
          <w:p>
            <w:pPr>
              <w:spacing w:after="0" w:line="201" w:lineRule="exact"/>
              <w:rPr>
                <w:sz w:val="20"/>
                <w:szCs w:val="20"/>
                <w:color w:val="auto"/>
              </w:rPr>
            </w:pPr>
            <w:r>
              <w:rPr>
                <w:rFonts w:ascii="Arial" w:cs="Arial" w:eastAsia="Arial" w:hAnsi="Arial"/>
                <w:sz w:val="20"/>
                <w:szCs w:val="20"/>
                <w:color w:val="auto"/>
                <w:w w:val="95"/>
              </w:rPr>
              <w:t>Unrealized loss (gain) on foreign currency forward contracts recorded in foreign</w:t>
            </w:r>
          </w:p>
        </w:tc>
        <w:tc>
          <w:tcPr>
            <w:tcW w:w="10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249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(412)</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272</w:t>
            </w:r>
          </w:p>
        </w:tc>
        <w:tc>
          <w:tcPr>
            <w:tcW w:w="0" w:type="dxa"/>
            <w:vAlign w:val="bottom"/>
          </w:tcPr>
          <w:p>
            <w:pPr>
              <w:spacing w:after="0"/>
              <w:rPr>
                <w:sz w:val="1"/>
                <w:szCs w:val="1"/>
                <w:color w:val="auto"/>
              </w:rPr>
            </w:pPr>
          </w:p>
        </w:tc>
      </w:tr>
      <w:tr>
        <w:trPr>
          <w:trHeight w:val="255"/>
        </w:trPr>
        <w:tc>
          <w:tcPr>
            <w:tcW w:w="6700" w:type="dxa"/>
            <w:vAlign w:val="bottom"/>
            <w:gridSpan w:val="3"/>
          </w:tcPr>
          <w:p>
            <w:pPr>
              <w:ind w:left="360"/>
              <w:spacing w:after="0"/>
              <w:rPr>
                <w:sz w:val="20"/>
                <w:szCs w:val="20"/>
                <w:color w:val="auto"/>
              </w:rPr>
            </w:pPr>
            <w:r>
              <w:rPr>
                <w:rFonts w:ascii="Arial" w:cs="Arial" w:eastAsia="Arial" w:hAnsi="Arial"/>
                <w:sz w:val="20"/>
                <w:szCs w:val="20"/>
                <w:color w:val="auto"/>
              </w:rPr>
              <w:t>exchange loss</w:t>
            </w:r>
          </w:p>
        </w:tc>
        <w:tc>
          <w:tcPr>
            <w:tcW w:w="10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-955675</wp:posOffset>
            </wp:positionV>
            <wp:extent cx="6410325" cy="9772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6410325" cy="977265"/>
                    </a:xfrm>
                    <a:prstGeom prst="rect">
                      <a:avLst/>
                    </a:prstGeom>
                    <a:noFill/>
                  </pic:spPr>
                </pic:pic>
              </a:graphicData>
            </a:graphic>
          </wp:anchor>
        </w:drawing>
      </w:r>
    </w:p>
    <w:p>
      <w:pPr>
        <w:spacing w:after="0" w:line="34" w:lineRule="exact"/>
        <w:rPr>
          <w:sz w:val="20"/>
          <w:szCs w:val="20"/>
          <w:color w:val="auto"/>
        </w:rPr>
      </w:pPr>
    </w:p>
    <w:p>
      <w:pPr>
        <w:ind w:left="627" w:hanging="627"/>
        <w:spacing w:after="0"/>
        <w:tabs>
          <w:tab w:leader="none" w:pos="627" w:val="left"/>
        </w:tabs>
        <w:numPr>
          <w:ilvl w:val="0"/>
          <w:numId w:val="51"/>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7"/>
          <w:szCs w:val="17"/>
          <w:color w:val="auto"/>
        </w:rPr>
        <w:t>mounts represent periodic settlement of interest rate caps and swaps.</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10047"/>
          </w:cols>
          <w:pgMar w:left="913" w:top="544" w:right="92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color w:val="auto"/>
        </w:rPr>
        <w:t>We expect to reclassify approximately $0.5 million of after-tax net gains on derivative instruments from accumulated other comprehensive income (loss) to income during the next 12 months associated with our cash flow hedges. Refer to Note 13, “Other Comprehensive Income (Loss)” for unrealized gains on interest rate derivatives, net of applicable tax, recorded in other comprehensive income (loss) and amounts reclassified from accumulated other comprehensive income to interest expense, net of applicable tax, during the years ended December 31, 2024 and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Certain of our financial assets, including cash and cash equivalents, are exposed to credit risk.</w:t>
      </w:r>
    </w:p>
    <w:p>
      <w:pPr>
        <w:spacing w:after="0" w:line="240" w:lineRule="exact"/>
        <w:rPr>
          <w:sz w:val="20"/>
          <w:szCs w:val="20"/>
          <w:color w:val="auto"/>
        </w:rPr>
      </w:pPr>
    </w:p>
    <w:p>
      <w:pPr>
        <w:ind w:right="180"/>
        <w:spacing w:after="0" w:line="361" w:lineRule="auto"/>
        <w:rPr>
          <w:sz w:val="20"/>
          <w:szCs w:val="20"/>
          <w:color w:val="auto"/>
        </w:rPr>
      </w:pPr>
      <w:r>
        <w:rPr>
          <w:rFonts w:ascii="Arial" w:cs="Arial" w:eastAsia="Arial" w:hAnsi="Arial"/>
          <w:sz w:val="17"/>
          <w:szCs w:val="17"/>
          <w:color w:val="auto"/>
        </w:rPr>
        <w:t>We are also exposed, in our normal course of business, to credit risk from our customers. As of December 31, 2024 and 2023, accounts receivable was net of an allowance for uncollectible accounts of $2.5 million and $4.7 million, respectively.</w:t>
      </w:r>
    </w:p>
    <w:p>
      <w:pPr>
        <w:spacing w:after="0" w:line="118"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9"/>
          <w:szCs w:val="19"/>
          <w:color w:val="auto"/>
        </w:rPr>
        <w:t>Our credit team evaluates and regularly monitors changes in the credit risk of our customers. We routinely assess the collectability of accounts receivable and maintain an adequate allowance for uncollectible accounts to address potential credit losses. The process includes a review of customer financial information and credit ratings, current market conditions as well as the expected future economic conditions that may impact the collection of trade receivables. We regularly review our customers’ past due amounts through an analysis of aged accounts receivables, specific customer past due aging amounts, and the history of trade receivables written off. Upon concluding that a receivable balance is not collectible, the balance is written off against the allowance for uncollectible accounts.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130"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10040"/>
          </w:cols>
          <w:pgMar w:left="920" w:top="544" w:right="920" w:bottom="0" w:gutter="0" w:footer="0" w:header="0"/>
          <w:type w:val="continuous"/>
        </w:sectPr>
      </w:pPr>
    </w:p>
    <w:bookmarkStart w:id="117" w:name="page118"/>
    <w:bookmarkEnd w:id="117"/>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20"/>
          <w:szCs w:val="20"/>
          <w:color w:val="auto"/>
        </w:rPr>
        <w:t>The following table discloses the fair value our financial assets and liabilities:</w:t>
      </w:r>
    </w:p>
    <w:p>
      <w:pPr>
        <w:spacing w:after="0" w:line="185"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552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2024</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6"/>
                <w:szCs w:val="16"/>
                <w:b w:val="1"/>
                <w:bCs w:val="1"/>
                <w:color w:val="auto"/>
                <w:w w:val="91"/>
              </w:rPr>
              <w:t>Fair Value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6"/>
                <w:szCs w:val="16"/>
                <w:b w:val="1"/>
                <w:bCs w:val="1"/>
                <w:i w:val="1"/>
                <w:iCs w:val="1"/>
                <w:color w:val="auto"/>
                <w:w w:val="82"/>
              </w:rPr>
              <w:t>(thousands of U.S. dollars)</w:t>
            </w: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280"/>
              <w:spacing w:after="0" w:line="173" w:lineRule="exact"/>
              <w:rPr>
                <w:sz w:val="20"/>
                <w:szCs w:val="20"/>
                <w:color w:val="auto"/>
              </w:rPr>
            </w:pPr>
            <w:r>
              <w:rPr>
                <w:rFonts w:ascii="Arial" w:cs="Arial" w:eastAsia="Arial" w:hAnsi="Arial"/>
                <w:sz w:val="16"/>
                <w:szCs w:val="16"/>
                <w:b w:val="1"/>
                <w:bCs w:val="1"/>
                <w:color w:val="auto"/>
                <w:w w:val="89"/>
              </w:rPr>
              <w:t>Amount</w:t>
            </w:r>
          </w:p>
        </w:tc>
        <w:tc>
          <w:tcPr>
            <w:tcW w:w="200" w:type="dxa"/>
            <w:vAlign w:val="bottom"/>
          </w:tcPr>
          <w:p>
            <w:pPr>
              <w:spacing w:after="0"/>
              <w:rPr>
                <w:sz w:val="15"/>
                <w:szCs w:val="15"/>
                <w:color w:val="auto"/>
              </w:rPr>
            </w:pPr>
          </w:p>
        </w:tc>
        <w:tc>
          <w:tcPr>
            <w:tcW w:w="1100" w:type="dxa"/>
            <w:vAlign w:val="bottom"/>
            <w:gridSpan w:val="3"/>
          </w:tcPr>
          <w:p>
            <w:pPr>
              <w:ind w:left="80"/>
              <w:spacing w:after="0" w:line="173" w:lineRule="exact"/>
              <w:rPr>
                <w:sz w:val="20"/>
                <w:szCs w:val="20"/>
                <w:color w:val="auto"/>
              </w:rPr>
            </w:pPr>
            <w:r>
              <w:rPr>
                <w:rFonts w:ascii="Arial" w:cs="Arial" w:eastAsia="Arial" w:hAnsi="Arial"/>
                <w:sz w:val="16"/>
                <w:szCs w:val="16"/>
                <w:b w:val="1"/>
                <w:bCs w:val="1"/>
                <w:color w:val="auto"/>
              </w:rPr>
              <w:t>Level 1</w:t>
            </w:r>
          </w:p>
        </w:tc>
        <w:tc>
          <w:tcPr>
            <w:tcW w:w="880" w:type="dxa"/>
            <w:vAlign w:val="bottom"/>
          </w:tcPr>
          <w:p>
            <w:pPr>
              <w:jc w:val="right"/>
              <w:ind w:right="187"/>
              <w:spacing w:after="0" w:line="173"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60"/>
              <w:spacing w:after="0" w:line="173"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20"/>
                <w:szCs w:val="20"/>
                <w:color w:val="auto"/>
              </w:rPr>
              <w:t>Derivatives designated as hedging instruments</w:t>
            </w:r>
            <w:r>
              <w:rPr>
                <w:rFonts w:ascii="Arial" w:cs="Arial" w:eastAsia="Arial" w:hAnsi="Arial"/>
                <w:sz w:val="25"/>
                <w:szCs w:val="25"/>
                <w:color w:val="auto"/>
                <w:vertAlign w:val="superscript"/>
              </w:rPr>
              <w:t>(a)</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520" w:type="dxa"/>
            <w:vAlign w:val="bottom"/>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240"/>
              <w:spacing w:after="0"/>
              <w:rPr>
                <w:sz w:val="20"/>
                <w:szCs w:val="20"/>
                <w:color w:val="auto"/>
              </w:rPr>
            </w:pPr>
            <w:r>
              <w:rPr>
                <w:rFonts w:ascii="Arial" w:cs="Arial" w:eastAsia="Arial" w:hAnsi="Arial"/>
                <w:sz w:val="20"/>
                <w:szCs w:val="20"/>
                <w:color w:val="auto"/>
              </w:rPr>
              <w:t>Interest rate swap</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459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00" w:type="dxa"/>
            <w:vAlign w:val="bottom"/>
            <w:gridSpan w:val="3"/>
          </w:tcPr>
          <w:p>
            <w:pPr>
              <w:ind w:left="560"/>
              <w:spacing w:after="0"/>
              <w:rPr>
                <w:sz w:val="20"/>
                <w:szCs w:val="20"/>
                <w:color w:val="auto"/>
              </w:rPr>
            </w:pPr>
            <w:r>
              <w:rPr>
                <w:rFonts w:ascii="Arial" w:cs="Arial" w:eastAsia="Arial" w:hAnsi="Arial"/>
                <w:sz w:val="20"/>
                <w:szCs w:val="20"/>
                <w:b w:val="1"/>
                <w:bCs w:val="1"/>
                <w:color w:val="auto"/>
              </w:rPr>
              <w:t>—  $</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459</w:t>
            </w:r>
          </w:p>
        </w:tc>
        <w:tc>
          <w:tcPr>
            <w:tcW w:w="3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98"/>
        </w:trPr>
        <w:tc>
          <w:tcPr>
            <w:tcW w:w="5520" w:type="dxa"/>
            <w:vAlign w:val="bottom"/>
            <w:gridSpan w:val="3"/>
          </w:tcPr>
          <w:p>
            <w:pPr>
              <w:spacing w:after="0"/>
              <w:rPr>
                <w:sz w:val="20"/>
                <w:szCs w:val="20"/>
                <w:color w:val="auto"/>
              </w:rPr>
            </w:pPr>
            <w:r>
              <w:rPr>
                <w:rFonts w:ascii="Arial" w:cs="Arial" w:eastAsia="Arial" w:hAnsi="Arial"/>
                <w:sz w:val="20"/>
                <w:szCs w:val="20"/>
                <w:color w:val="auto"/>
              </w:rPr>
              <w:t>Derivatives not designated as hedging instruments</w:t>
            </w:r>
            <w:r>
              <w:rPr>
                <w:rFonts w:ascii="Arial" w:cs="Arial" w:eastAsia="Arial" w:hAnsi="Arial"/>
                <w:sz w:val="25"/>
                <w:szCs w:val="25"/>
                <w:color w:val="auto"/>
                <w:vertAlign w:val="superscript"/>
              </w:rPr>
              <w:t>(b)</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520" w:type="dxa"/>
            <w:vAlign w:val="bottom"/>
            <w:gridSpan w:val="3"/>
          </w:tcPr>
          <w:p>
            <w:pPr>
              <w:ind w:left="240"/>
              <w:spacing w:after="0"/>
              <w:rPr>
                <w:sz w:val="20"/>
                <w:szCs w:val="20"/>
                <w:color w:val="auto"/>
              </w:rPr>
            </w:pPr>
            <w:r>
              <w:rPr>
                <w:rFonts w:ascii="Arial" w:cs="Arial" w:eastAsia="Arial" w:hAnsi="Arial"/>
                <w:sz w:val="20"/>
                <w:szCs w:val="20"/>
                <w:color w:val="auto"/>
              </w:rPr>
              <w:t>Foreign currency forward contract assets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3"/>
          </w:tcPr>
          <w:p>
            <w:pPr>
              <w:ind w:left="56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9"/>
        </w:trPr>
        <w:tc>
          <w:tcPr>
            <w:tcW w:w="5520" w:type="dxa"/>
            <w:vAlign w:val="bottom"/>
            <w:gridSpan w:val="3"/>
          </w:tcPr>
          <w:p>
            <w:pPr>
              <w:ind w:left="240"/>
              <w:spacing w:after="0"/>
              <w:rPr>
                <w:sz w:val="20"/>
                <w:szCs w:val="20"/>
                <w:color w:val="auto"/>
              </w:rPr>
            </w:pPr>
            <w:r>
              <w:rPr>
                <w:rFonts w:ascii="Arial" w:cs="Arial" w:eastAsia="Arial" w:hAnsi="Arial"/>
                <w:sz w:val="20"/>
                <w:szCs w:val="20"/>
                <w:color w:val="auto"/>
              </w:rPr>
              <w:t>Foreign currency forward contract liabilities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56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9"/>
        </w:trPr>
        <w:tc>
          <w:tcPr>
            <w:tcW w:w="5520" w:type="dxa"/>
            <w:vAlign w:val="bottom"/>
            <w:gridSpan w:val="3"/>
          </w:tcPr>
          <w:p>
            <w:pPr>
              <w:ind w:left="240"/>
              <w:spacing w:after="0"/>
              <w:rPr>
                <w:sz w:val="20"/>
                <w:szCs w:val="20"/>
                <w:color w:val="auto"/>
              </w:rPr>
            </w:pPr>
            <w:r>
              <w:rPr>
                <w:rFonts w:ascii="Arial" w:cs="Arial" w:eastAsia="Arial" w:hAnsi="Arial"/>
                <w:sz w:val="20"/>
                <w:szCs w:val="20"/>
                <w:color w:val="auto"/>
              </w:rPr>
              <w:t>Embedded derivative assets</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2,689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56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2,689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65"/>
        </w:trPr>
        <w:tc>
          <w:tcPr>
            <w:tcW w:w="5520" w:type="dxa"/>
            <w:vAlign w:val="bottom"/>
            <w:gridSpan w:val="3"/>
          </w:tcPr>
          <w:p>
            <w:pPr>
              <w:ind w:left="240"/>
              <w:spacing w:after="0"/>
              <w:rPr>
                <w:sz w:val="20"/>
                <w:szCs w:val="20"/>
                <w:color w:val="auto"/>
              </w:rPr>
            </w:pPr>
            <w:r>
              <w:rPr>
                <w:rFonts w:ascii="Arial" w:cs="Arial" w:eastAsia="Arial" w:hAnsi="Arial"/>
                <w:sz w:val="20"/>
                <w:szCs w:val="20"/>
                <w:color w:val="auto"/>
              </w:rPr>
              <w:t>Embedded derivative liabilities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4,098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3"/>
          </w:tcPr>
          <w:p>
            <w:pPr>
              <w:ind w:left="56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4,098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14"/>
        </w:trPr>
        <w:tc>
          <w:tcPr>
            <w:tcW w:w="5520" w:type="dxa"/>
            <w:vAlign w:val="bottom"/>
            <w:gridSpan w:val="3"/>
          </w:tcPr>
          <w:p>
            <w:pPr>
              <w:spacing w:after="0"/>
              <w:rPr>
                <w:sz w:val="20"/>
                <w:szCs w:val="20"/>
                <w:color w:val="auto"/>
              </w:rPr>
            </w:pPr>
            <w:r>
              <w:rPr>
                <w:rFonts w:ascii="Arial" w:cs="Arial" w:eastAsia="Arial" w:hAnsi="Arial"/>
                <w:sz w:val="20"/>
                <w:szCs w:val="20"/>
                <w:color w:val="auto"/>
              </w:rPr>
              <w:t>Current portion of long-term debt</w:t>
            </w:r>
            <w:r>
              <w:rPr>
                <w:rFonts w:ascii="Arial" w:cs="Arial" w:eastAsia="Arial" w:hAnsi="Arial"/>
                <w:sz w:val="25"/>
                <w:szCs w:val="25"/>
                <w:color w:val="auto"/>
                <w:vertAlign w:val="superscript"/>
              </w:rPr>
              <w:t>(c)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520" w:type="dxa"/>
            <w:vAlign w:val="bottom"/>
            <w:gridSpan w:val="3"/>
          </w:tcPr>
          <w:p>
            <w:pPr>
              <w:ind w:left="240"/>
              <w:spacing w:after="0"/>
              <w:rPr>
                <w:sz w:val="20"/>
                <w:szCs w:val="20"/>
                <w:color w:val="auto"/>
              </w:rPr>
            </w:pPr>
            <w:r>
              <w:rPr>
                <w:rFonts w:ascii="Arial" w:cs="Arial" w:eastAsia="Arial" w:hAnsi="Arial"/>
                <w:sz w:val="20"/>
                <w:szCs w:val="20"/>
                <w:color w:val="auto"/>
              </w:rPr>
              <w:t>Term Loan, due 2031</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14,803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3"/>
          </w:tcPr>
          <w:p>
            <w:pPr>
              <w:ind w:left="56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15,123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326"/>
        </w:trPr>
        <w:tc>
          <w:tcPr>
            <w:tcW w:w="5520" w:type="dxa"/>
            <w:vAlign w:val="bottom"/>
            <w:gridSpan w:val="3"/>
          </w:tcPr>
          <w:p>
            <w:pPr>
              <w:spacing w:after="0"/>
              <w:rPr>
                <w:sz w:val="20"/>
                <w:szCs w:val="20"/>
                <w:color w:val="auto"/>
              </w:rPr>
            </w:pPr>
            <w:r>
              <w:rPr>
                <w:rFonts w:ascii="Arial" w:cs="Arial" w:eastAsia="Arial" w:hAnsi="Arial"/>
                <w:sz w:val="20"/>
                <w:szCs w:val="20"/>
                <w:color w:val="auto"/>
              </w:rPr>
              <w:t>Long-Term Debt</w:t>
            </w:r>
            <w:r>
              <w:rPr>
                <w:rFonts w:ascii="Arial" w:cs="Arial" w:eastAsia="Arial" w:hAnsi="Arial"/>
                <w:sz w:val="25"/>
                <w:szCs w:val="25"/>
                <w:color w:val="auto"/>
                <w:vertAlign w:val="superscript"/>
              </w:rPr>
              <w:t>(c)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-1806575</wp:posOffset>
            </wp:positionV>
            <wp:extent cx="6410325" cy="2331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410325" cy="2331085"/>
                    </a:xfrm>
                    <a:prstGeom prst="rect">
                      <a:avLst/>
                    </a:prstGeom>
                    <a:noFill/>
                  </pic:spPr>
                </pic:pic>
              </a:graphicData>
            </a:graphic>
          </wp:anchor>
        </w:drawing>
      </w:r>
    </w:p>
    <w:p>
      <w:pPr>
        <w:sectPr>
          <w:pgSz w:w="11880" w:h="15480" w:orient="portrait"/>
          <w:cols w:equalWidth="0" w:num="1">
            <w:col w:w="10047"/>
          </w:cols>
          <w:pgMar w:left="913" w:top="544" w:right="920" w:bottom="0" w:gutter="0" w:footer="0" w:header="0"/>
        </w:sectPr>
      </w:pPr>
    </w:p>
    <w:p>
      <w:pPr>
        <w:ind w:left="287"/>
        <w:spacing w:after="0"/>
        <w:rPr>
          <w:sz w:val="20"/>
          <w:szCs w:val="20"/>
          <w:color w:val="auto"/>
        </w:rPr>
      </w:pPr>
      <w:r>
        <w:rPr>
          <w:rFonts w:ascii="Arial" w:cs="Arial" w:eastAsia="Arial" w:hAnsi="Arial"/>
          <w:sz w:val="20"/>
          <w:szCs w:val="20"/>
          <w:color w:val="auto"/>
        </w:rPr>
        <w:t>Secured Notes, due 2031</w:t>
      </w:r>
    </w:p>
    <w:p>
      <w:pPr>
        <w:spacing w:after="0" w:line="27" w:lineRule="exact"/>
        <w:rPr>
          <w:sz w:val="20"/>
          <w:szCs w:val="20"/>
          <w:color w:val="auto"/>
        </w:rPr>
      </w:pPr>
    </w:p>
    <w:p>
      <w:pPr>
        <w:ind w:left="287"/>
        <w:spacing w:after="0"/>
        <w:rPr>
          <w:sz w:val="20"/>
          <w:szCs w:val="20"/>
          <w:color w:val="auto"/>
        </w:rPr>
      </w:pPr>
      <w:r>
        <w:rPr>
          <w:rFonts w:ascii="Arial" w:cs="Arial" w:eastAsia="Arial" w:hAnsi="Arial"/>
          <w:sz w:val="20"/>
          <w:szCs w:val="20"/>
          <w:color w:val="auto"/>
        </w:rPr>
        <w:t>Term loan, due 2031</w:t>
      </w:r>
    </w:p>
    <w:p>
      <w:pPr>
        <w:spacing w:after="0" w:line="25" w:lineRule="exact"/>
        <w:rPr>
          <w:sz w:val="20"/>
          <w:szCs w:val="20"/>
          <w:color w:val="auto"/>
        </w:rPr>
      </w:pPr>
    </w:p>
    <w:p>
      <w:pPr>
        <w:ind w:left="47"/>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(d)</w:t>
      </w:r>
    </w:p>
    <w:p>
      <w:pPr>
        <w:spacing w:after="0" w:line="256" w:lineRule="exact"/>
        <w:rPr>
          <w:sz w:val="20"/>
          <w:szCs w:val="20"/>
          <w:color w:val="auto"/>
        </w:rPr>
      </w:pPr>
    </w:p>
    <w:p>
      <w:pPr>
        <w:ind w:left="47"/>
        <w:spacing w:after="0"/>
        <w:rPr>
          <w:sz w:val="20"/>
          <w:szCs w:val="20"/>
          <w:color w:val="auto"/>
        </w:rPr>
      </w:pPr>
      <w:r>
        <w:rPr>
          <w:rFonts w:ascii="Arial" w:cs="Arial" w:eastAsia="Arial" w:hAnsi="Arial"/>
          <w:sz w:val="16"/>
          <w:szCs w:val="16"/>
          <w:b w:val="1"/>
          <w:bCs w:val="1"/>
          <w:u w:val="single" w:color="auto"/>
          <w:color w:val="auto"/>
        </w:rPr>
        <w:t>As of December 31, 2023</w:t>
      </w:r>
    </w:p>
    <w:p>
      <w:pPr>
        <w:spacing w:after="0" w:line="228" w:lineRule="exact"/>
        <w:rPr>
          <w:sz w:val="20"/>
          <w:szCs w:val="20"/>
          <w:color w:val="auto"/>
        </w:rPr>
      </w:pPr>
    </w:p>
    <w:p>
      <w:pPr>
        <w:ind w:left="47"/>
        <w:spacing w:after="0"/>
        <w:rPr>
          <w:sz w:val="20"/>
          <w:szCs w:val="20"/>
          <w:color w:val="auto"/>
        </w:rPr>
      </w:pPr>
      <w:r>
        <w:rPr>
          <w:rFonts w:ascii="Arial" w:cs="Arial" w:eastAsia="Arial" w:hAnsi="Arial"/>
          <w:sz w:val="16"/>
          <w:szCs w:val="16"/>
          <w:b w:val="1"/>
          <w:bCs w:val="1"/>
          <w:i w:val="1"/>
          <w:iCs w:val="1"/>
          <w:u w:val="single" w:color="auto"/>
          <w:color w:val="auto"/>
        </w:rPr>
        <w:t>(thousands of U.S. dollars)</w:t>
      </w:r>
    </w:p>
    <w:p>
      <w:pPr>
        <w:spacing w:after="0" w:line="22" w:lineRule="exact"/>
        <w:rPr>
          <w:sz w:val="20"/>
          <w:szCs w:val="20"/>
          <w:color w:val="auto"/>
        </w:rPr>
      </w:pPr>
    </w:p>
    <w:p>
      <w:pPr>
        <w:ind w:left="47"/>
        <w:spacing w:after="0"/>
        <w:rPr>
          <w:sz w:val="20"/>
          <w:szCs w:val="20"/>
          <w:color w:val="auto"/>
        </w:rPr>
      </w:pPr>
      <w:r>
        <w:rPr>
          <w:rFonts w:ascii="Arial" w:cs="Arial" w:eastAsia="Arial" w:hAnsi="Arial"/>
          <w:sz w:val="18"/>
          <w:szCs w:val="18"/>
          <w:color w:val="auto"/>
        </w:rPr>
        <w:t>Derivatives designated as hedging instruments</w:t>
      </w:r>
      <w:r>
        <w:rPr>
          <w:rFonts w:ascii="Arial" w:cs="Arial" w:eastAsia="Arial" w:hAnsi="Arial"/>
          <w:sz w:val="23"/>
          <w:szCs w:val="23"/>
          <w:color w:val="auto"/>
          <w:vertAlign w:val="superscript"/>
        </w:rPr>
        <w:t>(a)</w:t>
      </w:r>
    </w:p>
    <w:p>
      <w:pPr>
        <w:spacing w:after="0" w:line="45" w:lineRule="exact"/>
        <w:rPr>
          <w:sz w:val="20"/>
          <w:szCs w:val="20"/>
          <w:color w:val="auto"/>
        </w:rPr>
      </w:pPr>
    </w:p>
    <w:p>
      <w:pPr>
        <w:ind w:left="287"/>
        <w:spacing w:after="0"/>
        <w:rPr>
          <w:sz w:val="20"/>
          <w:szCs w:val="20"/>
          <w:color w:val="auto"/>
        </w:rPr>
      </w:pPr>
      <w:r>
        <w:rPr>
          <w:rFonts w:ascii="Arial" w:cs="Arial" w:eastAsia="Arial" w:hAnsi="Arial"/>
          <w:sz w:val="20"/>
          <w:szCs w:val="20"/>
          <w:color w:val="auto"/>
        </w:rPr>
        <w:t>Interest rate caps</w:t>
      </w:r>
    </w:p>
    <w:p>
      <w:pPr>
        <w:spacing w:after="0" w:line="27" w:lineRule="exact"/>
        <w:rPr>
          <w:sz w:val="20"/>
          <w:szCs w:val="20"/>
          <w:color w:val="auto"/>
        </w:rPr>
      </w:pPr>
    </w:p>
    <w:p>
      <w:pPr>
        <w:ind w:left="287"/>
        <w:spacing w:after="0"/>
        <w:rPr>
          <w:sz w:val="20"/>
          <w:szCs w:val="20"/>
          <w:color w:val="auto"/>
        </w:rPr>
      </w:pPr>
      <w:r>
        <w:rPr>
          <w:rFonts w:ascii="Arial" w:cs="Arial" w:eastAsia="Arial" w:hAnsi="Arial"/>
          <w:sz w:val="20"/>
          <w:szCs w:val="20"/>
          <w:color w:val="auto"/>
        </w:rPr>
        <w:t>Interest rate swap</w:t>
      </w:r>
    </w:p>
    <w:p>
      <w:pPr>
        <w:spacing w:after="0" w:line="31" w:lineRule="exact"/>
        <w:rPr>
          <w:sz w:val="20"/>
          <w:szCs w:val="20"/>
          <w:color w:val="auto"/>
        </w:rPr>
      </w:pPr>
    </w:p>
    <w:p>
      <w:pPr>
        <w:ind w:left="47"/>
        <w:spacing w:after="0"/>
        <w:rPr>
          <w:sz w:val="20"/>
          <w:szCs w:val="20"/>
          <w:color w:val="auto"/>
        </w:rPr>
      </w:pPr>
      <w:r>
        <w:rPr>
          <w:rFonts w:ascii="Arial" w:cs="Arial" w:eastAsia="Arial" w:hAnsi="Arial"/>
          <w:sz w:val="17"/>
          <w:szCs w:val="17"/>
          <w:color w:val="auto"/>
        </w:rPr>
        <w:t>Derivatives not designated as hedging instruments</w:t>
      </w:r>
      <w:r>
        <w:rPr>
          <w:rFonts w:ascii="Arial" w:cs="Arial" w:eastAsia="Arial" w:hAnsi="Arial"/>
          <w:sz w:val="22"/>
          <w:szCs w:val="22"/>
          <w:color w:val="auto"/>
          <w:vertAlign w:val="superscript"/>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746,293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759,375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r>
      <w:tr>
        <w:trPr>
          <w:trHeight w:val="259"/>
        </w:trPr>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w w:val="87"/>
              </w:rPr>
              <w:t>1,461,807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w w:val="87"/>
              </w:rPr>
              <w:t>1,493,314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r>
      <w:tr>
        <w:trPr>
          <w:trHeight w:val="279"/>
        </w:trPr>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98,209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98,209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rPr>
              <w:t>—</w:t>
            </w:r>
          </w:p>
        </w:tc>
      </w:tr>
      <w:tr>
        <w:trPr>
          <w:trHeight w:val="449"/>
        </w:trPr>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1"/>
              </w:rPr>
              <w:t>Fair Value</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4"/>
        </w:trPr>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Carrying</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3"/>
        </w:trPr>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r>
      <w:tr>
        <w:trPr>
          <w:trHeight w:val="535"/>
        </w:trPr>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8,763</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ind w:left="56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8,763</w:t>
            </w:r>
          </w:p>
        </w:tc>
        <w:tc>
          <w:tcPr>
            <w:tcW w:w="32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ind w:left="560"/>
              <w:spacing w:after="0"/>
              <w:rPr>
                <w:sz w:val="20"/>
                <w:szCs w:val="20"/>
                <w:color w:val="auto"/>
              </w:rPr>
            </w:pPr>
            <w:r>
              <w:rPr>
                <w:rFonts w:ascii="Arial" w:cs="Arial" w:eastAsia="Arial" w:hAnsi="Arial"/>
                <w:sz w:val="20"/>
                <w:szCs w:val="20"/>
                <w:color w:val="auto"/>
              </w:rPr>
              <w:t>—</w:t>
            </w:r>
          </w:p>
        </w:tc>
      </w:tr>
      <w:tr>
        <w:trPr>
          <w:trHeight w:val="279"/>
        </w:trPr>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1,487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-535305</wp:posOffset>
            </wp:positionV>
            <wp:extent cx="6410325" cy="25082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6410325" cy="2508250"/>
                    </a:xfrm>
                    <a:prstGeom prst="rect">
                      <a:avLst/>
                    </a:prstGeom>
                    <a:noFill/>
                  </pic:spPr>
                </pic:pic>
              </a:graphicData>
            </a:graphic>
          </wp:anchor>
        </w:drawing>
      </w:r>
    </w:p>
    <w:p>
      <w:pPr>
        <w:spacing w:after="0" w:line="306" w:lineRule="exact"/>
        <w:rPr>
          <w:sz w:val="20"/>
          <w:szCs w:val="20"/>
          <w:color w:val="auto"/>
        </w:rPr>
      </w:pPr>
    </w:p>
    <w:p>
      <w:pPr>
        <w:sectPr>
          <w:pgSz w:w="11880" w:h="15480" w:orient="portrait"/>
          <w:cols w:equalWidth="0" w:num="2">
            <w:col w:w="4847" w:space="720"/>
            <w:col w:w="4480"/>
          </w:cols>
          <w:pgMar w:left="913" w:top="544" w:right="920" w:bottom="0" w:gutter="0" w:footer="0" w:header="0"/>
          <w:type w:val="continuous"/>
        </w:sectPr>
      </w:pPr>
    </w:p>
    <w:tbl>
      <w:tblPr>
        <w:tblLayout w:type="fixed"/>
        <w:tblInd w:w="47" w:type="dxa"/>
        <w:tblCellMar>
          <w:top w:w="0" w:type="dxa"/>
          <w:left w:w="0" w:type="dxa"/>
          <w:bottom w:w="0" w:type="dxa"/>
          <w:right w:w="0" w:type="dxa"/>
        </w:tblCellMar>
      </w:tblPr>
      <w:tr>
        <w:trPr>
          <w:trHeight w:val="255"/>
        </w:trPr>
        <w:tc>
          <w:tcPr>
            <w:tcW w:w="4840" w:type="dxa"/>
            <w:vAlign w:val="bottom"/>
          </w:tcPr>
          <w:p>
            <w:pPr>
              <w:ind w:left="240"/>
              <w:spacing w:after="0"/>
              <w:rPr>
                <w:sz w:val="20"/>
                <w:szCs w:val="20"/>
                <w:color w:val="auto"/>
              </w:rPr>
            </w:pPr>
            <w:r>
              <w:rPr>
                <w:rFonts w:ascii="Arial" w:cs="Arial" w:eastAsia="Arial" w:hAnsi="Arial"/>
                <w:sz w:val="20"/>
                <w:szCs w:val="20"/>
                <w:color w:val="auto"/>
              </w:rPr>
              <w:t>Foreign currency forward contracts assets</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149</w:t>
            </w:r>
          </w:p>
        </w:tc>
        <w:tc>
          <w:tcPr>
            <w:tcW w:w="520" w:type="dxa"/>
            <w:vAlign w:val="bottom"/>
          </w:tcPr>
          <w:p>
            <w:pPr>
              <w:spacing w:after="0"/>
              <w:rPr>
                <w:sz w:val="22"/>
                <w:szCs w:val="22"/>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149</w:t>
            </w:r>
          </w:p>
        </w:tc>
        <w:tc>
          <w:tcPr>
            <w:tcW w:w="5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278"/>
        </w:trPr>
        <w:tc>
          <w:tcPr>
            <w:tcW w:w="4840" w:type="dxa"/>
            <w:vAlign w:val="bottom"/>
          </w:tcPr>
          <w:p>
            <w:pPr>
              <w:ind w:left="240"/>
              <w:spacing w:after="0"/>
              <w:rPr>
                <w:sz w:val="20"/>
                <w:szCs w:val="20"/>
                <w:color w:val="auto"/>
              </w:rPr>
            </w:pPr>
            <w:r>
              <w:rPr>
                <w:rFonts w:ascii="Arial" w:cs="Arial" w:eastAsia="Arial" w:hAnsi="Arial"/>
                <w:sz w:val="20"/>
                <w:szCs w:val="20"/>
                <w:color w:val="auto"/>
              </w:rPr>
              <w:t>Foreign currency forward contracts liabilities</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9</w:t>
            </w:r>
          </w:p>
        </w:tc>
        <w:tc>
          <w:tcPr>
            <w:tcW w:w="5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860" w:type="dxa"/>
            <w:vAlign w:val="bottom"/>
          </w:tcPr>
          <w:p>
            <w:pPr>
              <w:ind w:left="320"/>
              <w:spacing w:after="0"/>
              <w:rPr>
                <w:sz w:val="20"/>
                <w:szCs w:val="20"/>
                <w:color w:val="auto"/>
              </w:rPr>
            </w:pPr>
            <w:r>
              <w:rPr>
                <w:rFonts w:ascii="Arial" w:cs="Arial" w:eastAsia="Arial" w:hAnsi="Arial"/>
                <w:sz w:val="20"/>
                <w:szCs w:val="20"/>
                <w:color w:val="auto"/>
              </w:rPr>
              <w:t>—   $</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9</w:t>
            </w:r>
          </w:p>
        </w:tc>
        <w:tc>
          <w:tcPr>
            <w:tcW w:w="520" w:type="dxa"/>
            <w:vAlign w:val="bottom"/>
          </w:tcPr>
          <w:p>
            <w:pPr>
              <w:jc w:val="right"/>
              <w:ind w:right="202"/>
              <w:spacing w:after="0"/>
              <w:rPr>
                <w:sz w:val="20"/>
                <w:szCs w:val="20"/>
                <w:color w:val="auto"/>
              </w:rPr>
            </w:pPr>
            <w:r>
              <w:rPr>
                <w:rFonts w:ascii="Arial" w:cs="Arial" w:eastAsia="Arial" w:hAnsi="Arial"/>
                <w:sz w:val="20"/>
                <w:szCs w:val="20"/>
                <w:color w:val="auto"/>
              </w:rPr>
              <w:t>$</w:t>
            </w: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279"/>
        </w:trPr>
        <w:tc>
          <w:tcPr>
            <w:tcW w:w="4840" w:type="dxa"/>
            <w:vAlign w:val="bottom"/>
          </w:tcPr>
          <w:p>
            <w:pPr>
              <w:ind w:left="240"/>
              <w:spacing w:after="0"/>
              <w:rPr>
                <w:sz w:val="20"/>
                <w:szCs w:val="20"/>
                <w:color w:val="auto"/>
              </w:rPr>
            </w:pPr>
            <w:r>
              <w:rPr>
                <w:rFonts w:ascii="Arial" w:cs="Arial" w:eastAsia="Arial" w:hAnsi="Arial"/>
                <w:sz w:val="20"/>
                <w:szCs w:val="20"/>
                <w:color w:val="auto"/>
              </w:rPr>
              <w:t>Embedded derivative assets</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1,225</w:t>
            </w:r>
          </w:p>
        </w:tc>
        <w:tc>
          <w:tcPr>
            <w:tcW w:w="5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1,225</w:t>
            </w:r>
          </w:p>
        </w:tc>
        <w:tc>
          <w:tcPr>
            <w:tcW w:w="5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279"/>
        </w:trPr>
        <w:tc>
          <w:tcPr>
            <w:tcW w:w="4840" w:type="dxa"/>
            <w:vAlign w:val="bottom"/>
          </w:tcPr>
          <w:p>
            <w:pPr>
              <w:ind w:left="240"/>
              <w:spacing w:after="0"/>
              <w:rPr>
                <w:sz w:val="20"/>
                <w:szCs w:val="20"/>
                <w:color w:val="auto"/>
              </w:rPr>
            </w:pPr>
            <w:r>
              <w:rPr>
                <w:rFonts w:ascii="Arial" w:cs="Arial" w:eastAsia="Arial" w:hAnsi="Arial"/>
                <w:sz w:val="20"/>
                <w:szCs w:val="20"/>
                <w:color w:val="auto"/>
              </w:rPr>
              <w:t>Embedded derivative liabilities</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405</w:t>
            </w:r>
          </w:p>
        </w:tc>
        <w:tc>
          <w:tcPr>
            <w:tcW w:w="5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405</w:t>
            </w:r>
          </w:p>
        </w:tc>
        <w:tc>
          <w:tcPr>
            <w:tcW w:w="5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304"/>
        </w:trPr>
        <w:tc>
          <w:tcPr>
            <w:tcW w:w="4840" w:type="dxa"/>
            <w:vAlign w:val="bottom"/>
          </w:tcPr>
          <w:p>
            <w:pPr>
              <w:spacing w:after="0"/>
              <w:rPr>
                <w:sz w:val="20"/>
                <w:szCs w:val="20"/>
                <w:color w:val="auto"/>
              </w:rPr>
            </w:pPr>
            <w:r>
              <w:rPr>
                <w:rFonts w:ascii="Arial" w:cs="Arial" w:eastAsia="Arial" w:hAnsi="Arial"/>
                <w:sz w:val="20"/>
                <w:szCs w:val="20"/>
                <w:color w:val="auto"/>
              </w:rPr>
              <w:t>Current portion of long-term debt</w:t>
            </w:r>
            <w:r>
              <w:rPr>
                <w:rFonts w:ascii="Arial" w:cs="Arial" w:eastAsia="Arial" w:hAnsi="Arial"/>
                <w:sz w:val="25"/>
                <w:szCs w:val="25"/>
                <w:color w:val="auto"/>
                <w:vertAlign w:val="superscript"/>
              </w:rPr>
              <w:t>(c)</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5"/>
        </w:trPr>
        <w:tc>
          <w:tcPr>
            <w:tcW w:w="4840" w:type="dxa"/>
            <w:vAlign w:val="bottom"/>
          </w:tcPr>
          <w:p>
            <w:pPr>
              <w:ind w:left="240"/>
              <w:spacing w:after="0"/>
              <w:rPr>
                <w:sz w:val="20"/>
                <w:szCs w:val="20"/>
                <w:color w:val="auto"/>
              </w:rPr>
            </w:pPr>
            <w:r>
              <w:rPr>
                <w:rFonts w:ascii="Arial" w:cs="Arial" w:eastAsia="Arial" w:hAnsi="Arial"/>
                <w:sz w:val="20"/>
                <w:szCs w:val="20"/>
                <w:color w:val="auto"/>
              </w:rPr>
              <w:t>Term Loan B, due 2026</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4,797</w:t>
            </w:r>
          </w:p>
        </w:tc>
        <w:tc>
          <w:tcPr>
            <w:tcW w:w="520" w:type="dxa"/>
            <w:vAlign w:val="bottom"/>
          </w:tcPr>
          <w:p>
            <w:pPr>
              <w:spacing w:after="0"/>
              <w:rPr>
                <w:sz w:val="22"/>
                <w:szCs w:val="22"/>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5,000</w:t>
            </w:r>
          </w:p>
        </w:tc>
        <w:tc>
          <w:tcPr>
            <w:tcW w:w="5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304"/>
        </w:trPr>
        <w:tc>
          <w:tcPr>
            <w:tcW w:w="4840" w:type="dxa"/>
            <w:vAlign w:val="bottom"/>
          </w:tcPr>
          <w:p>
            <w:pPr>
              <w:spacing w:after="0"/>
              <w:rPr>
                <w:sz w:val="20"/>
                <w:szCs w:val="20"/>
                <w:color w:val="auto"/>
              </w:rPr>
            </w:pPr>
            <w:r>
              <w:rPr>
                <w:rFonts w:ascii="Arial" w:cs="Arial" w:eastAsia="Arial" w:hAnsi="Arial"/>
                <w:sz w:val="20"/>
                <w:szCs w:val="20"/>
                <w:color w:val="auto"/>
              </w:rPr>
              <w:t>Long-Term Debt</w:t>
            </w:r>
            <w:r>
              <w:rPr>
                <w:rFonts w:ascii="Arial" w:cs="Arial" w:eastAsia="Arial" w:hAnsi="Arial"/>
                <w:sz w:val="25"/>
                <w:szCs w:val="25"/>
                <w:color w:val="auto"/>
                <w:vertAlign w:val="superscript"/>
              </w:rPr>
              <w:t>(c)</w:t>
            </w: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55"/>
        </w:trPr>
        <w:tc>
          <w:tcPr>
            <w:tcW w:w="4840" w:type="dxa"/>
            <w:vAlign w:val="bottom"/>
          </w:tcPr>
          <w:p>
            <w:pPr>
              <w:ind w:left="240"/>
              <w:spacing w:after="0"/>
              <w:rPr>
                <w:sz w:val="20"/>
                <w:szCs w:val="20"/>
                <w:color w:val="auto"/>
              </w:rPr>
            </w:pPr>
            <w:r>
              <w:rPr>
                <w:rFonts w:ascii="Arial" w:cs="Arial" w:eastAsia="Arial" w:hAnsi="Arial"/>
                <w:sz w:val="20"/>
                <w:szCs w:val="20"/>
                <w:color w:val="auto"/>
              </w:rPr>
              <w:t>Term Loan, due 2026</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1,751,197</w:t>
            </w:r>
          </w:p>
        </w:tc>
        <w:tc>
          <w:tcPr>
            <w:tcW w:w="520" w:type="dxa"/>
            <w:vAlign w:val="bottom"/>
          </w:tcPr>
          <w:p>
            <w:pPr>
              <w:spacing w:after="0"/>
              <w:rPr>
                <w:sz w:val="22"/>
                <w:szCs w:val="22"/>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w w:val="87"/>
              </w:rPr>
              <w:t>1,758,163</w:t>
            </w:r>
          </w:p>
        </w:tc>
        <w:tc>
          <w:tcPr>
            <w:tcW w:w="52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265"/>
        </w:trPr>
        <w:tc>
          <w:tcPr>
            <w:tcW w:w="4840" w:type="dxa"/>
            <w:vAlign w:val="bottom"/>
          </w:tcPr>
          <w:p>
            <w:pPr>
              <w:ind w:left="240"/>
              <w:spacing w:after="0"/>
              <w:rPr>
                <w:sz w:val="20"/>
                <w:szCs w:val="20"/>
                <w:color w:val="auto"/>
              </w:rPr>
            </w:pPr>
            <w:r>
              <w:rPr>
                <w:rFonts w:ascii="Arial" w:cs="Arial" w:eastAsia="Arial" w:hAnsi="Arial"/>
                <w:sz w:val="20"/>
                <w:szCs w:val="20"/>
                <w:color w:val="auto"/>
              </w:rPr>
              <w:t>Term Loan B, due 2026</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472,477</w:t>
            </w:r>
          </w:p>
        </w:tc>
        <w:tc>
          <w:tcPr>
            <w:tcW w:w="520" w:type="dxa"/>
            <w:vAlign w:val="bottom"/>
          </w:tcPr>
          <w:p>
            <w:pPr>
              <w:spacing w:after="0"/>
              <w:rPr>
                <w:sz w:val="23"/>
                <w:szCs w:val="23"/>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492,500</w:t>
            </w:r>
          </w:p>
        </w:tc>
        <w:tc>
          <w:tcPr>
            <w:tcW w:w="520" w:type="dxa"/>
            <w:vAlign w:val="bottom"/>
          </w:tcPr>
          <w:p>
            <w:pPr>
              <w:spacing w:after="0"/>
              <w:rPr>
                <w:sz w:val="23"/>
                <w:szCs w:val="23"/>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r>
        <w:trPr>
          <w:trHeight w:val="336"/>
        </w:trPr>
        <w:tc>
          <w:tcPr>
            <w:tcW w:w="4840" w:type="dxa"/>
            <w:vAlign w:val="bottom"/>
          </w:tcPr>
          <w:p>
            <w:pPr>
              <w:spacing w:after="0"/>
              <w:rPr>
                <w:sz w:val="20"/>
                <w:szCs w:val="20"/>
                <w:color w:val="auto"/>
              </w:rPr>
            </w:pPr>
            <w:r>
              <w:rPr>
                <w:rFonts w:ascii="Arial" w:cs="Arial" w:eastAsia="Arial" w:hAnsi="Arial"/>
                <w:sz w:val="20"/>
                <w:szCs w:val="20"/>
                <w:color w:val="auto"/>
              </w:rPr>
              <w:t>Finance Lease Obligations (with current portion)</w:t>
            </w:r>
            <w:r>
              <w:rPr>
                <w:rFonts w:ascii="Arial" w:cs="Arial" w:eastAsia="Arial" w:hAnsi="Arial"/>
                <w:sz w:val="25"/>
                <w:szCs w:val="25"/>
                <w:color w:val="auto"/>
                <w:vertAlign w:val="superscript"/>
              </w:rPr>
              <w:t>(d)</w:t>
            </w:r>
          </w:p>
        </w:tc>
        <w:tc>
          <w:tcPr>
            <w:tcW w:w="1760" w:type="dxa"/>
            <w:vAlign w:val="bottom"/>
          </w:tcPr>
          <w:p>
            <w:pPr>
              <w:jc w:val="right"/>
              <w:ind w:right="22"/>
              <w:spacing w:after="0"/>
              <w:rPr>
                <w:sz w:val="20"/>
                <w:szCs w:val="20"/>
                <w:color w:val="auto"/>
              </w:rPr>
            </w:pPr>
            <w:r>
              <w:rPr>
                <w:rFonts w:ascii="Arial" w:cs="Arial" w:eastAsia="Arial" w:hAnsi="Arial"/>
                <w:sz w:val="20"/>
                <w:szCs w:val="20"/>
                <w:color w:val="auto"/>
              </w:rPr>
              <w:t>72,564</w:t>
            </w:r>
          </w:p>
        </w:tc>
        <w:tc>
          <w:tcPr>
            <w:tcW w:w="52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2"/>
              <w:spacing w:after="0"/>
              <w:rPr>
                <w:sz w:val="20"/>
                <w:szCs w:val="20"/>
                <w:color w:val="auto"/>
              </w:rPr>
            </w:pPr>
            <w:r>
              <w:rPr>
                <w:rFonts w:ascii="Arial" w:cs="Arial" w:eastAsia="Arial" w:hAnsi="Arial"/>
                <w:sz w:val="20"/>
                <w:szCs w:val="20"/>
                <w:color w:val="auto"/>
              </w:rPr>
              <w:t>72,564</w:t>
            </w:r>
          </w:p>
        </w:tc>
        <w:tc>
          <w:tcPr>
            <w:tcW w:w="5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20"/>
                <w:szCs w:val="20"/>
                <w:color w:val="auto"/>
                <w:w w:val="79"/>
              </w:rPr>
              <w:t>—</w:t>
            </w:r>
          </w:p>
        </w:tc>
      </w:tr>
    </w:tbl>
    <w:p>
      <w:pPr>
        <w:spacing w:after="0" w:line="126" w:lineRule="exact"/>
        <w:rPr>
          <w:sz w:val="20"/>
          <w:szCs w:val="20"/>
          <w:color w:val="auto"/>
        </w:rPr>
      </w:pPr>
    </w:p>
    <w:p>
      <w:pPr>
        <w:ind w:left="527" w:right="100" w:hanging="527"/>
        <w:spacing w:after="0" w:line="250" w:lineRule="auto"/>
        <w:tabs>
          <w:tab w:leader="none" w:pos="527"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Derivatives designated as hedging instruments are measured at fair value with changes in fair value recorded as a component of accumulated other comprehensive income (loss). Interest rate caps and swaps are valued using pricing models that incorporate observable market inputs including interest rate curves and yield curves. Additional information is provided in Note 1, “Significant Accounting Policies.”</w:t>
      </w:r>
    </w:p>
    <w:p>
      <w:pPr>
        <w:spacing w:after="0" w:line="1" w:lineRule="exact"/>
        <w:rPr>
          <w:rFonts w:ascii="Arial" w:cs="Arial" w:eastAsia="Arial" w:hAnsi="Arial"/>
          <w:sz w:val="20"/>
          <w:szCs w:val="20"/>
          <w:color w:val="auto"/>
        </w:rPr>
      </w:pPr>
    </w:p>
    <w:p>
      <w:pPr>
        <w:ind w:left="527" w:right="160" w:hanging="527"/>
        <w:spacing w:after="0" w:line="270" w:lineRule="auto"/>
        <w:tabs>
          <w:tab w:leader="none" w:pos="527"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Derivatives that are not designated as hedging instruments are measured at fair value with gains or losses recognized immediately in the Consolidated Statements of Operations and Comprehensive Income (Loss). Refer also to Note 1, “Significant Accounting Policies.” Embedded derivatives are valued using internally developed models that rely on observable market inputs, including foreign currency forward curves. Foreign currency forward contracts are valued by reference to changes in foreign currency exchange rate over the life of the contract.</w:t>
      </w:r>
    </w:p>
    <w:p>
      <w:pPr>
        <w:jc w:val="both"/>
        <w:ind w:left="527" w:right="140" w:hanging="527"/>
        <w:spacing w:after="0" w:line="287" w:lineRule="auto"/>
        <w:tabs>
          <w:tab w:leader="none" w:pos="527" w:val="left"/>
        </w:tabs>
        <w:numPr>
          <w:ilvl w:val="0"/>
          <w:numId w:val="52"/>
        </w:numPr>
        <w:rPr>
          <w:rFonts w:ascii="Arial" w:cs="Arial" w:eastAsia="Arial" w:hAnsi="Arial"/>
          <w:sz w:val="17"/>
          <w:szCs w:val="17"/>
          <w:color w:val="auto"/>
        </w:rPr>
      </w:pPr>
      <w:r>
        <w:rPr>
          <w:rFonts w:ascii="Arial" w:cs="Arial" w:eastAsia="Arial" w:hAnsi="Arial"/>
          <w:sz w:val="17"/>
          <w:szCs w:val="17"/>
          <w:color w:val="auto"/>
        </w:rPr>
        <w:t>Carrying amounts of current portion of long-term debt and long-term debt instruments are reported net of discounts and debt issuance costs. The estimated fair value of these instruments are based upon quoted prices for each Term Loan and the Secured Notes in inactive markets as provided by an independent fixed income security pricing service.</w:t>
      </w:r>
    </w:p>
    <w:p>
      <w:pPr>
        <w:spacing w:after="0" w:line="1" w:lineRule="exact"/>
        <w:rPr>
          <w:rFonts w:ascii="Arial" w:cs="Arial" w:eastAsia="Arial" w:hAnsi="Arial"/>
          <w:sz w:val="17"/>
          <w:szCs w:val="17"/>
          <w:color w:val="auto"/>
        </w:rPr>
      </w:pPr>
    </w:p>
    <w:p>
      <w:pPr>
        <w:ind w:left="527" w:hanging="527"/>
        <w:spacing w:after="0"/>
        <w:tabs>
          <w:tab w:leader="none" w:pos="527"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Refer to Note 17, “Leases.” Fair value approximates carrying value.</w:t>
      </w:r>
    </w:p>
    <w:p>
      <w:pPr>
        <w:sectPr>
          <w:pgSz w:w="11880" w:h="15480" w:orient="portrait"/>
          <w:cols w:equalWidth="0" w:num="1">
            <w:col w:w="10047"/>
          </w:cols>
          <w:pgMar w:left="913" w:top="544"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10047"/>
          </w:cols>
          <w:pgMar w:left="913" w:top="544" w:right="92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Notes to Consolidated Financial Statements</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Segment and Geographic Information</w:t>
      </w:r>
    </w:p>
    <w:p>
      <w:pPr>
        <w:spacing w:after="0" w:line="130"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the Chairman and Chief Executive Officer of Sotera Health Company (“CODM”), evaluates performance and allocates resources based on segment income after the elimination of intercompany activities. The CODM uses these performance measures to inform decisions about the operations of the business and dedication of resources to selling and general administrative matters pertinent to the Company. The accounting policies of our reportable segments are the same as those described in Note 1,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Sterigenics</w:t>
      </w:r>
    </w:p>
    <w:p>
      <w:pPr>
        <w:spacing w:after="0" w:line="125" w:lineRule="exact"/>
        <w:rPr>
          <w:sz w:val="20"/>
          <w:szCs w:val="20"/>
          <w:color w:val="auto"/>
        </w:rPr>
      </w:pPr>
    </w:p>
    <w:p>
      <w:pPr>
        <w:ind w:right="460"/>
        <w:spacing w:after="0" w:line="258" w:lineRule="auto"/>
        <w:rPr>
          <w:sz w:val="20"/>
          <w:szCs w:val="20"/>
          <w:color w:val="auto"/>
        </w:rPr>
      </w:pPr>
      <w:r>
        <w:rPr>
          <w:rFonts w:ascii="Arial" w:cs="Arial" w:eastAsia="Arial" w:hAnsi="Arial"/>
          <w:sz w:val="20"/>
          <w:szCs w:val="20"/>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Nordion</w:t>
      </w:r>
    </w:p>
    <w:p>
      <w:pPr>
        <w:spacing w:after="0" w:line="125" w:lineRule="exact"/>
        <w:rPr>
          <w:sz w:val="20"/>
          <w:szCs w:val="20"/>
          <w:color w:val="auto"/>
        </w:rPr>
      </w:pPr>
    </w:p>
    <w:p>
      <w:pPr>
        <w:ind w:right="560"/>
        <w:spacing w:after="0" w:line="258" w:lineRule="auto"/>
        <w:rPr>
          <w:sz w:val="20"/>
          <w:szCs w:val="20"/>
          <w:color w:val="auto"/>
        </w:rPr>
      </w:pPr>
      <w:r>
        <w:rPr>
          <w:rFonts w:ascii="Arial" w:cs="Arial" w:eastAsia="Arial" w:hAnsi="Arial"/>
          <w:sz w:val="20"/>
          <w:szCs w:val="20"/>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Nelson Labs</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Nelson Labs provides outsourced microbiological and analytical chemistry testing and advisory services for the medical device and pharmaceutical industries.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u w:val="single" w:color="auto"/>
          <w:color w:val="auto"/>
        </w:rPr>
        <w:t>Segment Revenue Concentrations</w:t>
      </w:r>
    </w:p>
    <w:p>
      <w:pPr>
        <w:spacing w:after="0" w:line="289"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For the year ended December 31, 2024, two customers reported within the Nordion segment individually represented 10% or more of the segment’s total net revenues. These customers represented 21.3% and 13.0% of the total segment’s external net revenues for the year ended December 31, 2024. For the year ended December 31, 2023, three customers reported within the Nordion segment individually represented 10% or more of the segment’s total net revenues. These customers represented</w:t>
      </w:r>
    </w:p>
    <w:p>
      <w:pPr>
        <w:spacing w:after="0" w:line="2" w:lineRule="exact"/>
        <w:rPr>
          <w:sz w:val="20"/>
          <w:szCs w:val="20"/>
          <w:color w:val="auto"/>
        </w:rPr>
      </w:pPr>
    </w:p>
    <w:p>
      <w:pPr>
        <w:ind w:right="280"/>
        <w:spacing w:after="0" w:line="298" w:lineRule="auto"/>
        <w:rPr>
          <w:sz w:val="20"/>
          <w:szCs w:val="20"/>
          <w:color w:val="auto"/>
        </w:rPr>
      </w:pPr>
      <w:r>
        <w:rPr>
          <w:rFonts w:ascii="Arial" w:cs="Arial" w:eastAsia="Arial" w:hAnsi="Arial"/>
          <w:sz w:val="17"/>
          <w:szCs w:val="17"/>
          <w:color w:val="auto"/>
        </w:rPr>
        <w:t>20.1%, 14.8%, and 13.9% of the total segment’s external net revenues for the year ended December 31, 2023. For the year ended December 31, 2022, five customers reported within the Nordion segment individually represented 10% or more of the</w:t>
      </w:r>
    </w:p>
    <w:p>
      <w:pPr>
        <w:spacing w:after="0" w:line="1" w:lineRule="exact"/>
        <w:rPr>
          <w:sz w:val="20"/>
          <w:szCs w:val="20"/>
          <w:color w:val="auto"/>
        </w:rPr>
      </w:pPr>
    </w:p>
    <w:p>
      <w:pPr>
        <w:ind w:right="460"/>
        <w:spacing w:after="0" w:line="283" w:lineRule="auto"/>
        <w:rPr>
          <w:sz w:val="20"/>
          <w:szCs w:val="20"/>
          <w:color w:val="auto"/>
        </w:rPr>
      </w:pPr>
      <w:r>
        <w:rPr>
          <w:rFonts w:ascii="Arial" w:cs="Arial" w:eastAsia="Arial" w:hAnsi="Arial"/>
          <w:sz w:val="20"/>
          <w:szCs w:val="20"/>
          <w:color w:val="auto"/>
        </w:rPr>
        <w:t>segment’s total net revenues. These customers represented 17.7%, 13.6%, 11.2%, 10.7% and 10.2% of the total segment’s external net revenues for the year ended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Financial information for each of our segments is presented in the following table:</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17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20"/>
                <w:szCs w:val="20"/>
                <w:b w:val="1"/>
                <w:bCs w:val="1"/>
                <w:color w:val="auto"/>
                <w:w w:val="89"/>
              </w:rPr>
              <w:t>Year Ended December 31, 2024</w:t>
            </w: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62"/>
              <w:spacing w:after="0"/>
              <w:rPr>
                <w:sz w:val="20"/>
                <w:szCs w:val="20"/>
                <w:color w:val="auto"/>
              </w:rPr>
            </w:pPr>
            <w:r>
              <w:rPr>
                <w:rFonts w:ascii="Arial" w:cs="Arial" w:eastAsia="Arial" w:hAnsi="Arial"/>
                <w:sz w:val="20"/>
                <w:szCs w:val="20"/>
                <w:b w:val="1"/>
                <w:bCs w:val="1"/>
                <w:color w:val="auto"/>
                <w:w w:val="90"/>
              </w:rPr>
              <w:t>Sterigenics</w:t>
            </w:r>
          </w:p>
        </w:tc>
        <w:tc>
          <w:tcPr>
            <w:tcW w:w="240" w:type="dxa"/>
            <w:vAlign w:val="bottom"/>
          </w:tcPr>
          <w:p>
            <w:pPr>
              <w:spacing w:after="0"/>
              <w:rPr>
                <w:sz w:val="21"/>
                <w:szCs w:val="21"/>
                <w:color w:val="auto"/>
              </w:rPr>
            </w:pPr>
          </w:p>
        </w:tc>
        <w:tc>
          <w:tcPr>
            <w:tcW w:w="1500" w:type="dxa"/>
            <w:vAlign w:val="bottom"/>
          </w:tcPr>
          <w:p>
            <w:pPr>
              <w:jc w:val="right"/>
              <w:ind w:right="402"/>
              <w:spacing w:after="0"/>
              <w:rPr>
                <w:sz w:val="20"/>
                <w:szCs w:val="20"/>
                <w:color w:val="auto"/>
              </w:rPr>
            </w:pPr>
            <w:r>
              <w:rPr>
                <w:rFonts w:ascii="Arial" w:cs="Arial" w:eastAsia="Arial" w:hAnsi="Arial"/>
                <w:sz w:val="20"/>
                <w:szCs w:val="20"/>
                <w:b w:val="1"/>
                <w:bCs w:val="1"/>
                <w:color w:val="auto"/>
              </w:rPr>
              <w:t>Nordion</w:t>
            </w:r>
          </w:p>
        </w:tc>
        <w:tc>
          <w:tcPr>
            <w:tcW w:w="24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w w:val="87"/>
              </w:rPr>
              <w:t>Nelson Labs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8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20"/>
                <w:szCs w:val="20"/>
                <w:color w:val="auto"/>
              </w:rPr>
              <w:t>Net revenues</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3620" w:type="dxa"/>
            <w:vAlign w:val="bottom"/>
            <w:gridSpan w:val="2"/>
            <w:vMerge w:val="continue"/>
          </w:tcPr>
          <w:p>
            <w:pPr>
              <w:spacing w:after="0"/>
              <w:rPr>
                <w:sz w:val="24"/>
                <w:szCs w:val="24"/>
                <w:color w:val="auto"/>
              </w:rPr>
            </w:pP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2"/>
              <w:spacing w:after="0"/>
              <w:rPr>
                <w:sz w:val="20"/>
                <w:szCs w:val="20"/>
                <w:color w:val="auto"/>
              </w:rPr>
            </w:pPr>
            <w:r>
              <w:rPr>
                <w:rFonts w:ascii="Arial" w:cs="Arial" w:eastAsia="Arial" w:hAnsi="Arial"/>
                <w:sz w:val="20"/>
                <w:szCs w:val="20"/>
                <w:color w:val="auto"/>
              </w:rPr>
              <w:t>697,853</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22"/>
              <w:spacing w:after="0"/>
              <w:rPr>
                <w:sz w:val="20"/>
                <w:szCs w:val="20"/>
                <w:color w:val="auto"/>
              </w:rPr>
            </w:pPr>
            <w:r>
              <w:rPr>
                <w:rFonts w:ascii="Arial" w:cs="Arial" w:eastAsia="Arial" w:hAnsi="Arial"/>
                <w:sz w:val="20"/>
                <w:szCs w:val="20"/>
                <w:color w:val="auto"/>
              </w:rPr>
              <w:t>173,355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229,233</w:t>
            </w:r>
          </w:p>
        </w:tc>
        <w:tc>
          <w:tcPr>
            <w:tcW w:w="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1,100,441</w:t>
            </w:r>
          </w:p>
        </w:tc>
        <w:tc>
          <w:tcPr>
            <w:tcW w:w="0" w:type="dxa"/>
            <w:vAlign w:val="bottom"/>
          </w:tcPr>
          <w:p>
            <w:pPr>
              <w:spacing w:after="0"/>
              <w:rPr>
                <w:sz w:val="1"/>
                <w:szCs w:val="1"/>
                <w:color w:val="auto"/>
              </w:rPr>
            </w:pPr>
          </w:p>
        </w:tc>
      </w:tr>
      <w:tr>
        <w:trPr>
          <w:trHeight w:val="309"/>
        </w:trPr>
        <w:tc>
          <w:tcPr>
            <w:tcW w:w="3620" w:type="dxa"/>
            <w:vAlign w:val="bottom"/>
            <w:gridSpan w:val="2"/>
          </w:tcPr>
          <w:p>
            <w:pPr>
              <w:spacing w:after="0"/>
              <w:rPr>
                <w:sz w:val="20"/>
                <w:szCs w:val="20"/>
                <w:color w:val="auto"/>
              </w:rPr>
            </w:pPr>
            <w:r>
              <w:rPr>
                <w:rFonts w:ascii="Arial" w:cs="Arial" w:eastAsia="Arial" w:hAnsi="Arial"/>
                <w:sz w:val="20"/>
                <w:szCs w:val="20"/>
                <w:color w:val="auto"/>
              </w:rPr>
              <w:t>Segment expenses</w:t>
            </w:r>
            <w:r>
              <w:rPr>
                <w:rFonts w:ascii="Arial" w:cs="Arial" w:eastAsia="Arial" w:hAnsi="Arial"/>
                <w:sz w:val="25"/>
                <w:szCs w:val="25"/>
                <w:color w:val="auto"/>
                <w:vertAlign w:val="superscript"/>
              </w:rPr>
              <w:t>(b)</w:t>
            </w:r>
          </w:p>
        </w:tc>
        <w:tc>
          <w:tcPr>
            <w:tcW w:w="240" w:type="dxa"/>
            <w:vAlign w:val="bottom"/>
          </w:tcPr>
          <w:p>
            <w:pPr>
              <w:spacing w:after="0"/>
              <w:rPr>
                <w:sz w:val="24"/>
                <w:szCs w:val="24"/>
                <w:color w:val="auto"/>
              </w:rPr>
            </w:pPr>
          </w:p>
        </w:tc>
        <w:tc>
          <w:tcPr>
            <w:tcW w:w="1360" w:type="dxa"/>
            <w:vAlign w:val="bottom"/>
          </w:tcPr>
          <w:p>
            <w:pPr>
              <w:jc w:val="right"/>
              <w:ind w:right="22"/>
              <w:spacing w:after="0"/>
              <w:rPr>
                <w:sz w:val="20"/>
                <w:szCs w:val="20"/>
                <w:color w:val="auto"/>
              </w:rPr>
            </w:pPr>
            <w:r>
              <w:rPr>
                <w:rFonts w:ascii="Arial" w:cs="Arial" w:eastAsia="Arial" w:hAnsi="Arial"/>
                <w:sz w:val="20"/>
                <w:szCs w:val="20"/>
                <w:color w:val="auto"/>
              </w:rPr>
              <w:t>286,434</w:t>
            </w:r>
          </w:p>
        </w:tc>
        <w:tc>
          <w:tcPr>
            <w:tcW w:w="240" w:type="dxa"/>
            <w:vAlign w:val="bottom"/>
          </w:tcPr>
          <w:p>
            <w:pPr>
              <w:spacing w:after="0"/>
              <w:rPr>
                <w:sz w:val="24"/>
                <w:szCs w:val="24"/>
                <w:color w:val="auto"/>
              </w:rPr>
            </w:pPr>
          </w:p>
        </w:tc>
        <w:tc>
          <w:tcPr>
            <w:tcW w:w="1500" w:type="dxa"/>
            <w:vAlign w:val="bottom"/>
          </w:tcPr>
          <w:p>
            <w:pPr>
              <w:jc w:val="right"/>
              <w:ind w:right="22"/>
              <w:spacing w:after="0"/>
              <w:rPr>
                <w:sz w:val="20"/>
                <w:szCs w:val="20"/>
                <w:color w:val="auto"/>
              </w:rPr>
            </w:pPr>
            <w:r>
              <w:rPr>
                <w:rFonts w:ascii="Arial" w:cs="Arial" w:eastAsia="Arial" w:hAnsi="Arial"/>
                <w:sz w:val="20"/>
                <w:szCs w:val="20"/>
                <w:color w:val="auto"/>
              </w:rPr>
              <w:t>67,087</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155,088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508,609</w:t>
            </w:r>
          </w:p>
        </w:tc>
        <w:tc>
          <w:tcPr>
            <w:tcW w:w="0" w:type="dxa"/>
            <w:vAlign w:val="bottom"/>
          </w:tcPr>
          <w:p>
            <w:pPr>
              <w:spacing w:after="0"/>
              <w:rPr>
                <w:sz w:val="1"/>
                <w:szCs w:val="1"/>
                <w:color w:val="auto"/>
              </w:rPr>
            </w:pPr>
          </w:p>
        </w:tc>
      </w:tr>
      <w:tr>
        <w:trPr>
          <w:trHeight w:val="276"/>
        </w:trPr>
        <w:tc>
          <w:tcPr>
            <w:tcW w:w="3620" w:type="dxa"/>
            <w:vAlign w:val="bottom"/>
            <w:gridSpan w:val="2"/>
          </w:tcPr>
          <w:p>
            <w:pPr>
              <w:spacing w:after="0" w:line="276" w:lineRule="exact"/>
              <w:rPr>
                <w:sz w:val="20"/>
                <w:szCs w:val="20"/>
                <w:color w:val="auto"/>
              </w:rPr>
            </w:pPr>
            <w:r>
              <w:rPr>
                <w:rFonts w:ascii="Arial" w:cs="Arial" w:eastAsia="Arial" w:hAnsi="Arial"/>
                <w:sz w:val="20"/>
                <w:szCs w:val="20"/>
                <w:color w:val="auto"/>
              </w:rPr>
              <w:t>Corporate expense allocation</w:t>
            </w:r>
            <w:r>
              <w:rPr>
                <w:rFonts w:ascii="Arial" w:cs="Arial" w:eastAsia="Arial" w:hAnsi="Arial"/>
                <w:sz w:val="25"/>
                <w:szCs w:val="25"/>
                <w:color w:val="auto"/>
                <w:vertAlign w:val="superscript"/>
              </w:rPr>
              <w:t>(c)</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33,248</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5,048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4,962</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43,258</w:t>
            </w:r>
          </w:p>
        </w:tc>
        <w:tc>
          <w:tcPr>
            <w:tcW w:w="0" w:type="dxa"/>
            <w:vAlign w:val="bottom"/>
          </w:tcPr>
          <w:p>
            <w:pPr>
              <w:spacing w:after="0"/>
              <w:rPr>
                <w:sz w:val="1"/>
                <w:szCs w:val="1"/>
                <w:color w:val="auto"/>
              </w:rPr>
            </w:pPr>
          </w:p>
        </w:tc>
      </w:tr>
      <w:tr>
        <w:trPr>
          <w:trHeight w:val="269"/>
        </w:trPr>
        <w:tc>
          <w:tcPr>
            <w:tcW w:w="3620" w:type="dxa"/>
            <w:vAlign w:val="bottom"/>
            <w:gridSpan w:val="2"/>
          </w:tcPr>
          <w:p>
            <w:pPr>
              <w:spacing w:after="0"/>
              <w:rPr>
                <w:sz w:val="20"/>
                <w:szCs w:val="20"/>
                <w:color w:val="auto"/>
              </w:rPr>
            </w:pPr>
            <w:r>
              <w:rPr>
                <w:rFonts w:ascii="Arial" w:cs="Arial" w:eastAsia="Arial" w:hAnsi="Arial"/>
                <w:sz w:val="20"/>
                <w:szCs w:val="20"/>
                <w:color w:val="auto"/>
              </w:rPr>
              <w:t>Segment income</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378,171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101,220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69,183</w:t>
            </w: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548,574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-814705</wp:posOffset>
            </wp:positionV>
            <wp:extent cx="6410325" cy="821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6410325" cy="821690"/>
                    </a:xfrm>
                    <a:prstGeom prst="rect">
                      <a:avLst/>
                    </a:prstGeom>
                    <a:noFill/>
                  </pic:spPr>
                </pic:pic>
              </a:graphicData>
            </a:graphic>
          </wp:anchor>
        </w:drawing>
      </w:r>
    </w:p>
    <w:p>
      <w:pPr>
        <w:sectPr>
          <w:pgSz w:w="11880" w:h="15480" w:orient="portrait"/>
          <w:cols w:equalWidth="0" w:num="1">
            <w:col w:w="10040"/>
          </w:cols>
          <w:pgMar w:left="920"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10040"/>
          </w:cols>
          <w:pgMar w:left="920" w:top="544" w:right="920" w:bottom="0" w:gutter="0" w:footer="0" w:header="0"/>
          <w:type w:val="continuous"/>
        </w:sectPr>
      </w:pPr>
    </w:p>
    <w:bookmarkStart w:id="119" w:name="page120"/>
    <w:bookmarkEnd w:id="119"/>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47" w:type="dxa"/>
        <w:tblCellMar>
          <w:top w:w="0" w:type="dxa"/>
          <w:left w:w="0" w:type="dxa"/>
          <w:bottom w:w="0" w:type="dxa"/>
          <w:right w:w="0" w:type="dxa"/>
        </w:tblCellMar>
      </w:tblPr>
      <w:tr>
        <w:trPr>
          <w:trHeight w:val="262"/>
        </w:trPr>
        <w:tc>
          <w:tcPr>
            <w:tcW w:w="17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20"/>
                <w:szCs w:val="20"/>
                <w:b w:val="1"/>
                <w:bCs w:val="1"/>
                <w:color w:val="auto"/>
                <w:w w:val="89"/>
              </w:rPr>
              <w:t>Year Ended December 31, 2023</w:t>
            </w: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62"/>
              <w:spacing w:after="0"/>
              <w:rPr>
                <w:sz w:val="20"/>
                <w:szCs w:val="20"/>
                <w:color w:val="auto"/>
              </w:rPr>
            </w:pPr>
            <w:r>
              <w:rPr>
                <w:rFonts w:ascii="Arial" w:cs="Arial" w:eastAsia="Arial" w:hAnsi="Arial"/>
                <w:sz w:val="20"/>
                <w:szCs w:val="20"/>
                <w:b w:val="1"/>
                <w:bCs w:val="1"/>
                <w:color w:val="auto"/>
                <w:w w:val="90"/>
              </w:rPr>
              <w:t>Sterigenics</w:t>
            </w:r>
          </w:p>
        </w:tc>
        <w:tc>
          <w:tcPr>
            <w:tcW w:w="240" w:type="dxa"/>
            <w:vAlign w:val="bottom"/>
          </w:tcPr>
          <w:p>
            <w:pPr>
              <w:spacing w:after="0"/>
              <w:rPr>
                <w:sz w:val="21"/>
                <w:szCs w:val="21"/>
                <w:color w:val="auto"/>
              </w:rPr>
            </w:pPr>
          </w:p>
        </w:tc>
        <w:tc>
          <w:tcPr>
            <w:tcW w:w="1500" w:type="dxa"/>
            <w:vAlign w:val="bottom"/>
          </w:tcPr>
          <w:p>
            <w:pPr>
              <w:jc w:val="right"/>
              <w:ind w:right="402"/>
              <w:spacing w:after="0"/>
              <w:rPr>
                <w:sz w:val="20"/>
                <w:szCs w:val="20"/>
                <w:color w:val="auto"/>
              </w:rPr>
            </w:pPr>
            <w:r>
              <w:rPr>
                <w:rFonts w:ascii="Arial" w:cs="Arial" w:eastAsia="Arial" w:hAnsi="Arial"/>
                <w:sz w:val="20"/>
                <w:szCs w:val="20"/>
                <w:b w:val="1"/>
                <w:bCs w:val="1"/>
                <w:color w:val="auto"/>
              </w:rPr>
              <w:t>Nordion</w:t>
            </w:r>
          </w:p>
        </w:tc>
        <w:tc>
          <w:tcPr>
            <w:tcW w:w="24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w w:val="87"/>
              </w:rPr>
              <w:t>Nelson Labs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8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20"/>
                <w:szCs w:val="20"/>
                <w:color w:val="auto"/>
              </w:rPr>
              <w:t>Net revenues</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3620" w:type="dxa"/>
            <w:vAlign w:val="bottom"/>
            <w:gridSpan w:val="2"/>
            <w:vMerge w:val="continue"/>
          </w:tcPr>
          <w:p>
            <w:pPr>
              <w:spacing w:after="0"/>
              <w:rPr>
                <w:sz w:val="24"/>
                <w:szCs w:val="24"/>
                <w:color w:val="auto"/>
              </w:rPr>
            </w:pP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2"/>
              <w:spacing w:after="0"/>
              <w:rPr>
                <w:sz w:val="20"/>
                <w:szCs w:val="20"/>
                <w:color w:val="auto"/>
              </w:rPr>
            </w:pPr>
            <w:r>
              <w:rPr>
                <w:rFonts w:ascii="Arial" w:cs="Arial" w:eastAsia="Arial" w:hAnsi="Arial"/>
                <w:sz w:val="20"/>
                <w:szCs w:val="20"/>
                <w:color w:val="auto"/>
              </w:rPr>
              <w:t>667,130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22"/>
              <w:spacing w:after="0"/>
              <w:rPr>
                <w:sz w:val="20"/>
                <w:szCs w:val="20"/>
                <w:color w:val="auto"/>
              </w:rPr>
            </w:pPr>
            <w:r>
              <w:rPr>
                <w:rFonts w:ascii="Arial" w:cs="Arial" w:eastAsia="Arial" w:hAnsi="Arial"/>
                <w:sz w:val="20"/>
                <w:szCs w:val="20"/>
                <w:color w:val="auto"/>
              </w:rPr>
              <w:t>160,459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221,699</w:t>
            </w:r>
          </w:p>
        </w:tc>
        <w:tc>
          <w:tcPr>
            <w:tcW w:w="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1,049,288</w:t>
            </w:r>
          </w:p>
        </w:tc>
        <w:tc>
          <w:tcPr>
            <w:tcW w:w="0" w:type="dxa"/>
            <w:vAlign w:val="bottom"/>
          </w:tcPr>
          <w:p>
            <w:pPr>
              <w:spacing w:after="0"/>
              <w:rPr>
                <w:sz w:val="1"/>
                <w:szCs w:val="1"/>
                <w:color w:val="auto"/>
              </w:rPr>
            </w:pPr>
          </w:p>
        </w:tc>
      </w:tr>
      <w:tr>
        <w:trPr>
          <w:trHeight w:val="309"/>
        </w:trPr>
        <w:tc>
          <w:tcPr>
            <w:tcW w:w="3620" w:type="dxa"/>
            <w:vAlign w:val="bottom"/>
            <w:gridSpan w:val="2"/>
          </w:tcPr>
          <w:p>
            <w:pPr>
              <w:spacing w:after="0"/>
              <w:rPr>
                <w:sz w:val="20"/>
                <w:szCs w:val="20"/>
                <w:color w:val="auto"/>
              </w:rPr>
            </w:pPr>
            <w:r>
              <w:rPr>
                <w:rFonts w:ascii="Arial" w:cs="Arial" w:eastAsia="Arial" w:hAnsi="Arial"/>
                <w:sz w:val="20"/>
                <w:szCs w:val="20"/>
                <w:color w:val="auto"/>
              </w:rPr>
              <w:t>Segment expenses</w:t>
            </w:r>
            <w:r>
              <w:rPr>
                <w:rFonts w:ascii="Arial" w:cs="Arial" w:eastAsia="Arial" w:hAnsi="Arial"/>
                <w:sz w:val="25"/>
                <w:szCs w:val="25"/>
                <w:color w:val="auto"/>
                <w:vertAlign w:val="superscript"/>
              </w:rPr>
              <w:t>(b)</w:t>
            </w:r>
          </w:p>
        </w:tc>
        <w:tc>
          <w:tcPr>
            <w:tcW w:w="240" w:type="dxa"/>
            <w:vAlign w:val="bottom"/>
          </w:tcPr>
          <w:p>
            <w:pPr>
              <w:spacing w:after="0"/>
              <w:rPr>
                <w:sz w:val="24"/>
                <w:szCs w:val="24"/>
                <w:color w:val="auto"/>
              </w:rPr>
            </w:pPr>
          </w:p>
        </w:tc>
        <w:tc>
          <w:tcPr>
            <w:tcW w:w="1360" w:type="dxa"/>
            <w:vAlign w:val="bottom"/>
          </w:tcPr>
          <w:p>
            <w:pPr>
              <w:jc w:val="right"/>
              <w:ind w:right="22"/>
              <w:spacing w:after="0"/>
              <w:rPr>
                <w:sz w:val="20"/>
                <w:szCs w:val="20"/>
                <w:color w:val="auto"/>
              </w:rPr>
            </w:pPr>
            <w:r>
              <w:rPr>
                <w:rFonts w:ascii="Arial" w:cs="Arial" w:eastAsia="Arial" w:hAnsi="Arial"/>
                <w:sz w:val="20"/>
                <w:szCs w:val="20"/>
                <w:color w:val="auto"/>
              </w:rPr>
              <w:t>275,424</w:t>
            </w:r>
          </w:p>
        </w:tc>
        <w:tc>
          <w:tcPr>
            <w:tcW w:w="240" w:type="dxa"/>
            <w:vAlign w:val="bottom"/>
          </w:tcPr>
          <w:p>
            <w:pPr>
              <w:spacing w:after="0"/>
              <w:rPr>
                <w:sz w:val="24"/>
                <w:szCs w:val="24"/>
                <w:color w:val="auto"/>
              </w:rPr>
            </w:pPr>
          </w:p>
        </w:tc>
        <w:tc>
          <w:tcPr>
            <w:tcW w:w="1500" w:type="dxa"/>
            <w:vAlign w:val="bottom"/>
          </w:tcPr>
          <w:p>
            <w:pPr>
              <w:jc w:val="right"/>
              <w:ind w:right="22"/>
              <w:spacing w:after="0"/>
              <w:rPr>
                <w:sz w:val="20"/>
                <w:szCs w:val="20"/>
                <w:color w:val="auto"/>
              </w:rPr>
            </w:pPr>
            <w:r>
              <w:rPr>
                <w:rFonts w:ascii="Arial" w:cs="Arial" w:eastAsia="Arial" w:hAnsi="Arial"/>
                <w:sz w:val="20"/>
                <w:szCs w:val="20"/>
                <w:color w:val="auto"/>
              </w:rPr>
              <w:t>59,399</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148,209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483,032</w:t>
            </w:r>
          </w:p>
        </w:tc>
        <w:tc>
          <w:tcPr>
            <w:tcW w:w="0" w:type="dxa"/>
            <w:vAlign w:val="bottom"/>
          </w:tcPr>
          <w:p>
            <w:pPr>
              <w:spacing w:after="0"/>
              <w:rPr>
                <w:sz w:val="1"/>
                <w:szCs w:val="1"/>
                <w:color w:val="auto"/>
              </w:rPr>
            </w:pPr>
          </w:p>
        </w:tc>
      </w:tr>
      <w:tr>
        <w:trPr>
          <w:trHeight w:val="276"/>
        </w:trPr>
        <w:tc>
          <w:tcPr>
            <w:tcW w:w="3620" w:type="dxa"/>
            <w:vAlign w:val="bottom"/>
            <w:gridSpan w:val="2"/>
          </w:tcPr>
          <w:p>
            <w:pPr>
              <w:spacing w:after="0" w:line="276" w:lineRule="exact"/>
              <w:rPr>
                <w:sz w:val="20"/>
                <w:szCs w:val="20"/>
                <w:color w:val="auto"/>
              </w:rPr>
            </w:pPr>
            <w:r>
              <w:rPr>
                <w:rFonts w:ascii="Arial" w:cs="Arial" w:eastAsia="Arial" w:hAnsi="Arial"/>
                <w:sz w:val="20"/>
                <w:szCs w:val="20"/>
                <w:color w:val="auto"/>
              </w:rPr>
              <w:t>Corporate expense allocation</w:t>
            </w:r>
            <w:r>
              <w:rPr>
                <w:rFonts w:ascii="Arial" w:cs="Arial" w:eastAsia="Arial" w:hAnsi="Arial"/>
                <w:sz w:val="25"/>
                <w:szCs w:val="25"/>
                <w:color w:val="auto"/>
                <w:vertAlign w:val="superscript"/>
              </w:rPr>
              <w:t>(c)</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29,494</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4,382</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4,351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38,227</w:t>
            </w:r>
          </w:p>
        </w:tc>
        <w:tc>
          <w:tcPr>
            <w:tcW w:w="0" w:type="dxa"/>
            <w:vAlign w:val="bottom"/>
          </w:tcPr>
          <w:p>
            <w:pPr>
              <w:spacing w:after="0"/>
              <w:rPr>
                <w:sz w:val="1"/>
                <w:szCs w:val="1"/>
                <w:color w:val="auto"/>
              </w:rPr>
            </w:pPr>
          </w:p>
        </w:tc>
      </w:tr>
      <w:tr>
        <w:trPr>
          <w:trHeight w:val="269"/>
        </w:trPr>
        <w:tc>
          <w:tcPr>
            <w:tcW w:w="3620" w:type="dxa"/>
            <w:vAlign w:val="bottom"/>
            <w:gridSpan w:val="2"/>
          </w:tcPr>
          <w:p>
            <w:pPr>
              <w:spacing w:after="0"/>
              <w:rPr>
                <w:sz w:val="20"/>
                <w:szCs w:val="20"/>
                <w:color w:val="auto"/>
              </w:rPr>
            </w:pPr>
            <w:r>
              <w:rPr>
                <w:rFonts w:ascii="Arial" w:cs="Arial" w:eastAsia="Arial" w:hAnsi="Arial"/>
                <w:sz w:val="20"/>
                <w:szCs w:val="20"/>
                <w:color w:val="auto"/>
              </w:rPr>
              <w:t>Segment income</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362,212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96,678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69,139</w:t>
            </w: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528,029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20"/>
                <w:szCs w:val="20"/>
                <w:b w:val="1"/>
                <w:bCs w:val="1"/>
                <w:color w:val="auto"/>
                <w:w w:val="89"/>
              </w:rPr>
              <w:t>Year Ended December 31, 2022</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62"/>
              <w:spacing w:after="0"/>
              <w:rPr>
                <w:sz w:val="20"/>
                <w:szCs w:val="20"/>
                <w:color w:val="auto"/>
              </w:rPr>
            </w:pPr>
            <w:r>
              <w:rPr>
                <w:rFonts w:ascii="Arial" w:cs="Arial" w:eastAsia="Arial" w:hAnsi="Arial"/>
                <w:sz w:val="20"/>
                <w:szCs w:val="20"/>
                <w:b w:val="1"/>
                <w:bCs w:val="1"/>
                <w:color w:val="auto"/>
                <w:w w:val="90"/>
              </w:rPr>
              <w:t>Sterigenics</w:t>
            </w:r>
          </w:p>
        </w:tc>
        <w:tc>
          <w:tcPr>
            <w:tcW w:w="240" w:type="dxa"/>
            <w:vAlign w:val="bottom"/>
          </w:tcPr>
          <w:p>
            <w:pPr>
              <w:spacing w:after="0"/>
              <w:rPr>
                <w:sz w:val="21"/>
                <w:szCs w:val="21"/>
                <w:color w:val="auto"/>
              </w:rPr>
            </w:pPr>
          </w:p>
        </w:tc>
        <w:tc>
          <w:tcPr>
            <w:tcW w:w="1500" w:type="dxa"/>
            <w:vAlign w:val="bottom"/>
          </w:tcPr>
          <w:p>
            <w:pPr>
              <w:jc w:val="right"/>
              <w:ind w:right="402"/>
              <w:spacing w:after="0"/>
              <w:rPr>
                <w:sz w:val="20"/>
                <w:szCs w:val="20"/>
                <w:color w:val="auto"/>
              </w:rPr>
            </w:pPr>
            <w:r>
              <w:rPr>
                <w:rFonts w:ascii="Arial" w:cs="Arial" w:eastAsia="Arial" w:hAnsi="Arial"/>
                <w:sz w:val="20"/>
                <w:szCs w:val="20"/>
                <w:b w:val="1"/>
                <w:bCs w:val="1"/>
                <w:color w:val="auto"/>
              </w:rPr>
              <w:t>Nordion</w:t>
            </w:r>
          </w:p>
        </w:tc>
        <w:tc>
          <w:tcPr>
            <w:tcW w:w="240" w:type="dxa"/>
            <w:vAlign w:val="bottom"/>
          </w:tcPr>
          <w:p>
            <w:pPr>
              <w:spacing w:after="0"/>
              <w:rPr>
                <w:sz w:val="21"/>
                <w:szCs w:val="21"/>
                <w:color w:val="auto"/>
              </w:rPr>
            </w:pPr>
          </w:p>
        </w:tc>
        <w:tc>
          <w:tcPr>
            <w:tcW w:w="1240" w:type="dxa"/>
            <w:vAlign w:val="bottom"/>
          </w:tcPr>
          <w:p>
            <w:pPr>
              <w:jc w:val="right"/>
              <w:ind w:right="82"/>
              <w:spacing w:after="0"/>
              <w:rPr>
                <w:sz w:val="20"/>
                <w:szCs w:val="20"/>
                <w:color w:val="auto"/>
              </w:rPr>
            </w:pPr>
            <w:r>
              <w:rPr>
                <w:rFonts w:ascii="Arial" w:cs="Arial" w:eastAsia="Arial" w:hAnsi="Arial"/>
                <w:sz w:val="20"/>
                <w:szCs w:val="20"/>
                <w:b w:val="1"/>
                <w:bCs w:val="1"/>
                <w:color w:val="auto"/>
                <w:w w:val="87"/>
              </w:rPr>
              <w:t>Nelson Labs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8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20"/>
                <w:szCs w:val="20"/>
                <w:color w:val="auto"/>
              </w:rPr>
              <w:t>Net revenues</w:t>
            </w:r>
            <w:r>
              <w:rPr>
                <w:rFonts w:ascii="Arial" w:cs="Arial" w:eastAsia="Arial" w:hAnsi="Arial"/>
                <w:sz w:val="25"/>
                <w:szCs w:val="25"/>
                <w:color w:val="auto"/>
                <w:vertAlign w:val="superscript"/>
              </w:rPr>
              <w:t>(a)</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3620" w:type="dxa"/>
            <w:vAlign w:val="bottom"/>
            <w:gridSpan w:val="2"/>
            <w:vMerge w:val="continue"/>
          </w:tcPr>
          <w:p>
            <w:pPr>
              <w:spacing w:after="0"/>
              <w:rPr>
                <w:sz w:val="24"/>
                <w:szCs w:val="24"/>
                <w:color w:val="auto"/>
              </w:rPr>
            </w:pPr>
          </w:p>
        </w:tc>
        <w:tc>
          <w:tcPr>
            <w:tcW w:w="2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22"/>
              <w:spacing w:after="0"/>
              <w:rPr>
                <w:sz w:val="20"/>
                <w:szCs w:val="20"/>
                <w:color w:val="auto"/>
              </w:rPr>
            </w:pPr>
            <w:r>
              <w:rPr>
                <w:rFonts w:ascii="Arial" w:cs="Arial" w:eastAsia="Arial" w:hAnsi="Arial"/>
                <w:sz w:val="20"/>
                <w:szCs w:val="20"/>
                <w:color w:val="auto"/>
              </w:rPr>
              <w:t>626,646</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ind w:right="22"/>
              <w:spacing w:after="0"/>
              <w:rPr>
                <w:sz w:val="20"/>
                <w:szCs w:val="20"/>
                <w:color w:val="auto"/>
              </w:rPr>
            </w:pPr>
            <w:r>
              <w:rPr>
                <w:rFonts w:ascii="Arial" w:cs="Arial" w:eastAsia="Arial" w:hAnsi="Arial"/>
                <w:sz w:val="20"/>
                <w:szCs w:val="20"/>
                <w:color w:val="auto"/>
              </w:rPr>
              <w:t>153,639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223,402</w:t>
            </w:r>
          </w:p>
        </w:tc>
        <w:tc>
          <w:tcPr>
            <w:tcW w:w="4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1,003,687</w:t>
            </w:r>
          </w:p>
        </w:tc>
        <w:tc>
          <w:tcPr>
            <w:tcW w:w="0" w:type="dxa"/>
            <w:vAlign w:val="bottom"/>
          </w:tcPr>
          <w:p>
            <w:pPr>
              <w:spacing w:after="0"/>
              <w:rPr>
                <w:sz w:val="1"/>
                <w:szCs w:val="1"/>
                <w:color w:val="auto"/>
              </w:rPr>
            </w:pPr>
          </w:p>
        </w:tc>
      </w:tr>
      <w:tr>
        <w:trPr>
          <w:trHeight w:val="309"/>
        </w:trPr>
        <w:tc>
          <w:tcPr>
            <w:tcW w:w="3620" w:type="dxa"/>
            <w:vAlign w:val="bottom"/>
            <w:gridSpan w:val="2"/>
          </w:tcPr>
          <w:p>
            <w:pPr>
              <w:spacing w:after="0"/>
              <w:rPr>
                <w:sz w:val="20"/>
                <w:szCs w:val="20"/>
                <w:color w:val="auto"/>
              </w:rPr>
            </w:pPr>
            <w:r>
              <w:rPr>
                <w:rFonts w:ascii="Arial" w:cs="Arial" w:eastAsia="Arial" w:hAnsi="Arial"/>
                <w:sz w:val="20"/>
                <w:szCs w:val="20"/>
                <w:color w:val="auto"/>
              </w:rPr>
              <w:t>Segment expenses</w:t>
            </w:r>
            <w:r>
              <w:rPr>
                <w:rFonts w:ascii="Arial" w:cs="Arial" w:eastAsia="Arial" w:hAnsi="Arial"/>
                <w:sz w:val="25"/>
                <w:szCs w:val="25"/>
                <w:color w:val="auto"/>
                <w:vertAlign w:val="superscript"/>
              </w:rPr>
              <w:t>(b)</w:t>
            </w:r>
          </w:p>
        </w:tc>
        <w:tc>
          <w:tcPr>
            <w:tcW w:w="240" w:type="dxa"/>
            <w:vAlign w:val="bottom"/>
          </w:tcPr>
          <w:p>
            <w:pPr>
              <w:spacing w:after="0"/>
              <w:rPr>
                <w:sz w:val="24"/>
                <w:szCs w:val="24"/>
                <w:color w:val="auto"/>
              </w:rPr>
            </w:pPr>
          </w:p>
        </w:tc>
        <w:tc>
          <w:tcPr>
            <w:tcW w:w="1360" w:type="dxa"/>
            <w:vAlign w:val="bottom"/>
          </w:tcPr>
          <w:p>
            <w:pPr>
              <w:jc w:val="right"/>
              <w:ind w:right="22"/>
              <w:spacing w:after="0"/>
              <w:rPr>
                <w:sz w:val="20"/>
                <w:szCs w:val="20"/>
                <w:color w:val="auto"/>
              </w:rPr>
            </w:pPr>
            <w:r>
              <w:rPr>
                <w:rFonts w:ascii="Arial" w:cs="Arial" w:eastAsia="Arial" w:hAnsi="Arial"/>
                <w:sz w:val="20"/>
                <w:szCs w:val="20"/>
                <w:color w:val="auto"/>
              </w:rPr>
              <w:t>260,295</w:t>
            </w:r>
          </w:p>
        </w:tc>
        <w:tc>
          <w:tcPr>
            <w:tcW w:w="240" w:type="dxa"/>
            <w:vAlign w:val="bottom"/>
          </w:tcPr>
          <w:p>
            <w:pPr>
              <w:spacing w:after="0"/>
              <w:rPr>
                <w:sz w:val="24"/>
                <w:szCs w:val="24"/>
                <w:color w:val="auto"/>
              </w:rPr>
            </w:pPr>
          </w:p>
        </w:tc>
        <w:tc>
          <w:tcPr>
            <w:tcW w:w="1500" w:type="dxa"/>
            <w:vAlign w:val="bottom"/>
          </w:tcPr>
          <w:p>
            <w:pPr>
              <w:jc w:val="right"/>
              <w:ind w:right="22"/>
              <w:spacing w:after="0"/>
              <w:rPr>
                <w:sz w:val="20"/>
                <w:szCs w:val="20"/>
                <w:color w:val="auto"/>
              </w:rPr>
            </w:pPr>
            <w:r>
              <w:rPr>
                <w:rFonts w:ascii="Arial" w:cs="Arial" w:eastAsia="Arial" w:hAnsi="Arial"/>
                <w:sz w:val="20"/>
                <w:szCs w:val="20"/>
                <w:color w:val="auto"/>
              </w:rPr>
              <w:t>60,119</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141,761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462,175</w:t>
            </w:r>
          </w:p>
        </w:tc>
        <w:tc>
          <w:tcPr>
            <w:tcW w:w="0" w:type="dxa"/>
            <w:vAlign w:val="bottom"/>
          </w:tcPr>
          <w:p>
            <w:pPr>
              <w:spacing w:after="0"/>
              <w:rPr>
                <w:sz w:val="1"/>
                <w:szCs w:val="1"/>
                <w:color w:val="auto"/>
              </w:rPr>
            </w:pPr>
          </w:p>
        </w:tc>
      </w:tr>
      <w:tr>
        <w:trPr>
          <w:trHeight w:val="276"/>
        </w:trPr>
        <w:tc>
          <w:tcPr>
            <w:tcW w:w="3620" w:type="dxa"/>
            <w:vAlign w:val="bottom"/>
            <w:gridSpan w:val="2"/>
          </w:tcPr>
          <w:p>
            <w:pPr>
              <w:spacing w:after="0" w:line="276" w:lineRule="exact"/>
              <w:rPr>
                <w:sz w:val="20"/>
                <w:szCs w:val="20"/>
                <w:color w:val="auto"/>
              </w:rPr>
            </w:pPr>
            <w:r>
              <w:rPr>
                <w:rFonts w:ascii="Arial" w:cs="Arial" w:eastAsia="Arial" w:hAnsi="Arial"/>
                <w:sz w:val="20"/>
                <w:szCs w:val="20"/>
                <w:color w:val="auto"/>
              </w:rPr>
              <w:t>Corporate expense allocation</w:t>
            </w:r>
            <w:r>
              <w:rPr>
                <w:rFonts w:ascii="Arial" w:cs="Arial" w:eastAsia="Arial" w:hAnsi="Arial"/>
                <w:sz w:val="25"/>
                <w:szCs w:val="25"/>
                <w:color w:val="auto"/>
                <w:vertAlign w:val="superscript"/>
              </w:rPr>
              <w:t>(c)</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27,207</w:t>
            </w: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4,043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4,013</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35,263</w:t>
            </w:r>
          </w:p>
        </w:tc>
        <w:tc>
          <w:tcPr>
            <w:tcW w:w="0" w:type="dxa"/>
            <w:vAlign w:val="bottom"/>
          </w:tcPr>
          <w:p>
            <w:pPr>
              <w:spacing w:after="0"/>
              <w:rPr>
                <w:sz w:val="1"/>
                <w:szCs w:val="1"/>
                <w:color w:val="auto"/>
              </w:rPr>
            </w:pPr>
          </w:p>
        </w:tc>
      </w:tr>
      <w:tr>
        <w:trPr>
          <w:trHeight w:val="269"/>
        </w:trPr>
        <w:tc>
          <w:tcPr>
            <w:tcW w:w="3620" w:type="dxa"/>
            <w:vAlign w:val="bottom"/>
            <w:gridSpan w:val="2"/>
          </w:tcPr>
          <w:p>
            <w:pPr>
              <w:spacing w:after="0"/>
              <w:rPr>
                <w:sz w:val="20"/>
                <w:szCs w:val="20"/>
                <w:color w:val="auto"/>
              </w:rPr>
            </w:pPr>
            <w:r>
              <w:rPr>
                <w:rFonts w:ascii="Arial" w:cs="Arial" w:eastAsia="Arial" w:hAnsi="Arial"/>
                <w:sz w:val="20"/>
                <w:szCs w:val="20"/>
                <w:color w:val="auto"/>
              </w:rPr>
              <w:t>Segment income</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rPr>
              <w:t>$</w:t>
            </w: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339,144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89,477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77,628</w:t>
            </w:r>
          </w:p>
        </w:tc>
        <w:tc>
          <w:tcPr>
            <w:tcW w:w="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506,249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-2232660</wp:posOffset>
            </wp:positionV>
            <wp:extent cx="6410325" cy="821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6410325" cy="8216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-814705</wp:posOffset>
            </wp:positionV>
            <wp:extent cx="6410325" cy="821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6410325" cy="821690"/>
                    </a:xfrm>
                    <a:prstGeom prst="rect">
                      <a:avLst/>
                    </a:prstGeom>
                    <a:noFill/>
                  </pic:spPr>
                </pic:pic>
              </a:graphicData>
            </a:graphic>
          </wp:anchor>
        </w:drawing>
      </w:r>
    </w:p>
    <w:p>
      <w:pPr>
        <w:spacing w:after="0" w:line="111" w:lineRule="exact"/>
        <w:rPr>
          <w:sz w:val="20"/>
          <w:szCs w:val="20"/>
          <w:color w:val="auto"/>
        </w:rPr>
      </w:pPr>
    </w:p>
    <w:p>
      <w:pPr>
        <w:ind w:left="527" w:right="200" w:hanging="527"/>
        <w:spacing w:after="0" w:line="250" w:lineRule="auto"/>
        <w:tabs>
          <w:tab w:leader="none" w:pos="5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$58.7 million, $43.9 million and $52.4 million in revenues from sales to our Sterigenics segment for the years ended December 31, 2024, 2023 and 2022, respectively, that is not reflected in net revenues in the table above. Intersegment sales for Sterigenics and Nelson Labs are immaterial for all periods presented.</w:t>
      </w:r>
    </w:p>
    <w:p>
      <w:pPr>
        <w:spacing w:after="0" w:line="1" w:lineRule="exact"/>
        <w:rPr>
          <w:rFonts w:ascii="Arial" w:cs="Arial" w:eastAsia="Arial" w:hAnsi="Arial"/>
          <w:sz w:val="18"/>
          <w:szCs w:val="18"/>
          <w:color w:val="auto"/>
        </w:rPr>
      </w:pPr>
    </w:p>
    <w:p>
      <w:pPr>
        <w:ind w:left="527" w:right="100" w:hanging="527"/>
        <w:spacing w:after="0" w:line="245" w:lineRule="auto"/>
        <w:tabs>
          <w:tab w:leader="none" w:pos="5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Segment expenses are comprised of direct materials, labor, utilities, other costs of revenues, SG&amp;A, and other non-operating expense (income) attributable to each segment.</w:t>
      </w:r>
    </w:p>
    <w:p>
      <w:pPr>
        <w:ind w:left="527" w:hanging="527"/>
        <w:spacing w:after="0" w:line="247" w:lineRule="auto"/>
        <w:tabs>
          <w:tab w:leader="none" w:pos="52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Corporate operating expenses that are directly incurred by a segment are reflected in each segment’s income. The remaining Corporate operating expenses for executive management, accounting, information technology, legal, human resources, treasury, investor relations, corporate development, tax, purchasing, and marketing not directly incurred by a segment are allocated to the segments primarily based on total net revenue.</w:t>
      </w:r>
    </w:p>
    <w:p>
      <w:pPr>
        <w:spacing w:after="0" w:line="206" w:lineRule="exact"/>
        <w:rPr>
          <w:sz w:val="20"/>
          <w:szCs w:val="20"/>
          <w:color w:val="auto"/>
        </w:rPr>
      </w:pPr>
    </w:p>
    <w:p>
      <w:pPr>
        <w:ind w:left="7"/>
        <w:spacing w:after="0"/>
        <w:rPr>
          <w:sz w:val="20"/>
          <w:szCs w:val="20"/>
          <w:color w:val="auto"/>
        </w:rPr>
      </w:pPr>
      <w:r>
        <w:rPr>
          <w:rFonts w:ascii="Arial" w:cs="Arial" w:eastAsia="Arial" w:hAnsi="Arial"/>
          <w:sz w:val="20"/>
          <w:szCs w:val="20"/>
          <w:color w:val="auto"/>
        </w:rPr>
        <w:t>Capital expenditures by segment for the years ended December 31, 2024, 2023 and 2022 were as follows:</w:t>
      </w:r>
    </w:p>
    <w:p>
      <w:pPr>
        <w:spacing w:after="0" w:line="308" w:lineRule="exact"/>
        <w:rPr>
          <w:sz w:val="20"/>
          <w:szCs w:val="20"/>
          <w:color w:val="auto"/>
        </w:rPr>
      </w:pPr>
    </w:p>
    <w:tbl>
      <w:tblPr>
        <w:tblLayout w:type="fixed"/>
        <w:tblInd w:w="47" w:type="dxa"/>
        <w:tblCellMar>
          <w:top w:w="0" w:type="dxa"/>
          <w:left w:w="0" w:type="dxa"/>
          <w:bottom w:w="0" w:type="dxa"/>
          <w:right w:w="0" w:type="dxa"/>
        </w:tblCellMar>
      </w:tblPr>
      <w:tr>
        <w:trPr>
          <w:trHeight w:val="262"/>
        </w:trPr>
        <w:tc>
          <w:tcPr>
            <w:tcW w:w="17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20"/>
                <w:szCs w:val="20"/>
                <w:b w:val="1"/>
                <w:bCs w:val="1"/>
                <w:color w:val="auto"/>
              </w:rPr>
              <w:t>Year Ended December 31,</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42"/>
              <w:spacing w:after="0" w:line="219" w:lineRule="exact"/>
              <w:rPr>
                <w:sz w:val="20"/>
                <w:szCs w:val="20"/>
                <w:color w:val="auto"/>
              </w:rPr>
            </w:pPr>
            <w:r>
              <w:rPr>
                <w:rFonts w:ascii="Arial" w:cs="Arial" w:eastAsia="Arial" w:hAnsi="Arial"/>
                <w:sz w:val="20"/>
                <w:szCs w:val="20"/>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42"/>
              <w:spacing w:after="0" w:line="219" w:lineRule="exact"/>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22"/>
              <w:spacing w:after="0" w:line="219" w:lineRule="exact"/>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20"/>
              <w:spacing w:after="0"/>
              <w:rPr>
                <w:sz w:val="20"/>
                <w:szCs w:val="20"/>
                <w:color w:val="auto"/>
              </w:rPr>
            </w:pPr>
            <w:r>
              <w:rPr>
                <w:rFonts w:ascii="Arial" w:cs="Arial" w:eastAsia="Arial" w:hAnsi="Arial"/>
                <w:sz w:val="20"/>
                <w:szCs w:val="20"/>
                <w:color w:val="auto"/>
              </w:rPr>
              <w:t>Sterigenics</w:t>
            </w: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4820" w:type="dxa"/>
            <w:vAlign w:val="bottom"/>
            <w:gridSpan w:val="2"/>
            <w:vMerge w:val="continue"/>
          </w:tcPr>
          <w:p>
            <w:pPr>
              <w:spacing w:after="0"/>
              <w:rPr>
                <w:sz w:val="22"/>
                <w:szCs w:val="22"/>
                <w:color w:val="auto"/>
              </w:rPr>
            </w:pP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131,258</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163,043</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144,027</w:t>
            </w:r>
          </w:p>
        </w:tc>
        <w:tc>
          <w:tcPr>
            <w:tcW w:w="0" w:type="dxa"/>
            <w:vAlign w:val="bottom"/>
          </w:tcPr>
          <w:p>
            <w:pPr>
              <w:spacing w:after="0"/>
              <w:rPr>
                <w:sz w:val="1"/>
                <w:szCs w:val="1"/>
                <w:color w:val="auto"/>
              </w:rPr>
            </w:pPr>
          </w:p>
        </w:tc>
      </w:tr>
      <w:tr>
        <w:trPr>
          <w:trHeight w:val="276"/>
        </w:trPr>
        <w:tc>
          <w:tcPr>
            <w:tcW w:w="4820" w:type="dxa"/>
            <w:vAlign w:val="bottom"/>
            <w:gridSpan w:val="2"/>
          </w:tcPr>
          <w:p>
            <w:pPr>
              <w:ind w:left="120"/>
              <w:spacing w:after="0"/>
              <w:rPr>
                <w:sz w:val="20"/>
                <w:szCs w:val="20"/>
                <w:color w:val="auto"/>
              </w:rPr>
            </w:pPr>
            <w:r>
              <w:rPr>
                <w:rFonts w:ascii="Arial" w:cs="Arial" w:eastAsia="Arial" w:hAnsi="Arial"/>
                <w:sz w:val="20"/>
                <w:szCs w:val="20"/>
                <w:color w:val="auto"/>
              </w:rPr>
              <w:t>Nordion</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34,928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38,351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26,575</w:t>
            </w:r>
          </w:p>
        </w:tc>
        <w:tc>
          <w:tcPr>
            <w:tcW w:w="0" w:type="dxa"/>
            <w:vAlign w:val="bottom"/>
          </w:tcPr>
          <w:p>
            <w:pPr>
              <w:spacing w:after="0"/>
              <w:rPr>
                <w:sz w:val="1"/>
                <w:szCs w:val="1"/>
                <w:color w:val="auto"/>
              </w:rPr>
            </w:pPr>
          </w:p>
        </w:tc>
      </w:tr>
      <w:tr>
        <w:trPr>
          <w:trHeight w:val="283"/>
        </w:trPr>
        <w:tc>
          <w:tcPr>
            <w:tcW w:w="4820" w:type="dxa"/>
            <w:vAlign w:val="bottom"/>
            <w:gridSpan w:val="2"/>
          </w:tcPr>
          <w:p>
            <w:pPr>
              <w:ind w:left="120"/>
              <w:spacing w:after="0"/>
              <w:rPr>
                <w:sz w:val="20"/>
                <w:szCs w:val="20"/>
                <w:color w:val="auto"/>
              </w:rPr>
            </w:pPr>
            <w:r>
              <w:rPr>
                <w:rFonts w:ascii="Arial" w:cs="Arial" w:eastAsia="Arial" w:hAnsi="Arial"/>
                <w:sz w:val="20"/>
                <w:szCs w:val="20"/>
                <w:color w:val="auto"/>
              </w:rPr>
              <w:t>Nelson Labs</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12,884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13,581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11,776</w:t>
            </w:r>
          </w:p>
        </w:tc>
        <w:tc>
          <w:tcPr>
            <w:tcW w:w="0" w:type="dxa"/>
            <w:vAlign w:val="bottom"/>
          </w:tcPr>
          <w:p>
            <w:pPr>
              <w:spacing w:after="0"/>
              <w:rPr>
                <w:sz w:val="1"/>
                <w:szCs w:val="1"/>
                <w:color w:val="auto"/>
              </w:rPr>
            </w:pPr>
          </w:p>
        </w:tc>
      </w:tr>
      <w:tr>
        <w:trPr>
          <w:trHeight w:val="240"/>
        </w:trPr>
        <w:tc>
          <w:tcPr>
            <w:tcW w:w="4820" w:type="dxa"/>
            <w:vAlign w:val="bottom"/>
            <w:gridSpan w:val="2"/>
          </w:tcPr>
          <w:p>
            <w:pPr>
              <w:spacing w:after="0"/>
              <w:rPr>
                <w:sz w:val="20"/>
                <w:szCs w:val="20"/>
                <w:color w:val="auto"/>
              </w:rPr>
            </w:pPr>
            <w:r>
              <w:rPr>
                <w:rFonts w:ascii="Arial" w:cs="Arial" w:eastAsia="Arial" w:hAnsi="Arial"/>
                <w:sz w:val="20"/>
                <w:szCs w:val="20"/>
                <w:b w:val="1"/>
                <w:bCs w:val="1"/>
                <w:color w:val="auto"/>
              </w:rPr>
              <w:t>Total capital expenditures</w:t>
            </w:r>
          </w:p>
        </w:tc>
        <w:tc>
          <w:tcPr>
            <w:tcW w:w="400" w:type="dxa"/>
            <w:vAlign w:val="bottom"/>
          </w:tcPr>
          <w:p>
            <w:pPr>
              <w:jc w:val="right"/>
              <w:ind w:right="162"/>
              <w:spacing w:after="0"/>
              <w:rPr>
                <w:sz w:val="20"/>
                <w:szCs w:val="20"/>
                <w:color w:val="auto"/>
              </w:rPr>
            </w:pPr>
            <w:r>
              <w:rPr>
                <w:rFonts w:ascii="Arial" w:cs="Arial" w:eastAsia="Arial" w:hAnsi="Arial"/>
                <w:sz w:val="20"/>
                <w:szCs w:val="2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179,070</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214,975</w:t>
            </w:r>
          </w:p>
        </w:tc>
        <w:tc>
          <w:tcPr>
            <w:tcW w:w="50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182,378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-740410</wp:posOffset>
            </wp:positionV>
            <wp:extent cx="6410325" cy="747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223" w:lineRule="exact"/>
        <w:rPr>
          <w:sz w:val="20"/>
          <w:szCs w:val="20"/>
          <w:color w:val="auto"/>
        </w:rPr>
      </w:pPr>
    </w:p>
    <w:p>
      <w:pPr>
        <w:ind w:left="7" w:right="180"/>
        <w:spacing w:after="0" w:line="271" w:lineRule="auto"/>
        <w:rPr>
          <w:sz w:val="20"/>
          <w:szCs w:val="20"/>
          <w:color w:val="auto"/>
        </w:rPr>
      </w:pPr>
      <w:r>
        <w:rPr>
          <w:rFonts w:ascii="Arial" w:cs="Arial" w:eastAsia="Arial" w:hAnsi="Arial"/>
          <w:sz w:val="20"/>
          <w:szCs w:val="20"/>
          <w:color w:val="auto"/>
        </w:rPr>
        <w:t>Total assets and depreciation and amortization expense by segment are not readily available and are not reported separately to the CODM.</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10047"/>
          </w:cols>
          <w:pgMar w:left="913" w:top="544" w:right="920" w:bottom="0" w:gutter="0" w:footer="0" w:header="0"/>
          <w:type w:val="continuous"/>
        </w:sectPr>
      </w:pPr>
    </w:p>
    <w:bookmarkStart w:id="120" w:name="page121"/>
    <w:bookmarkEnd w:id="120"/>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7"/>
        <w:spacing w:after="0"/>
        <w:rPr>
          <w:sz w:val="20"/>
          <w:szCs w:val="20"/>
          <w:color w:val="auto"/>
        </w:rPr>
      </w:pPr>
      <w:r>
        <w:rPr>
          <w:rFonts w:ascii="Arial" w:cs="Arial" w:eastAsia="Arial" w:hAnsi="Arial"/>
          <w:sz w:val="20"/>
          <w:szCs w:val="20"/>
          <w:color w:val="auto"/>
        </w:rPr>
        <w:t>A reconciliation of segment income to consolidated income (loss) before taxes is as follows:</w:t>
      </w:r>
    </w:p>
    <w:p>
      <w:pPr>
        <w:spacing w:after="0" w:line="185"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54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24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88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4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rPr>
              <w:t>Segment income</w:t>
            </w:r>
          </w:p>
        </w:tc>
        <w:tc>
          <w:tcPr>
            <w:tcW w:w="44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1760" w:type="dxa"/>
            <w:vAlign w:val="bottom"/>
            <w:gridSpan w:val="2"/>
            <w:vMerge w:val="continue"/>
          </w:tcPr>
          <w:p>
            <w:pPr>
              <w:spacing w:after="0"/>
              <w:rPr>
                <w:sz w:val="21"/>
                <w:szCs w:val="21"/>
                <w:color w:val="auto"/>
              </w:rPr>
            </w:pPr>
          </w:p>
        </w:tc>
        <w:tc>
          <w:tcPr>
            <w:tcW w:w="4480" w:type="dxa"/>
            <w:vAlign w:val="bottom"/>
            <w:vMerge w:val="continue"/>
          </w:tcPr>
          <w:p>
            <w:pPr>
              <w:spacing w:after="0"/>
              <w:rPr>
                <w:sz w:val="21"/>
                <w:szCs w:val="21"/>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548,574</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528,029</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506,249</w:t>
            </w:r>
          </w:p>
        </w:tc>
        <w:tc>
          <w:tcPr>
            <w:tcW w:w="0" w:type="dxa"/>
            <w:vAlign w:val="bottom"/>
          </w:tcPr>
          <w:p>
            <w:pPr>
              <w:spacing w:after="0"/>
              <w:rPr>
                <w:sz w:val="1"/>
                <w:szCs w:val="1"/>
                <w:color w:val="auto"/>
              </w:rPr>
            </w:pPr>
          </w:p>
        </w:tc>
      </w:tr>
      <w:tr>
        <w:trPr>
          <w:trHeight w:val="259"/>
        </w:trPr>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Less adjustments:</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6240" w:type="dxa"/>
            <w:vAlign w:val="bottom"/>
            <w:gridSpan w:val="3"/>
          </w:tcPr>
          <w:p>
            <w:pPr>
              <w:spacing w:after="0"/>
              <w:rPr>
                <w:sz w:val="20"/>
                <w:szCs w:val="20"/>
                <w:color w:val="auto"/>
              </w:rPr>
            </w:pPr>
            <w:r>
              <w:rPr>
                <w:rFonts w:ascii="Arial" w:cs="Arial" w:eastAsia="Arial" w:hAnsi="Arial"/>
                <w:sz w:val="20"/>
                <w:szCs w:val="20"/>
                <w:color w:val="auto"/>
              </w:rPr>
              <w:t>Interest expense, net</w:t>
            </w:r>
            <w:r>
              <w:rPr>
                <w:rFonts w:ascii="Arial" w:cs="Arial" w:eastAsia="Arial" w:hAnsi="Arial"/>
                <w:sz w:val="10"/>
                <w:szCs w:val="10"/>
                <w:color w:val="auto"/>
              </w:rPr>
              <w:t>(a)</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164,691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142,878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78,490</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Depreciation and amortization</w:t>
            </w:r>
            <w:r>
              <w:rPr>
                <w:rFonts w:ascii="Arial" w:cs="Arial" w:eastAsia="Arial" w:hAnsi="Arial"/>
                <w:sz w:val="10"/>
                <w:szCs w:val="10"/>
                <w:color w:val="auto"/>
              </w:rPr>
              <w:t>(b)</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161,797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157,925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145,554</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Share-based compensation</w:t>
            </w:r>
            <w:r>
              <w:rPr>
                <w:rFonts w:ascii="Arial" w:cs="Arial" w:eastAsia="Arial" w:hAnsi="Arial"/>
                <w:sz w:val="10"/>
                <w:szCs w:val="10"/>
                <w:color w:val="auto"/>
              </w:rPr>
              <w:t>(c)</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36,896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32,364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21,211</w:t>
            </w:r>
          </w:p>
        </w:tc>
        <w:tc>
          <w:tcPr>
            <w:tcW w:w="0" w:type="dxa"/>
            <w:vAlign w:val="bottom"/>
          </w:tcPr>
          <w:p>
            <w:pPr>
              <w:spacing w:after="0"/>
              <w:rPr>
                <w:sz w:val="1"/>
                <w:szCs w:val="1"/>
                <w:color w:val="auto"/>
              </w:rPr>
            </w:pPr>
          </w:p>
        </w:tc>
      </w:tr>
      <w:tr>
        <w:trPr>
          <w:trHeight w:val="309"/>
        </w:trPr>
        <w:tc>
          <w:tcPr>
            <w:tcW w:w="6240" w:type="dxa"/>
            <w:vAlign w:val="bottom"/>
            <w:gridSpan w:val="3"/>
          </w:tcPr>
          <w:p>
            <w:pPr>
              <w:spacing w:after="0"/>
              <w:rPr>
                <w:sz w:val="20"/>
                <w:szCs w:val="20"/>
                <w:color w:val="auto"/>
              </w:rPr>
            </w:pPr>
            <w:r>
              <w:rPr>
                <w:rFonts w:ascii="Arial" w:cs="Arial" w:eastAsia="Arial" w:hAnsi="Arial"/>
                <w:sz w:val="20"/>
                <w:szCs w:val="20"/>
                <w:color w:val="auto"/>
              </w:rPr>
              <w:t>Loss on refinancing of debt</w:t>
            </w:r>
            <w:r>
              <w:rPr>
                <w:rFonts w:ascii="Arial" w:cs="Arial" w:eastAsia="Arial" w:hAnsi="Arial"/>
                <w:sz w:val="10"/>
                <w:szCs w:val="10"/>
                <w:color w:val="auto"/>
              </w:rPr>
              <w:t>(d)</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24,168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9"/>
        </w:trPr>
        <w:tc>
          <w:tcPr>
            <w:tcW w:w="6240" w:type="dxa"/>
            <w:vAlign w:val="bottom"/>
            <w:gridSpan w:val="3"/>
          </w:tcPr>
          <w:p>
            <w:pPr>
              <w:spacing w:after="0"/>
              <w:rPr>
                <w:sz w:val="20"/>
                <w:szCs w:val="20"/>
                <w:color w:val="auto"/>
              </w:rPr>
            </w:pPr>
            <w:r>
              <w:rPr>
                <w:rFonts w:ascii="Arial" w:cs="Arial" w:eastAsia="Arial" w:hAnsi="Arial"/>
                <w:sz w:val="20"/>
                <w:szCs w:val="20"/>
                <w:color w:val="auto"/>
                <w:w w:val="95"/>
              </w:rPr>
              <w:t>(Gain) loss on foreign currency and derivatives not designated as hedging</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240" w:type="dxa"/>
            <w:vAlign w:val="bottom"/>
            <w:gridSpan w:val="3"/>
          </w:tcPr>
          <w:p>
            <w:pPr>
              <w:spacing w:after="0"/>
              <w:rPr>
                <w:sz w:val="20"/>
                <w:szCs w:val="20"/>
                <w:color w:val="auto"/>
              </w:rPr>
            </w:pPr>
            <w:r>
              <w:rPr>
                <w:rFonts w:ascii="Arial" w:cs="Arial" w:eastAsia="Arial" w:hAnsi="Arial"/>
                <w:sz w:val="20"/>
                <w:szCs w:val="20"/>
                <w:color w:val="auto"/>
              </w:rPr>
              <w:t>instruments, net</w:t>
            </w:r>
            <w:r>
              <w:rPr>
                <w:rFonts w:ascii="Arial" w:cs="Arial" w:eastAsia="Arial" w:hAnsi="Arial"/>
                <w:sz w:val="10"/>
                <w:szCs w:val="10"/>
                <w:color w:val="auto"/>
              </w:rPr>
              <w:t>(e)</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2,448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3,150</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Business optimization expenses</w:t>
            </w:r>
            <w:r>
              <w:rPr>
                <w:rFonts w:ascii="Arial" w:cs="Arial" w:eastAsia="Arial" w:hAnsi="Arial"/>
                <w:sz w:val="10"/>
                <w:szCs w:val="10"/>
                <w:color w:val="auto"/>
              </w:rPr>
              <w:t>(f)</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7,504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7,662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8,509</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Impairment of investment in unconsolidated affiliate</w:t>
            </w:r>
            <w:r>
              <w:rPr>
                <w:rFonts w:ascii="Arial" w:cs="Arial" w:eastAsia="Arial" w:hAnsi="Arial"/>
                <w:sz w:val="10"/>
                <w:szCs w:val="10"/>
                <w:color w:val="auto"/>
              </w:rPr>
              <w:t>(g)</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9,613</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Professional services relating to EO sterilization facilities</w:t>
            </w:r>
            <w:r>
              <w:rPr>
                <w:rFonts w:ascii="Arial" w:cs="Arial" w:eastAsia="Arial" w:hAnsi="Arial"/>
                <w:sz w:val="10"/>
                <w:szCs w:val="10"/>
                <w:color w:val="auto"/>
              </w:rPr>
              <w:t>(h)</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32,694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45,312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72,639</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Illinois EO litigation settlement</w:t>
            </w:r>
            <w:r>
              <w:rPr>
                <w:rFonts w:ascii="Arial" w:cs="Arial" w:eastAsia="Arial" w:hAnsi="Arial"/>
                <w:sz w:val="10"/>
                <w:szCs w:val="10"/>
                <w:color w:val="auto"/>
              </w:rPr>
              <w:t>(i)</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408,000</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Georgia EO litigation settlement</w:t>
            </w:r>
            <w:r>
              <w:rPr>
                <w:rFonts w:ascii="Arial" w:cs="Arial" w:eastAsia="Arial" w:hAnsi="Arial"/>
                <w:sz w:val="10"/>
                <w:szCs w:val="10"/>
                <w:color w:val="auto"/>
              </w:rPr>
              <w:t>(j)</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35,000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240" w:type="dxa"/>
            <w:vAlign w:val="bottom"/>
            <w:gridSpan w:val="3"/>
          </w:tcPr>
          <w:p>
            <w:pPr>
              <w:spacing w:after="0"/>
              <w:rPr>
                <w:sz w:val="20"/>
                <w:szCs w:val="20"/>
                <w:color w:val="auto"/>
              </w:rPr>
            </w:pPr>
            <w:r>
              <w:rPr>
                <w:rFonts w:ascii="Arial" w:cs="Arial" w:eastAsia="Arial" w:hAnsi="Arial"/>
                <w:sz w:val="20"/>
                <w:szCs w:val="20"/>
                <w:color w:val="auto"/>
              </w:rPr>
              <w:t>Secondary offering and other shareholder activities</w:t>
            </w:r>
            <w:r>
              <w:rPr>
                <w:rFonts w:ascii="Arial" w:cs="Arial" w:eastAsia="Arial" w:hAnsi="Arial"/>
                <w:sz w:val="10"/>
                <w:szCs w:val="10"/>
                <w:color w:val="auto"/>
              </w:rPr>
              <w:t>(k)</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1,864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6240" w:type="dxa"/>
            <w:vAlign w:val="bottom"/>
            <w:gridSpan w:val="3"/>
          </w:tcPr>
          <w:p>
            <w:pPr>
              <w:spacing w:after="0"/>
              <w:rPr>
                <w:sz w:val="20"/>
                <w:szCs w:val="20"/>
                <w:color w:val="auto"/>
              </w:rPr>
            </w:pPr>
            <w:r>
              <w:rPr>
                <w:rFonts w:ascii="Arial" w:cs="Arial" w:eastAsia="Arial" w:hAnsi="Arial"/>
                <w:sz w:val="20"/>
                <w:szCs w:val="20"/>
                <w:color w:val="auto"/>
              </w:rPr>
              <w:t>Accretion of asset retirement obligation</w:t>
            </w:r>
            <w:r>
              <w:rPr>
                <w:rFonts w:ascii="Arial" w:cs="Arial" w:eastAsia="Arial" w:hAnsi="Arial"/>
                <w:sz w:val="10"/>
                <w:szCs w:val="10"/>
                <w:color w:val="auto"/>
              </w:rPr>
              <w:t>(l)</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2,638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2,413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2,194</w:t>
            </w:r>
          </w:p>
        </w:tc>
        <w:tc>
          <w:tcPr>
            <w:tcW w:w="0" w:type="dxa"/>
            <w:vAlign w:val="bottom"/>
          </w:tcPr>
          <w:p>
            <w:pPr>
              <w:spacing w:after="0"/>
              <w:rPr>
                <w:sz w:val="1"/>
                <w:szCs w:val="1"/>
                <w:color w:val="auto"/>
              </w:rPr>
            </w:pPr>
          </w:p>
        </w:tc>
      </w:tr>
      <w:tr>
        <w:trPr>
          <w:trHeight w:val="240"/>
        </w:trPr>
        <w:tc>
          <w:tcPr>
            <w:tcW w:w="6240" w:type="dxa"/>
            <w:vAlign w:val="bottom"/>
            <w:gridSpan w:val="3"/>
          </w:tcPr>
          <w:p>
            <w:pPr>
              <w:spacing w:after="0"/>
              <w:rPr>
                <w:sz w:val="20"/>
                <w:szCs w:val="20"/>
                <w:color w:val="auto"/>
              </w:rPr>
            </w:pPr>
            <w:r>
              <w:rPr>
                <w:rFonts w:ascii="Arial" w:cs="Arial" w:eastAsia="Arial" w:hAnsi="Arial"/>
                <w:sz w:val="20"/>
                <w:szCs w:val="20"/>
                <w:b w:val="1"/>
                <w:bCs w:val="1"/>
                <w:color w:val="auto"/>
              </w:rPr>
              <w:t>Consolidated income (loss) before taxes</w:t>
            </w:r>
          </w:p>
        </w:tc>
        <w:tc>
          <w:tcPr>
            <w:tcW w:w="300" w:type="dxa"/>
            <w:vAlign w:val="bottom"/>
          </w:tcPr>
          <w:p>
            <w:pPr>
              <w:jc w:val="right"/>
              <w:ind w:right="42"/>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113,874</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106,027</w:t>
            </w:r>
          </w:p>
        </w:tc>
        <w:tc>
          <w:tcPr>
            <w:tcW w:w="38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(243,111)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-2859405</wp:posOffset>
            </wp:positionV>
            <wp:extent cx="6410325" cy="28663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0">
                      <a:extLst>
                        <a:ext uri="{28A0092B-C50C-407E-A947-70E740481C1C}"/>
                      </a:extLst>
                    </a:blip>
                    <a:srcRect/>
                    <a:stretch>
                      <a:fillRect/>
                    </a:stretch>
                  </pic:blipFill>
                  <pic:spPr bwMode="auto">
                    <a:xfrm>
                      <a:off x="0" y="0"/>
                      <a:ext cx="6410325" cy="2866390"/>
                    </a:xfrm>
                    <a:prstGeom prst="rect">
                      <a:avLst/>
                    </a:prstGeom>
                    <a:noFill/>
                  </pic:spPr>
                </pic:pic>
              </a:graphicData>
            </a:graphic>
          </wp:anchor>
        </w:drawing>
      </w:r>
    </w:p>
    <w:p>
      <w:pPr>
        <w:spacing w:after="0" w:line="184" w:lineRule="exact"/>
        <w:rPr>
          <w:sz w:val="20"/>
          <w:szCs w:val="20"/>
          <w:color w:val="auto"/>
        </w:rPr>
      </w:pPr>
    </w:p>
    <w:p>
      <w:pPr>
        <w:ind w:left="527" w:right="60" w:hanging="527"/>
        <w:spacing w:after="0" w:line="300" w:lineRule="auto"/>
        <w:tabs>
          <w:tab w:leader="none" w:pos="5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Interest expense, net presented in this reconciliation for the year ended December 31, 2023 has been adjusted to conform to the current year presentation to include interest expense, net on Term Loan B due 2026 attributable to the loan proceeds that were used to fund the $408.0 million Illinois EO litigation settlement. The year ended December 31, 2022 excludes a $1.7 million unrealized loss on interest rate derivatives not designated as hedging instruments.</w:t>
      </w:r>
    </w:p>
    <w:p>
      <w:pPr>
        <w:spacing w:after="0" w:line="2" w:lineRule="exact"/>
        <w:rPr>
          <w:rFonts w:ascii="Arial" w:cs="Arial" w:eastAsia="Arial" w:hAnsi="Arial"/>
          <w:sz w:val="17"/>
          <w:szCs w:val="17"/>
          <w:color w:val="auto"/>
        </w:rPr>
      </w:pPr>
    </w:p>
    <w:p>
      <w:pPr>
        <w:ind w:left="527" w:right="60" w:hanging="527"/>
        <w:spacing w:after="0" w:line="265" w:lineRule="auto"/>
        <w:tabs>
          <w:tab w:leader="none" w:pos="5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Includes depreciation of Co-60 held at gamma irradiation sites. The year ended December 31, 2024 excludes accelerated depreciation associated with business optimization activities.</w:t>
      </w:r>
    </w:p>
    <w:p>
      <w:pPr>
        <w:spacing w:after="0" w:line="1" w:lineRule="exact"/>
        <w:rPr>
          <w:rFonts w:ascii="Arial" w:cs="Arial" w:eastAsia="Arial" w:hAnsi="Arial"/>
          <w:sz w:val="20"/>
          <w:szCs w:val="20"/>
          <w:color w:val="auto"/>
        </w:rPr>
      </w:pPr>
    </w:p>
    <w:p>
      <w:pPr>
        <w:ind w:left="527" w:right="200" w:hanging="527"/>
        <w:spacing w:after="0" w:line="265" w:lineRule="auto"/>
        <w:tabs>
          <w:tab w:leader="none" w:pos="5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Represents share-based compensation expense to employees and Non-Employee Directors. See Note 15, “Share-Based Compensation” for further information.</w:t>
      </w:r>
    </w:p>
    <w:p>
      <w:pPr>
        <w:spacing w:after="0" w:line="1" w:lineRule="exact"/>
        <w:rPr>
          <w:rFonts w:ascii="Arial" w:cs="Arial" w:eastAsia="Arial" w:hAnsi="Arial"/>
          <w:sz w:val="20"/>
          <w:szCs w:val="20"/>
          <w:color w:val="auto"/>
        </w:rPr>
      </w:pPr>
    </w:p>
    <w:p>
      <w:pPr>
        <w:jc w:val="both"/>
        <w:ind w:left="527" w:right="80" w:hanging="527"/>
        <w:spacing w:after="0" w:line="304" w:lineRule="auto"/>
        <w:tabs>
          <w:tab w:leader="none" w:pos="5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the write-off of unamortized debt issuance costs and discounts, as well as certain other costs incurred related to the Refinancing Term Loans and the Secured Notes. The year ended December 31, 2024 also includes $0.7 million of debt refinancing costs related to Amendment No. 3 to the Senior Secured Credit Facilities.</w:t>
      </w:r>
    </w:p>
    <w:p>
      <w:pPr>
        <w:spacing w:after="0" w:line="2" w:lineRule="exact"/>
        <w:rPr>
          <w:rFonts w:ascii="Arial" w:cs="Arial" w:eastAsia="Arial" w:hAnsi="Arial"/>
          <w:sz w:val="17"/>
          <w:szCs w:val="17"/>
          <w:color w:val="auto"/>
        </w:rPr>
      </w:pPr>
    </w:p>
    <w:p>
      <w:pPr>
        <w:ind w:left="527" w:right="560" w:hanging="527"/>
        <w:spacing w:after="0" w:line="265" w:lineRule="auto"/>
        <w:tabs>
          <w:tab w:leader="none" w:pos="5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Arial" w:cs="Arial" w:eastAsia="Arial" w:hAnsi="Arial"/>
          <w:sz w:val="20"/>
          <w:szCs w:val="20"/>
          <w:color w:val="auto"/>
        </w:rPr>
      </w:pPr>
    </w:p>
    <w:p>
      <w:pPr>
        <w:ind w:left="527" w:right="80" w:hanging="527"/>
        <w:spacing w:after="0" w:line="294" w:lineRule="auto"/>
        <w:tabs>
          <w:tab w:leader="none" w:pos="5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(i) certain costs related to acquisitions and the integration of recent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professional fees and other costs associated with business optimization, cost saving and other process enhancement projects, and (v) professional fees, payroll costs, and other costs, including ongoing lease and utility expenses associated with the closure of the Willowbrook, Illinois facility. The year ended December 31, 2023 includes a $1.0 million cancellation fee received from a tenant in connection with the termination of an office space lease at the Nordion facility.</w:t>
      </w:r>
    </w:p>
    <w:p>
      <w:pPr>
        <w:spacing w:after="0" w:line="5" w:lineRule="exact"/>
        <w:rPr>
          <w:rFonts w:ascii="Arial" w:cs="Arial" w:eastAsia="Arial" w:hAnsi="Arial"/>
          <w:sz w:val="17"/>
          <w:szCs w:val="17"/>
          <w:color w:val="auto"/>
        </w:rPr>
      </w:pPr>
    </w:p>
    <w:p>
      <w:pPr>
        <w:ind w:left="527" w:hanging="527"/>
        <w:spacing w:after="0"/>
        <w:tabs>
          <w:tab w:leader="none" w:pos="5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Represents an impairment charge on an equity method investment in a joint venture.</w:t>
      </w:r>
    </w:p>
    <w:p>
      <w:pPr>
        <w:spacing w:after="0" w:line="44" w:lineRule="exact"/>
        <w:rPr>
          <w:rFonts w:ascii="Arial" w:cs="Arial" w:eastAsia="Arial" w:hAnsi="Arial"/>
          <w:sz w:val="20"/>
          <w:szCs w:val="20"/>
          <w:color w:val="auto"/>
        </w:rPr>
      </w:pPr>
    </w:p>
    <w:p>
      <w:pPr>
        <w:ind w:left="527" w:hanging="527"/>
        <w:spacing w:after="0" w:line="304" w:lineRule="auto"/>
        <w:tabs>
          <w:tab w:leader="none" w:pos="5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litigation and other professional fees associated with our EO sterilization facilities. Amounts presented for the year ended December 31, 2023 have been adjusted to exclude interest expense, net associated with Term Loan B due 2026 attributable to the loan proceeds that were used to fund the $408.0 million Illinois EO litigation settlement.</w:t>
      </w:r>
    </w:p>
    <w:p>
      <w:pPr>
        <w:spacing w:after="0" w:line="2" w:lineRule="exact"/>
        <w:rPr>
          <w:rFonts w:ascii="Arial" w:cs="Arial" w:eastAsia="Arial" w:hAnsi="Arial"/>
          <w:sz w:val="17"/>
          <w:szCs w:val="17"/>
          <w:color w:val="auto"/>
        </w:rPr>
      </w:pPr>
    </w:p>
    <w:p>
      <w:pPr>
        <w:ind w:left="527" w:right="100" w:hanging="527"/>
        <w:spacing w:after="0" w:line="265" w:lineRule="auto"/>
        <w:tabs>
          <w:tab w:leader="none" w:pos="5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Represents the cost to settle 880 pending and threatened EO claims in Illinois pursuant to settlement agreements entered into on March 28, 2023. See Note 19, “Commitments and Contingencies.”</w:t>
      </w:r>
    </w:p>
    <w:p>
      <w:pPr>
        <w:spacing w:after="0" w:line="1" w:lineRule="exact"/>
        <w:rPr>
          <w:rFonts w:ascii="Arial" w:cs="Arial" w:eastAsia="Arial" w:hAnsi="Arial"/>
          <w:sz w:val="20"/>
          <w:szCs w:val="20"/>
          <w:color w:val="auto"/>
        </w:rPr>
      </w:pPr>
    </w:p>
    <w:p>
      <w:pPr>
        <w:ind w:left="527" w:right="320" w:hanging="527"/>
        <w:spacing w:after="0" w:line="271" w:lineRule="auto"/>
        <w:tabs>
          <w:tab w:leader="none" w:pos="527" w:val="left"/>
        </w:tabs>
        <w:numPr>
          <w:ilvl w:val="0"/>
          <w:numId w:val="54"/>
        </w:numPr>
        <w:rPr>
          <w:rFonts w:ascii="Arial" w:cs="Arial" w:eastAsia="Arial" w:hAnsi="Arial"/>
          <w:sz w:val="20"/>
          <w:szCs w:val="20"/>
          <w:color w:val="auto"/>
        </w:rPr>
      </w:pPr>
      <w:r>
        <w:rPr>
          <w:rFonts w:ascii="Arial" w:cs="Arial" w:eastAsia="Arial" w:hAnsi="Arial"/>
          <w:sz w:val="20"/>
          <w:szCs w:val="20"/>
          <w:color w:val="auto"/>
        </w:rPr>
        <w:t>Represents the cost to settle 79 pending EO claims in Georgia under a settlement entered into on December 21, 2023. See Note 19, “Commitments and Contingencies.”</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10047"/>
          </w:cols>
          <w:pgMar w:left="913" w:top="544" w:right="920" w:bottom="0" w:gutter="0" w:footer="0" w:header="0"/>
          <w:type w:val="continuous"/>
        </w:sectPr>
      </w:pPr>
    </w:p>
    <w:bookmarkStart w:id="121" w:name="page122"/>
    <w:bookmarkEnd w:id="121"/>
    <w:p>
      <w:pPr>
        <w:jc w:val="center"/>
        <w:ind w:right="-6"/>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Notes to Consolidated Financial Statements</w:t>
      </w:r>
    </w:p>
    <w:p>
      <w:pPr>
        <w:spacing w:after="0" w:line="348" w:lineRule="exact"/>
        <w:rPr>
          <w:sz w:val="20"/>
          <w:szCs w:val="20"/>
          <w:color w:val="auto"/>
        </w:rPr>
      </w:pPr>
    </w:p>
    <w:p>
      <w:pPr>
        <w:ind w:left="527" w:right="40" w:hanging="527"/>
        <w:spacing w:after="0" w:line="312" w:lineRule="auto"/>
        <w:tabs>
          <w:tab w:leader="none" w:pos="527"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expenses incurred in connection with secondary offerings of our common stock that closed on March 4, 2024 and September 6, 2024 and legal, consulting, and other fees associated with shareholder engagement.</w:t>
      </w:r>
    </w:p>
    <w:p>
      <w:pPr>
        <w:spacing w:after="0" w:line="1" w:lineRule="exact"/>
        <w:rPr>
          <w:rFonts w:ascii="Arial" w:cs="Arial" w:eastAsia="Arial" w:hAnsi="Arial"/>
          <w:sz w:val="17"/>
          <w:szCs w:val="17"/>
          <w:color w:val="auto"/>
        </w:rPr>
      </w:pPr>
    </w:p>
    <w:p>
      <w:pPr>
        <w:ind w:left="527" w:right="260" w:hanging="527"/>
        <w:spacing w:after="0" w:line="258" w:lineRule="auto"/>
        <w:tabs>
          <w:tab w:leader="none" w:pos="527" w:val="left"/>
        </w:tabs>
        <w:numPr>
          <w:ilvl w:val="0"/>
          <w:numId w:val="55"/>
        </w:numPr>
        <w:rPr>
          <w:rFonts w:ascii="Arial" w:cs="Arial" w:eastAsia="Arial" w:hAnsi="Arial"/>
          <w:sz w:val="20"/>
          <w:szCs w:val="20"/>
          <w:color w:val="auto"/>
        </w:rPr>
      </w:pPr>
      <w:r>
        <w:rPr>
          <w:rFonts w:ascii="Arial" w:cs="Arial" w:eastAsia="Arial" w:hAnsi="Arial"/>
          <w:sz w:val="20"/>
          <w:szCs w:val="20"/>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20"/>
          <w:szCs w:val="20"/>
          <w:b w:val="1"/>
          <w:bCs w:val="1"/>
          <w:i w:val="1"/>
          <w:iCs w:val="1"/>
          <w:color w:val="auto"/>
        </w:rPr>
        <w:t>Geographic Information</w:t>
      </w:r>
    </w:p>
    <w:p>
      <w:pPr>
        <w:spacing w:after="0" w:line="125" w:lineRule="exact"/>
        <w:rPr>
          <w:sz w:val="20"/>
          <w:szCs w:val="20"/>
          <w:color w:val="auto"/>
        </w:rPr>
      </w:pPr>
    </w:p>
    <w:p>
      <w:pPr>
        <w:ind w:left="7"/>
        <w:spacing w:after="0"/>
        <w:rPr>
          <w:sz w:val="20"/>
          <w:szCs w:val="20"/>
          <w:color w:val="auto"/>
        </w:rPr>
      </w:pPr>
      <w:r>
        <w:rPr>
          <w:rFonts w:ascii="Arial" w:cs="Arial" w:eastAsia="Arial" w:hAnsi="Arial"/>
          <w:sz w:val="20"/>
          <w:szCs w:val="20"/>
          <w:color w:val="auto"/>
        </w:rPr>
        <w:t>Net revenues for geographic area are reported by the country’s origin of the revenues.</w:t>
      </w:r>
    </w:p>
    <w:p>
      <w:pPr>
        <w:spacing w:after="0" w:line="185"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43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96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4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20"/>
                <w:szCs w:val="20"/>
                <w:color w:val="auto"/>
              </w:rPr>
              <w:t>United States</w:t>
            </w:r>
          </w:p>
        </w:tc>
        <w:tc>
          <w:tcPr>
            <w:tcW w:w="42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760" w:type="dxa"/>
            <w:vAlign w:val="bottom"/>
            <w:gridSpan w:val="2"/>
            <w:vMerge w:val="continue"/>
          </w:tcPr>
          <w:p>
            <w:pPr>
              <w:spacing w:after="0"/>
              <w:rPr>
                <w:sz w:val="22"/>
                <w:szCs w:val="22"/>
                <w:color w:val="auto"/>
              </w:rPr>
            </w:pPr>
          </w:p>
        </w:tc>
        <w:tc>
          <w:tcPr>
            <w:tcW w:w="4240" w:type="dxa"/>
            <w:vAlign w:val="bottom"/>
            <w:vMerge w:val="continue"/>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616,684</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590,967</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579,018</w:t>
            </w:r>
          </w:p>
        </w:tc>
        <w:tc>
          <w:tcPr>
            <w:tcW w:w="0" w:type="dxa"/>
            <w:vAlign w:val="bottom"/>
          </w:tcPr>
          <w:p>
            <w:pPr>
              <w:spacing w:after="0"/>
              <w:rPr>
                <w:sz w:val="1"/>
                <w:szCs w:val="1"/>
                <w:color w:val="auto"/>
              </w:rPr>
            </w:pPr>
          </w:p>
        </w:tc>
      </w:tr>
      <w:tr>
        <w:trPr>
          <w:trHeight w:val="276"/>
        </w:trPr>
        <w:tc>
          <w:tcPr>
            <w:tcW w:w="600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208,886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192,050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188,741</w:t>
            </w:r>
          </w:p>
        </w:tc>
        <w:tc>
          <w:tcPr>
            <w:tcW w:w="0" w:type="dxa"/>
            <w:vAlign w:val="bottom"/>
          </w:tcPr>
          <w:p>
            <w:pPr>
              <w:spacing w:after="0"/>
              <w:rPr>
                <w:sz w:val="1"/>
                <w:szCs w:val="1"/>
                <w:color w:val="auto"/>
              </w:rPr>
            </w:pPr>
          </w:p>
        </w:tc>
      </w:tr>
      <w:tr>
        <w:trPr>
          <w:trHeight w:val="279"/>
        </w:trPr>
        <w:tc>
          <w:tcPr>
            <w:tcW w:w="6000" w:type="dxa"/>
            <w:vAlign w:val="bottom"/>
            <w:gridSpan w:val="3"/>
          </w:tcPr>
          <w:p>
            <w:pPr>
              <w:spacing w:after="0"/>
              <w:rPr>
                <w:sz w:val="20"/>
                <w:szCs w:val="20"/>
                <w:color w:val="auto"/>
              </w:rPr>
            </w:pPr>
            <w:r>
              <w:rPr>
                <w:rFonts w:ascii="Arial" w:cs="Arial" w:eastAsia="Arial" w:hAnsi="Arial"/>
                <w:sz w:val="20"/>
                <w:szCs w:val="20"/>
                <w:color w:val="auto"/>
              </w:rPr>
              <w:t>Europe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196,011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187,542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166,025</w:t>
            </w:r>
          </w:p>
        </w:tc>
        <w:tc>
          <w:tcPr>
            <w:tcW w:w="0" w:type="dxa"/>
            <w:vAlign w:val="bottom"/>
          </w:tcPr>
          <w:p>
            <w:pPr>
              <w:spacing w:after="0"/>
              <w:rPr>
                <w:sz w:val="1"/>
                <w:szCs w:val="1"/>
                <w:color w:val="auto"/>
              </w:rPr>
            </w:pPr>
          </w:p>
        </w:tc>
      </w:tr>
      <w:tr>
        <w:trPr>
          <w:trHeight w:val="283"/>
        </w:trPr>
        <w:tc>
          <w:tcPr>
            <w:tcW w:w="6000" w:type="dxa"/>
            <w:vAlign w:val="bottom"/>
            <w:gridSpan w:val="3"/>
          </w:tcPr>
          <w:p>
            <w:pPr>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78,860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78,729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69,903</w:t>
            </w:r>
          </w:p>
        </w:tc>
        <w:tc>
          <w:tcPr>
            <w:tcW w:w="0" w:type="dxa"/>
            <w:vAlign w:val="bottom"/>
          </w:tcPr>
          <w:p>
            <w:pPr>
              <w:spacing w:after="0"/>
              <w:rPr>
                <w:sz w:val="1"/>
                <w:szCs w:val="1"/>
                <w:color w:val="auto"/>
              </w:rPr>
            </w:pPr>
          </w:p>
        </w:tc>
      </w:tr>
      <w:tr>
        <w:trPr>
          <w:trHeight w:val="240"/>
        </w:trPr>
        <w:tc>
          <w:tcPr>
            <w:tcW w:w="6000" w:type="dxa"/>
            <w:vAlign w:val="bottom"/>
            <w:gridSpan w:val="3"/>
          </w:tcPr>
          <w:p>
            <w:pPr>
              <w:spacing w:after="0"/>
              <w:rPr>
                <w:sz w:val="20"/>
                <w:szCs w:val="20"/>
                <w:color w:val="auto"/>
              </w:rPr>
            </w:pPr>
            <w:r>
              <w:rPr>
                <w:rFonts w:ascii="Arial" w:cs="Arial" w:eastAsia="Arial" w:hAnsi="Arial"/>
                <w:sz w:val="20"/>
                <w:szCs w:val="20"/>
                <w:b w:val="1"/>
                <w:bCs w:val="1"/>
                <w:color w:val="auto"/>
              </w:rPr>
              <w:t>Total</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6"/>
              </w:rPr>
              <w:t>1,100,441</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1,049,288</w:t>
            </w:r>
          </w:p>
        </w:tc>
        <w:tc>
          <w:tcPr>
            <w:tcW w:w="3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1,003,687</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-917575</wp:posOffset>
            </wp:positionV>
            <wp:extent cx="6251575" cy="924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1">
                      <a:extLst>
                        <a:ext uri="{28A0092B-C50C-407E-A947-70E740481C1C}"/>
                      </a:extLst>
                    </a:blip>
                    <a:srcRect/>
                    <a:stretch>
                      <a:fillRect/>
                    </a:stretch>
                  </pic:blipFill>
                  <pic:spPr bwMode="auto">
                    <a:xfrm>
                      <a:off x="0" y="0"/>
                      <a:ext cx="6251575" cy="924560"/>
                    </a:xfrm>
                    <a:prstGeom prst="rect">
                      <a:avLst/>
                    </a:prstGeom>
                    <a:noFill/>
                  </pic:spPr>
                </pic:pic>
              </a:graphicData>
            </a:graphic>
          </wp:anchor>
        </w:drawing>
      </w:r>
    </w:p>
    <w:p>
      <w:pPr>
        <w:spacing w:after="0" w:line="223" w:lineRule="exact"/>
        <w:rPr>
          <w:sz w:val="20"/>
          <w:szCs w:val="20"/>
          <w:color w:val="auto"/>
        </w:rPr>
      </w:pPr>
    </w:p>
    <w:p>
      <w:pPr>
        <w:ind w:left="7" w:right="160"/>
        <w:spacing w:after="0" w:line="271" w:lineRule="auto"/>
        <w:rPr>
          <w:sz w:val="20"/>
          <w:szCs w:val="20"/>
          <w:color w:val="auto"/>
        </w:rPr>
      </w:pPr>
      <w:r>
        <w:rPr>
          <w:rFonts w:ascii="Arial" w:cs="Arial" w:eastAsia="Arial" w:hAnsi="Arial"/>
          <w:sz w:val="20"/>
          <w:szCs w:val="20"/>
          <w:color w:val="auto"/>
        </w:rPr>
        <w:t>The ‘Other’ category above is primarily comprised of net revenues from Asian and Latin American countries that individually represent 3% or less of our total net revenues.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7"/>
          <w:szCs w:val="17"/>
          <w:color w:val="auto"/>
        </w:rPr>
        <w:t>Long-lived assets are based on physical locations and are comprised of the net book value of property, plant, and equipment.</w:t>
      </w:r>
    </w:p>
    <w:p>
      <w:pPr>
        <w:spacing w:after="0" w:line="219"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w w:val="82"/>
              </w:rPr>
              <w:t>(thousands of U.S. dollars)</w:t>
            </w:r>
          </w:p>
        </w:tc>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Pr>
          <w:p>
            <w:pPr>
              <w:spacing w:after="0"/>
              <w:rPr>
                <w:sz w:val="18"/>
                <w:szCs w:val="18"/>
                <w:color w:val="auto"/>
              </w:rPr>
            </w:pPr>
          </w:p>
        </w:tc>
        <w:tc>
          <w:tcPr>
            <w:tcW w:w="960" w:type="dxa"/>
            <w:vAlign w:val="bottom"/>
          </w:tcPr>
          <w:p>
            <w:pPr>
              <w:jc w:val="right"/>
              <w:ind w:right="345"/>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5"/>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13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20"/>
                <w:szCs w:val="20"/>
                <w:color w:val="auto"/>
              </w:rPr>
              <w:t>United States</w:t>
            </w:r>
          </w:p>
        </w:tc>
        <w:tc>
          <w:tcPr>
            <w:tcW w:w="6240" w:type="dxa"/>
            <w:vAlign w:val="bottom"/>
            <w:gridSpan w:val="2"/>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300" w:type="dxa"/>
            <w:vAlign w:val="bottom"/>
            <w:vMerge w:val="continue"/>
          </w:tcPr>
          <w:p>
            <w:pPr>
              <w:spacing w:after="0"/>
              <w:rPr>
                <w:sz w:val="22"/>
                <w:szCs w:val="22"/>
                <w:color w:val="auto"/>
              </w:rPr>
            </w:pPr>
          </w:p>
        </w:tc>
        <w:tc>
          <w:tcPr>
            <w:tcW w:w="6240" w:type="dxa"/>
            <w:vAlign w:val="bottom"/>
            <w:gridSpan w:val="2"/>
            <w:vMerge w:val="continue"/>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587,707</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494,793</w:t>
            </w:r>
          </w:p>
        </w:tc>
        <w:tc>
          <w:tcPr>
            <w:tcW w:w="0" w:type="dxa"/>
            <w:vAlign w:val="bottom"/>
          </w:tcPr>
          <w:p>
            <w:pPr>
              <w:spacing w:after="0"/>
              <w:rPr>
                <w:sz w:val="1"/>
                <w:szCs w:val="1"/>
                <w:color w:val="auto"/>
              </w:rPr>
            </w:pPr>
          </w:p>
        </w:tc>
      </w:tr>
      <w:tr>
        <w:trPr>
          <w:trHeight w:val="276"/>
        </w:trPr>
        <w:tc>
          <w:tcPr>
            <w:tcW w:w="7540" w:type="dxa"/>
            <w:vAlign w:val="bottom"/>
            <w:gridSpan w:val="3"/>
          </w:tcPr>
          <w:p>
            <w:pPr>
              <w:spacing w:after="0"/>
              <w:rPr>
                <w:sz w:val="20"/>
                <w:szCs w:val="20"/>
                <w:color w:val="auto"/>
              </w:rPr>
            </w:pPr>
            <w:r>
              <w:rPr>
                <w:rFonts w:ascii="Arial" w:cs="Arial" w:eastAsia="Arial" w:hAnsi="Arial"/>
                <w:sz w:val="20"/>
                <w:szCs w:val="20"/>
                <w:color w:val="auto"/>
              </w:rPr>
              <w:t>Canada</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188,498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181,628</w:t>
            </w:r>
          </w:p>
        </w:tc>
        <w:tc>
          <w:tcPr>
            <w:tcW w:w="0" w:type="dxa"/>
            <w:vAlign w:val="bottom"/>
          </w:tcPr>
          <w:p>
            <w:pPr>
              <w:spacing w:after="0"/>
              <w:rPr>
                <w:sz w:val="1"/>
                <w:szCs w:val="1"/>
                <w:color w:val="auto"/>
              </w:rPr>
            </w:pPr>
          </w:p>
        </w:tc>
      </w:tr>
      <w:tr>
        <w:trPr>
          <w:trHeight w:val="279"/>
        </w:trPr>
        <w:tc>
          <w:tcPr>
            <w:tcW w:w="7540" w:type="dxa"/>
            <w:vAlign w:val="bottom"/>
            <w:gridSpan w:val="3"/>
          </w:tcPr>
          <w:p>
            <w:pPr>
              <w:spacing w:after="0"/>
              <w:rPr>
                <w:sz w:val="20"/>
                <w:szCs w:val="20"/>
                <w:color w:val="auto"/>
              </w:rPr>
            </w:pPr>
            <w:r>
              <w:rPr>
                <w:rFonts w:ascii="Arial" w:cs="Arial" w:eastAsia="Arial" w:hAnsi="Arial"/>
                <w:sz w:val="20"/>
                <w:szCs w:val="20"/>
                <w:color w:val="auto"/>
              </w:rPr>
              <w:t>Europe</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174,227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170,669</w:t>
            </w:r>
          </w:p>
        </w:tc>
        <w:tc>
          <w:tcPr>
            <w:tcW w:w="0" w:type="dxa"/>
            <w:vAlign w:val="bottom"/>
          </w:tcPr>
          <w:p>
            <w:pPr>
              <w:spacing w:after="0"/>
              <w:rPr>
                <w:sz w:val="1"/>
                <w:szCs w:val="1"/>
                <w:color w:val="auto"/>
              </w:rPr>
            </w:pPr>
          </w:p>
        </w:tc>
      </w:tr>
      <w:tr>
        <w:trPr>
          <w:trHeight w:val="283"/>
        </w:trPr>
        <w:tc>
          <w:tcPr>
            <w:tcW w:w="7540" w:type="dxa"/>
            <w:vAlign w:val="bottom"/>
            <w:gridSpan w:val="3"/>
          </w:tcPr>
          <w:p>
            <w:pPr>
              <w:spacing w:after="0"/>
              <w:rPr>
                <w:sz w:val="20"/>
                <w:szCs w:val="20"/>
                <w:color w:val="auto"/>
              </w:rPr>
            </w:pPr>
            <w:r>
              <w:rPr>
                <w:rFonts w:ascii="Arial" w:cs="Arial" w:eastAsia="Arial" w:hAnsi="Arial"/>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86,460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99,824</w:t>
            </w:r>
          </w:p>
        </w:tc>
        <w:tc>
          <w:tcPr>
            <w:tcW w:w="0" w:type="dxa"/>
            <w:vAlign w:val="bottom"/>
          </w:tcPr>
          <w:p>
            <w:pPr>
              <w:spacing w:after="0"/>
              <w:rPr>
                <w:sz w:val="1"/>
                <w:szCs w:val="1"/>
                <w:color w:val="auto"/>
              </w:rPr>
            </w:pPr>
          </w:p>
        </w:tc>
      </w:tr>
      <w:tr>
        <w:trPr>
          <w:trHeight w:val="269"/>
        </w:trPr>
        <w:tc>
          <w:tcPr>
            <w:tcW w:w="7540" w:type="dxa"/>
            <w:vAlign w:val="bottom"/>
            <w:gridSpan w:val="3"/>
          </w:tcPr>
          <w:p>
            <w:pPr>
              <w:spacing w:after="0"/>
              <w:rPr>
                <w:sz w:val="20"/>
                <w:szCs w:val="20"/>
                <w:color w:val="auto"/>
              </w:rPr>
            </w:pPr>
            <w:r>
              <w:rPr>
                <w:rFonts w:ascii="Arial" w:cs="Arial" w:eastAsia="Arial" w:hAnsi="Arial"/>
                <w:sz w:val="20"/>
                <w:szCs w:val="20"/>
                <w:b w:val="1"/>
                <w:bCs w:val="1"/>
                <w:color w:val="auto"/>
              </w:rPr>
              <w:t>Total</w:t>
            </w:r>
          </w:p>
        </w:tc>
        <w:tc>
          <w:tcPr>
            <w:tcW w:w="2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w w:val="96"/>
              </w:rPr>
              <w:t>1,036,892</w:t>
            </w:r>
          </w:p>
        </w:tc>
        <w:tc>
          <w:tcPr>
            <w:tcW w:w="4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946,914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6410325" cy="942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2">
                      <a:extLst>
                        <a:ext uri="{28A0092B-C50C-407E-A947-70E740481C1C}"/>
                      </a:extLst>
                    </a:blip>
                    <a:srcRect/>
                    <a:stretch>
                      <a:fillRect/>
                    </a:stretch>
                  </pic:blipFill>
                  <pic:spPr bwMode="auto">
                    <a:xfrm>
                      <a:off x="0" y="0"/>
                      <a:ext cx="6410325" cy="942975"/>
                    </a:xfrm>
                    <a:prstGeom prst="rect">
                      <a:avLst/>
                    </a:prstGeom>
                    <a:noFill/>
                  </pic:spPr>
                </pic:pic>
              </a:graphicData>
            </a:graphic>
          </wp:anchor>
        </w:drawing>
      </w:r>
    </w:p>
    <w:p>
      <w:pPr>
        <w:spacing w:after="0" w:line="223" w:lineRule="exact"/>
        <w:rPr>
          <w:sz w:val="20"/>
          <w:szCs w:val="20"/>
          <w:color w:val="auto"/>
        </w:rPr>
      </w:pPr>
    </w:p>
    <w:p>
      <w:pPr>
        <w:jc w:val="both"/>
        <w:ind w:left="7" w:right="60"/>
        <w:spacing w:after="0" w:line="271" w:lineRule="auto"/>
        <w:rPr>
          <w:sz w:val="20"/>
          <w:szCs w:val="20"/>
          <w:color w:val="auto"/>
        </w:rPr>
      </w:pPr>
      <w:r>
        <w:rPr>
          <w:rFonts w:ascii="Arial" w:cs="Arial" w:eastAsia="Arial" w:hAnsi="Arial"/>
          <w:sz w:val="20"/>
          <w:szCs w:val="20"/>
          <w:color w:val="auto"/>
        </w:rPr>
        <w:t>The ‘Other’ category above is primarily comprised of long-lived assets in Asian and Latin American countries that individually represent 5% or less of our total long-lived assets.</w:t>
      </w:r>
    </w:p>
    <w:p>
      <w:pPr>
        <w:sectPr>
          <w:pgSz w:w="11880" w:h="15480" w:orient="portrait"/>
          <w:cols w:equalWidth="0" w:num="1">
            <w:col w:w="10047"/>
          </w:cols>
          <w:pgMar w:left="913" w:top="54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10047"/>
          </w:cols>
          <w:pgMar w:left="913" w:top="544" w:right="920" w:bottom="0" w:gutter="0" w:footer="0" w:header="0"/>
          <w:type w:val="continuous"/>
        </w:sectPr>
      </w:pPr>
    </w:p>
    <w:bookmarkStart w:id="122" w:name="page123"/>
    <w:bookmarkEnd w:id="122"/>
    <w:p>
      <w:pPr>
        <w:ind w:left="4087"/>
        <w:spacing w:after="0"/>
        <w:rPr>
          <w:sz w:val="20"/>
          <w:szCs w:val="20"/>
          <w:color w:val="auto"/>
        </w:rPr>
      </w:pPr>
      <w:r>
        <w:rPr>
          <w:rFonts w:ascii="Arial" w:cs="Arial" w:eastAsia="Arial" w:hAnsi="Arial"/>
          <w:sz w:val="20"/>
          <w:szCs w:val="20"/>
          <w:color w:val="auto"/>
        </w:rPr>
        <w:t>Sotera Health Company</w:t>
      </w:r>
    </w:p>
    <w:p>
      <w:pPr>
        <w:spacing w:after="0" w:line="64" w:lineRule="exact"/>
        <w:rPr>
          <w:sz w:val="20"/>
          <w:szCs w:val="20"/>
          <w:color w:val="auto"/>
        </w:rPr>
      </w:pPr>
    </w:p>
    <w:p>
      <w:pPr>
        <w:ind w:left="3087"/>
        <w:spacing w:after="0"/>
        <w:rPr>
          <w:sz w:val="20"/>
          <w:szCs w:val="20"/>
          <w:color w:val="auto"/>
        </w:rPr>
      </w:pPr>
      <w:r>
        <w:rPr>
          <w:rFonts w:ascii="Arial" w:cs="Arial" w:eastAsia="Arial" w:hAnsi="Arial"/>
          <w:sz w:val="20"/>
          <w:szCs w:val="20"/>
          <w:color w:val="auto"/>
        </w:rPr>
        <w:t>Schedule II – Valuation and Qualifying Accounts</w:t>
      </w:r>
    </w:p>
    <w:p>
      <w:pPr>
        <w:spacing w:after="0" w:line="25" w:lineRule="exact"/>
        <w:rPr>
          <w:sz w:val="20"/>
          <w:szCs w:val="20"/>
          <w:color w:val="auto"/>
        </w:rPr>
      </w:pPr>
    </w:p>
    <w:p>
      <w:pPr>
        <w:jc w:val="center"/>
        <w:ind w:right="-6"/>
        <w:spacing w:after="0"/>
        <w:rPr>
          <w:sz w:val="20"/>
          <w:szCs w:val="20"/>
          <w:color w:val="auto"/>
        </w:rPr>
      </w:pPr>
      <w:r>
        <w:rPr>
          <w:rFonts w:ascii="Arial" w:cs="Arial" w:eastAsia="Arial" w:hAnsi="Arial"/>
          <w:sz w:val="20"/>
          <w:szCs w:val="20"/>
          <w:b w:val="1"/>
          <w:bCs w:val="1"/>
          <w:i w:val="1"/>
          <w:iCs w:val="1"/>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47"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center"/>
              <w:ind w:right="69"/>
              <w:spacing w:after="0"/>
              <w:rPr>
                <w:sz w:val="20"/>
                <w:szCs w:val="20"/>
                <w:color w:val="auto"/>
              </w:rPr>
            </w:pPr>
            <w:r>
              <w:rPr>
                <w:rFonts w:ascii="Arial" w:cs="Arial" w:eastAsia="Arial" w:hAnsi="Arial"/>
                <w:sz w:val="16"/>
                <w:szCs w:val="16"/>
                <w:b w:val="1"/>
                <w:bCs w:val="1"/>
                <w:color w:val="auto"/>
                <w:w w:val="87"/>
              </w:rPr>
              <w:t>Balance at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0"/>
              <w:spacing w:after="0"/>
              <w:rPr>
                <w:sz w:val="20"/>
                <w:szCs w:val="20"/>
                <w:color w:val="auto"/>
              </w:rPr>
            </w:pPr>
            <w:r>
              <w:rPr>
                <w:rFonts w:ascii="Arial" w:cs="Arial" w:eastAsia="Arial" w:hAnsi="Arial"/>
                <w:sz w:val="16"/>
                <w:szCs w:val="16"/>
                <w:b w:val="1"/>
                <w:bCs w:val="1"/>
                <w:color w:val="auto"/>
                <w:w w:val="87"/>
              </w:rPr>
              <w:t>Charges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0"/>
              <w:spacing w:after="0" w:line="157" w:lineRule="exact"/>
              <w:rPr>
                <w:sz w:val="20"/>
                <w:szCs w:val="20"/>
                <w:color w:val="auto"/>
              </w:rPr>
            </w:pPr>
            <w:r>
              <w:rPr>
                <w:rFonts w:ascii="Arial" w:cs="Arial" w:eastAsia="Arial" w:hAnsi="Arial"/>
                <w:sz w:val="16"/>
                <w:szCs w:val="16"/>
                <w:b w:val="1"/>
                <w:bCs w:val="1"/>
                <w:color w:val="auto"/>
                <w:w w:val="87"/>
              </w:rPr>
              <w:t>(credits) to</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05"/>
              <w:spacing w:after="0"/>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Balance at End</w:t>
            </w:r>
          </w:p>
        </w:tc>
        <w:tc>
          <w:tcPr>
            <w:tcW w:w="0" w:type="dxa"/>
            <w:vAlign w:val="bottom"/>
          </w:tcPr>
          <w:p>
            <w:pPr>
              <w:spacing w:after="0"/>
              <w:rPr>
                <w:sz w:val="1"/>
                <w:szCs w:val="1"/>
                <w:color w:val="auto"/>
              </w:rPr>
            </w:pPr>
          </w:p>
        </w:tc>
      </w:tr>
      <w:tr>
        <w:trPr>
          <w:trHeight w:val="157"/>
        </w:trPr>
        <w:tc>
          <w:tcPr>
            <w:tcW w:w="780" w:type="dxa"/>
            <w:vAlign w:val="bottom"/>
            <w:vMerge w:val="restart"/>
          </w:tcPr>
          <w:p>
            <w:pPr>
              <w:spacing w:after="0"/>
              <w:rPr>
                <w:sz w:val="20"/>
                <w:szCs w:val="20"/>
                <w:color w:val="auto"/>
              </w:rPr>
            </w:pPr>
            <w:r>
              <w:rPr>
                <w:rFonts w:ascii="Arial" w:cs="Arial" w:eastAsia="Arial" w:hAnsi="Arial"/>
                <w:sz w:val="16"/>
                <w:szCs w:val="16"/>
                <w:b w:val="1"/>
                <w:bCs w:val="1"/>
                <w:color w:val="auto"/>
                <w:w w:val="86"/>
              </w:rPr>
              <w:t>Description</w:t>
            </w:r>
          </w:p>
        </w:tc>
        <w:tc>
          <w:tcPr>
            <w:tcW w:w="28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89"/>
              <w:spacing w:after="0" w:line="157" w:lineRule="exact"/>
              <w:rPr>
                <w:sz w:val="20"/>
                <w:szCs w:val="20"/>
                <w:color w:val="auto"/>
              </w:rPr>
            </w:pPr>
            <w:r>
              <w:rPr>
                <w:rFonts w:ascii="Arial" w:cs="Arial" w:eastAsia="Arial" w:hAnsi="Arial"/>
                <w:sz w:val="16"/>
                <w:szCs w:val="16"/>
                <w:b w:val="1"/>
                <w:bCs w:val="1"/>
                <w:color w:val="auto"/>
                <w:w w:val="85"/>
              </w:rPr>
              <w:t>Beginning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0"/>
              <w:spacing w:after="0" w:line="157" w:lineRule="exact"/>
              <w:rPr>
                <w:sz w:val="20"/>
                <w:szCs w:val="20"/>
                <w:color w:val="auto"/>
              </w:rPr>
            </w:pPr>
            <w:r>
              <w:rPr>
                <w:rFonts w:ascii="Arial" w:cs="Arial" w:eastAsia="Arial" w:hAnsi="Arial"/>
                <w:sz w:val="16"/>
                <w:szCs w:val="16"/>
                <w:b w:val="1"/>
                <w:bCs w:val="1"/>
                <w:color w:val="auto"/>
                <w:w w:val="80"/>
              </w:rPr>
              <w:t>costs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65"/>
              <w:spacing w:after="0"/>
              <w:rPr>
                <w:sz w:val="20"/>
                <w:szCs w:val="20"/>
                <w:color w:val="auto"/>
              </w:rPr>
            </w:pPr>
            <w:r>
              <w:rPr>
                <w:rFonts w:ascii="Arial" w:cs="Arial" w:eastAsia="Arial" w:hAnsi="Arial"/>
                <w:sz w:val="16"/>
                <w:szCs w:val="16"/>
                <w:b w:val="1"/>
                <w:bCs w:val="1"/>
                <w:color w:val="auto"/>
                <w:w w:val="81"/>
              </w:rPr>
              <w:t>Deductions</w:t>
            </w:r>
            <w:r>
              <w:rPr>
                <w:rFonts w:ascii="Arial" w:cs="Arial" w:eastAsia="Arial" w:hAnsi="Arial"/>
                <w:sz w:val="20"/>
                <w:szCs w:val="20"/>
                <w:b w:val="1"/>
                <w:bCs w:val="1"/>
                <w:color w:val="auto"/>
                <w:w w:val="81"/>
                <w:vertAlign w:val="superscript"/>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vMerge w:val="continue"/>
          </w:tcPr>
          <w:p>
            <w:pPr>
              <w:spacing w:after="0"/>
              <w:rPr>
                <w:sz w:val="14"/>
                <w:szCs w:val="14"/>
                <w:color w:val="auto"/>
              </w:rPr>
            </w:pPr>
          </w:p>
        </w:tc>
        <w:tc>
          <w:tcPr>
            <w:tcW w:w="2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89"/>
              <w:spacing w:after="0" w:line="170" w:lineRule="exact"/>
              <w:rPr>
                <w:sz w:val="20"/>
                <w:szCs w:val="20"/>
                <w:color w:val="auto"/>
              </w:rPr>
            </w:pPr>
            <w:r>
              <w:rPr>
                <w:rFonts w:ascii="Arial" w:cs="Arial" w:eastAsia="Arial" w:hAnsi="Arial"/>
                <w:sz w:val="16"/>
                <w:szCs w:val="16"/>
                <w:b w:val="1"/>
                <w:bCs w:val="1"/>
                <w:color w:val="auto"/>
                <w:w w:val="88"/>
              </w:rPr>
              <w:t>Period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90"/>
              <w:spacing w:after="0" w:line="170" w:lineRule="exact"/>
              <w:rPr>
                <w:sz w:val="20"/>
                <w:szCs w:val="20"/>
                <w:color w:val="auto"/>
              </w:rPr>
            </w:pPr>
            <w:r>
              <w:rPr>
                <w:rFonts w:ascii="Arial" w:cs="Arial" w:eastAsia="Arial" w:hAnsi="Arial"/>
                <w:sz w:val="16"/>
                <w:szCs w:val="16"/>
                <w:b w:val="1"/>
                <w:bCs w:val="1"/>
                <w:color w:val="auto"/>
                <w:w w:val="81"/>
              </w:rPr>
              <w:t>expense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
              <w:spacing w:after="0" w:line="170" w:lineRule="exact"/>
              <w:rPr>
                <w:sz w:val="20"/>
                <w:szCs w:val="20"/>
                <w:color w:val="auto"/>
              </w:rPr>
            </w:pPr>
            <w:r>
              <w:rPr>
                <w:rFonts w:ascii="Arial" w:cs="Arial" w:eastAsia="Arial" w:hAnsi="Arial"/>
                <w:sz w:val="15"/>
                <w:szCs w:val="15"/>
                <w:b w:val="1"/>
                <w:bCs w:val="1"/>
                <w:color w:val="auto"/>
                <w:w w:val="99"/>
              </w:rPr>
              <w:t>Adjustments</w:t>
            </w:r>
            <w:r>
              <w:rPr>
                <w:rFonts w:ascii="Arial" w:cs="Arial" w:eastAsia="Arial" w:hAnsi="Arial"/>
                <w:sz w:val="19"/>
                <w:szCs w:val="19"/>
                <w:b w:val="1"/>
                <w:bCs w:val="1"/>
                <w:color w:val="auto"/>
                <w:w w:val="99"/>
                <w:vertAlign w:val="superscript"/>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85"/>
              <w:spacing w:after="0" w:line="170" w:lineRule="exact"/>
              <w:rPr>
                <w:sz w:val="20"/>
                <w:szCs w:val="20"/>
                <w:color w:val="auto"/>
              </w:rPr>
            </w:pPr>
            <w:r>
              <w:rPr>
                <w:rFonts w:ascii="Arial" w:cs="Arial" w:eastAsia="Arial" w:hAnsi="Arial"/>
                <w:sz w:val="16"/>
                <w:szCs w:val="16"/>
                <w:b w:val="1"/>
                <w:bCs w:val="1"/>
                <w:color w:val="auto"/>
                <w:w w:val="95"/>
              </w:rPr>
              <w:t>of Period</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Year Ended December 31, 2024</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1"/>
        </w:trPr>
        <w:tc>
          <w:tcPr>
            <w:tcW w:w="3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60" w:type="dxa"/>
            <w:vAlign w:val="bottom"/>
            <w:gridSpan w:val="2"/>
          </w:tcPr>
          <w:p>
            <w:pPr>
              <w:ind w:left="480"/>
              <w:spacing w:after="0"/>
              <w:rPr>
                <w:sz w:val="20"/>
                <w:szCs w:val="20"/>
                <w:color w:val="auto"/>
              </w:rPr>
            </w:pPr>
            <w:r>
              <w:rPr>
                <w:rFonts w:ascii="Arial" w:cs="Arial" w:eastAsia="Arial" w:hAnsi="Arial"/>
                <w:sz w:val="20"/>
                <w:szCs w:val="20"/>
                <w:color w:val="auto"/>
              </w:rPr>
              <w:t>Deducted from asset accounts: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880" w:type="dxa"/>
            <w:vAlign w:val="bottom"/>
          </w:tcPr>
          <w:p>
            <w:pPr>
              <w:ind w:left="200"/>
              <w:spacing w:after="0" w:line="202" w:lineRule="exact"/>
              <w:rPr>
                <w:sz w:val="20"/>
                <w:szCs w:val="20"/>
                <w:color w:val="auto"/>
              </w:rPr>
            </w:pPr>
            <w:r>
              <w:rPr>
                <w:rFonts w:ascii="Arial" w:cs="Arial" w:eastAsia="Arial" w:hAnsi="Arial"/>
                <w:sz w:val="20"/>
                <w:szCs w:val="20"/>
                <w:color w:val="auto"/>
              </w:rPr>
              <w:t>Allowance for uncollectible</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4,689</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(435)</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(1,580)</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(142)</w:t>
            </w:r>
          </w:p>
        </w:tc>
        <w:tc>
          <w:tcPr>
            <w:tcW w:w="3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2,532</w:t>
            </w: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288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1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20"/>
                <w:szCs w:val="20"/>
                <w:color w:val="auto"/>
              </w:rPr>
              <w:t>Deferred tax asset valuation</w:t>
            </w: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125,435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35,660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160,595</w:t>
            </w: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2880" w:type="dxa"/>
            <w:vAlign w:val="bottom"/>
          </w:tcPr>
          <w:p>
            <w:pPr>
              <w:ind w:left="460"/>
              <w:spacing w:after="0"/>
              <w:rPr>
                <w:sz w:val="20"/>
                <w:szCs w:val="20"/>
                <w:color w:val="auto"/>
              </w:rPr>
            </w:pPr>
            <w:r>
              <w:rPr>
                <w:rFonts w:ascii="Arial" w:cs="Arial" w:eastAsia="Arial" w:hAnsi="Arial"/>
                <w:sz w:val="20"/>
                <w:szCs w:val="20"/>
                <w:color w:val="auto"/>
              </w:rPr>
              <w:t>allowance</w:t>
            </w: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660" w:type="dxa"/>
            <w:vAlign w:val="bottom"/>
            <w:gridSpan w:val="2"/>
          </w:tcPr>
          <w:p>
            <w:pPr>
              <w:spacing w:after="0"/>
              <w:rPr>
                <w:sz w:val="20"/>
                <w:szCs w:val="20"/>
                <w:color w:val="auto"/>
              </w:rPr>
            </w:pPr>
            <w:r>
              <w:rPr>
                <w:rFonts w:ascii="Arial" w:cs="Arial" w:eastAsia="Arial" w:hAnsi="Arial"/>
                <w:sz w:val="20"/>
                <w:szCs w:val="20"/>
                <w:b w:val="1"/>
                <w:bCs w:val="1"/>
                <w:color w:val="auto"/>
              </w:rPr>
              <w:t>Year Ended December 31, 2023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60" w:type="dxa"/>
            <w:vAlign w:val="bottom"/>
            <w:gridSpan w:val="2"/>
          </w:tcPr>
          <w:p>
            <w:pPr>
              <w:ind w:left="480"/>
              <w:spacing w:after="0"/>
              <w:rPr>
                <w:sz w:val="20"/>
                <w:szCs w:val="20"/>
                <w:color w:val="auto"/>
              </w:rPr>
            </w:pPr>
            <w:r>
              <w:rPr>
                <w:rFonts w:ascii="Arial" w:cs="Arial" w:eastAsia="Arial" w:hAnsi="Arial"/>
                <w:sz w:val="20"/>
                <w:szCs w:val="20"/>
                <w:color w:val="auto"/>
              </w:rPr>
              <w:t>Deducted from asset accounts: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880" w:type="dxa"/>
            <w:vAlign w:val="bottom"/>
          </w:tcPr>
          <w:p>
            <w:pPr>
              <w:ind w:left="200"/>
              <w:spacing w:after="0" w:line="202" w:lineRule="exact"/>
              <w:rPr>
                <w:sz w:val="20"/>
                <w:szCs w:val="20"/>
                <w:color w:val="auto"/>
              </w:rPr>
            </w:pPr>
            <w:r>
              <w:rPr>
                <w:rFonts w:ascii="Arial" w:cs="Arial" w:eastAsia="Arial" w:hAnsi="Arial"/>
                <w:sz w:val="20"/>
                <w:szCs w:val="20"/>
                <w:color w:val="auto"/>
              </w:rPr>
              <w:t>Allowance for uncollectible</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1,871</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4,313</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(1,502)</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3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4,689</w:t>
            </w: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288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1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20"/>
                <w:szCs w:val="20"/>
                <w:color w:val="auto"/>
              </w:rPr>
              <w:t>Deferred tax asset valuation</w:t>
            </w: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105,600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19,682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125,435</w:t>
            </w: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2880" w:type="dxa"/>
            <w:vAlign w:val="bottom"/>
          </w:tcPr>
          <w:p>
            <w:pPr>
              <w:ind w:left="460"/>
              <w:spacing w:after="0"/>
              <w:rPr>
                <w:sz w:val="20"/>
                <w:szCs w:val="20"/>
                <w:color w:val="auto"/>
              </w:rPr>
            </w:pPr>
            <w:r>
              <w:rPr>
                <w:rFonts w:ascii="Arial" w:cs="Arial" w:eastAsia="Arial" w:hAnsi="Arial"/>
                <w:sz w:val="20"/>
                <w:szCs w:val="20"/>
                <w:color w:val="auto"/>
              </w:rPr>
              <w:t>allowance</w:t>
            </w: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660" w:type="dxa"/>
            <w:vAlign w:val="bottom"/>
            <w:gridSpan w:val="2"/>
          </w:tcPr>
          <w:p>
            <w:pPr>
              <w:spacing w:after="0"/>
              <w:rPr>
                <w:sz w:val="20"/>
                <w:szCs w:val="20"/>
                <w:color w:val="auto"/>
              </w:rPr>
            </w:pPr>
            <w:r>
              <w:rPr>
                <w:rFonts w:ascii="Arial" w:cs="Arial" w:eastAsia="Arial" w:hAnsi="Arial"/>
                <w:sz w:val="20"/>
                <w:szCs w:val="20"/>
                <w:b w:val="1"/>
                <w:bCs w:val="1"/>
                <w:color w:val="auto"/>
              </w:rPr>
              <w:t>Year Ended December 31, 2022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60" w:type="dxa"/>
            <w:vAlign w:val="bottom"/>
            <w:gridSpan w:val="2"/>
          </w:tcPr>
          <w:p>
            <w:pPr>
              <w:ind w:left="480"/>
              <w:spacing w:after="0"/>
              <w:rPr>
                <w:sz w:val="20"/>
                <w:szCs w:val="20"/>
                <w:color w:val="auto"/>
              </w:rPr>
            </w:pPr>
            <w:r>
              <w:rPr>
                <w:rFonts w:ascii="Arial" w:cs="Arial" w:eastAsia="Arial" w:hAnsi="Arial"/>
                <w:sz w:val="20"/>
                <w:szCs w:val="20"/>
                <w:color w:val="auto"/>
              </w:rPr>
              <w:t>Deducted from asset accounts: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2880" w:type="dxa"/>
            <w:vAlign w:val="bottom"/>
          </w:tcPr>
          <w:p>
            <w:pPr>
              <w:ind w:left="200"/>
              <w:spacing w:after="0" w:line="202" w:lineRule="exact"/>
              <w:rPr>
                <w:sz w:val="20"/>
                <w:szCs w:val="20"/>
                <w:color w:val="auto"/>
              </w:rPr>
            </w:pPr>
            <w:r>
              <w:rPr>
                <w:rFonts w:ascii="Arial" w:cs="Arial" w:eastAsia="Arial" w:hAnsi="Arial"/>
                <w:sz w:val="20"/>
                <w:szCs w:val="20"/>
                <w:color w:val="auto"/>
              </w:rPr>
              <w:t>Allowance for uncollectible</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1,287</w:t>
            </w:r>
          </w:p>
        </w:tc>
        <w:tc>
          <w:tcPr>
            <w:tcW w:w="30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1,009</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(419)</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3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1,871</w:t>
            </w: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2880" w:type="dxa"/>
            <w:vAlign w:val="bottom"/>
          </w:tcPr>
          <w:p>
            <w:pPr>
              <w:ind w:left="460"/>
              <w:spacing w:after="0"/>
              <w:rPr>
                <w:sz w:val="20"/>
                <w:szCs w:val="20"/>
                <w:color w:val="auto"/>
              </w:rPr>
            </w:pPr>
            <w:r>
              <w:rPr>
                <w:rFonts w:ascii="Arial" w:cs="Arial" w:eastAsia="Arial" w:hAnsi="Arial"/>
                <w:sz w:val="20"/>
                <w:szCs w:val="20"/>
                <w:color w:val="auto"/>
              </w:rPr>
              <w:t>accounts receivable</w:t>
            </w:r>
          </w:p>
        </w:tc>
        <w:tc>
          <w:tcPr>
            <w:tcW w:w="1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780" w:type="dxa"/>
            <w:vAlign w:val="bottom"/>
          </w:tcPr>
          <w:p>
            <w:pPr>
              <w:spacing w:after="0"/>
              <w:rPr>
                <w:sz w:val="17"/>
                <w:szCs w:val="17"/>
                <w:color w:val="auto"/>
              </w:rPr>
            </w:pPr>
          </w:p>
        </w:tc>
        <w:tc>
          <w:tcPr>
            <w:tcW w:w="2880" w:type="dxa"/>
            <w:vAlign w:val="bottom"/>
          </w:tcPr>
          <w:p>
            <w:pPr>
              <w:ind w:left="200"/>
              <w:spacing w:after="0" w:line="201" w:lineRule="exact"/>
              <w:rPr>
                <w:sz w:val="20"/>
                <w:szCs w:val="20"/>
                <w:color w:val="auto"/>
              </w:rPr>
            </w:pPr>
            <w:r>
              <w:rPr>
                <w:rFonts w:ascii="Arial" w:cs="Arial" w:eastAsia="Arial" w:hAnsi="Arial"/>
                <w:sz w:val="20"/>
                <w:szCs w:val="20"/>
                <w:color w:val="auto"/>
              </w:rPr>
              <w:t>Deferred tax asset valuation</w:t>
            </w: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52,080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53,945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(425)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105,600</w:t>
            </w: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2880" w:type="dxa"/>
            <w:vAlign w:val="bottom"/>
          </w:tcPr>
          <w:p>
            <w:pPr>
              <w:ind w:left="460"/>
              <w:spacing w:after="0"/>
              <w:rPr>
                <w:sz w:val="20"/>
                <w:szCs w:val="20"/>
                <w:color w:val="auto"/>
              </w:rPr>
            </w:pPr>
            <w:r>
              <w:rPr>
                <w:rFonts w:ascii="Arial" w:cs="Arial" w:eastAsia="Arial" w:hAnsi="Arial"/>
                <w:sz w:val="20"/>
                <w:szCs w:val="20"/>
                <w:color w:val="auto"/>
              </w:rPr>
              <w:t>allowance</w:t>
            </w: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-2804160</wp:posOffset>
            </wp:positionV>
            <wp:extent cx="6410325" cy="2825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3">
                      <a:extLst>
                        <a:ext uri="{28A0092B-C50C-407E-A947-70E740481C1C}"/>
                      </a:extLst>
                    </a:blip>
                    <a:srcRect/>
                    <a:stretch>
                      <a:fillRect/>
                    </a:stretch>
                  </pic:blipFill>
                  <pic:spPr bwMode="auto">
                    <a:xfrm>
                      <a:off x="0" y="0"/>
                      <a:ext cx="6410325" cy="2825750"/>
                    </a:xfrm>
                    <a:prstGeom prst="rect">
                      <a:avLst/>
                    </a:prstGeom>
                    <a:noFill/>
                  </pic:spPr>
                </pic:pic>
              </a:graphicData>
            </a:graphic>
          </wp:anchor>
        </w:drawing>
      </w:r>
    </w:p>
    <w:p>
      <w:pPr>
        <w:spacing w:after="0" w:line="40" w:lineRule="exact"/>
        <w:rPr>
          <w:sz w:val="20"/>
          <w:szCs w:val="20"/>
          <w:color w:val="auto"/>
        </w:rPr>
      </w:pPr>
    </w:p>
    <w:p>
      <w:pPr>
        <w:ind w:left="527" w:hanging="527"/>
        <w:spacing w:after="0"/>
        <w:tabs>
          <w:tab w:leader="none" w:pos="527"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Uncollectible accounts written off, net of recoveries.</w:t>
      </w:r>
    </w:p>
    <w:p>
      <w:pPr>
        <w:spacing w:after="0" w:line="21" w:lineRule="exact"/>
        <w:rPr>
          <w:rFonts w:ascii="Arial" w:cs="Arial" w:eastAsia="Arial" w:hAnsi="Arial"/>
          <w:sz w:val="16"/>
          <w:szCs w:val="16"/>
          <w:b w:val="1"/>
          <w:bCs w:val="1"/>
          <w:i w:val="1"/>
          <w:iCs w:val="1"/>
          <w:color w:val="auto"/>
        </w:rPr>
      </w:pPr>
    </w:p>
    <w:p>
      <w:pPr>
        <w:ind w:left="527" w:hanging="527"/>
        <w:spacing w:after="0"/>
        <w:tabs>
          <w:tab w:leader="none" w:pos="527"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Change in foreign currency exchange rates.</w:t>
      </w:r>
    </w:p>
    <w:p>
      <w:pPr>
        <w:sectPr>
          <w:pgSz w:w="11880" w:h="15480" w:orient="portrait"/>
          <w:cols w:equalWidth="0" w:num="1">
            <w:col w:w="10047"/>
          </w:cols>
          <w:pgMar w:left="913" w:top="5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10047"/>
          </w:cols>
          <w:pgMar w:left="913" w:top="534" w:right="920" w:bottom="0" w:gutter="0" w:footer="0" w:header="0"/>
          <w:type w:val="continuous"/>
        </w:sectPr>
      </w:pPr>
    </w:p>
    <w:bookmarkStart w:id="123" w:name="page124"/>
    <w:bookmarkEnd w:id="123"/>
    <w:p>
      <w:pPr>
        <w:ind w:left="7"/>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20"/>
          <w:szCs w:val="20"/>
          <w:color w:val="auto"/>
        </w:rPr>
        <w:t>None.</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9A. Controls and Procedures</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8" w:lineRule="exact"/>
        <w:rPr>
          <w:sz w:val="20"/>
          <w:szCs w:val="20"/>
          <w:color w:val="auto"/>
        </w:rPr>
      </w:pPr>
    </w:p>
    <w:p>
      <w:pPr>
        <w:ind w:left="7" w:right="160"/>
        <w:spacing w:after="0" w:line="29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Company’s “disclosure controls and procedures” (as defined in Rules 13a-15(e) and 15d-15(e) under the Exchange Act). Based upon their evaluation, the Chief Executive Officer and Chief Financial Officer concluded that, as of the end of the period covered by this Annual Report on Form 10-K,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8" w:lineRule="exact"/>
        <w:rPr>
          <w:sz w:val="20"/>
          <w:szCs w:val="20"/>
          <w:color w:val="auto"/>
        </w:rPr>
      </w:pPr>
    </w:p>
    <w:p>
      <w:pPr>
        <w:ind w:left="7"/>
        <w:spacing w:after="0" w:line="30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defined in Exchange Act Rule 13a-15(f). Using criteria set forth by the Committee of Sponsoring Organizations of the Treadway Commission (2013 framework) in Internal Control-Integrated Framework, the Company’s management assessed the effectiveness of the Company’s internal control over financial reporting as of December 31, 2024. Based on this assessment, management concluded that the Company’s internal control over financial reporting was effective as of December 31, 2024.</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7"/>
          <w:szCs w:val="17"/>
          <w:color w:val="auto"/>
        </w:rPr>
        <w:t>The effectiveness of the Company’s internal control over financial reporting as of December 31, 2024 has been audited by Ernst</w:t>
      </w:r>
    </w:p>
    <w:p>
      <w:pPr>
        <w:spacing w:after="0" w:line="59" w:lineRule="exact"/>
        <w:rPr>
          <w:sz w:val="20"/>
          <w:szCs w:val="20"/>
          <w:color w:val="auto"/>
        </w:rPr>
      </w:pPr>
    </w:p>
    <w:p>
      <w:pPr>
        <w:ind w:left="7" w:right="440" w:hanging="7"/>
        <w:spacing w:after="0" w:line="250" w:lineRule="auto"/>
        <w:tabs>
          <w:tab w:leader="none" w:pos="209" w:val="left"/>
        </w:tabs>
        <w:numPr>
          <w:ilvl w:val="0"/>
          <w:numId w:val="57"/>
        </w:numPr>
        <w:rPr>
          <w:rFonts w:ascii="Arial" w:cs="Arial" w:eastAsia="Arial" w:hAnsi="Arial"/>
          <w:sz w:val="20"/>
          <w:szCs w:val="20"/>
          <w:color w:val="auto"/>
        </w:rPr>
      </w:pPr>
      <w:r>
        <w:rPr>
          <w:rFonts w:ascii="Arial" w:cs="Arial" w:eastAsia="Arial" w:hAnsi="Arial"/>
          <w:sz w:val="20"/>
          <w:szCs w:val="20"/>
          <w:color w:val="auto"/>
        </w:rPr>
        <w:t>Young LLP, an independent registered public accounting firm, as stated in their report, which is included in this Annual Report on Form 10-K and is included in this Item 9A below.</w:t>
      </w:r>
    </w:p>
    <w:p>
      <w:pPr>
        <w:spacing w:after="0" w:line="20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8" w:lineRule="exact"/>
        <w:rPr>
          <w:sz w:val="20"/>
          <w:szCs w:val="20"/>
          <w:color w:val="auto"/>
        </w:rPr>
      </w:pPr>
    </w:p>
    <w:p>
      <w:pPr>
        <w:ind w:left="7"/>
        <w:spacing w:after="0" w:line="271" w:lineRule="auto"/>
        <w:rPr>
          <w:sz w:val="20"/>
          <w:szCs w:val="20"/>
          <w:color w:val="auto"/>
        </w:rPr>
      </w:pPr>
      <w:r>
        <w:rPr>
          <w:rFonts w:ascii="Arial" w:cs="Arial" w:eastAsia="Arial" w:hAnsi="Arial"/>
          <w:sz w:val="20"/>
          <w:szCs w:val="20"/>
          <w:color w:val="auto"/>
        </w:rPr>
        <w:t>During the fourth quarter of 2024, there were no changes in our internal control over financial reporting that materially affected, or are reasonably likely to materially affect, our internal control over financial reporting.</w:t>
      </w:r>
    </w:p>
    <w:p>
      <w:pPr>
        <w:sectPr>
          <w:pgSz w:w="11880" w:h="15480" w:orient="portrait"/>
          <w:cols w:equalWidth="0" w:num="1">
            <w:col w:w="10047"/>
          </w:cols>
          <w:pgMar w:left="913"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047"/>
          </w:cols>
          <w:pgMar w:left="913" w:top="527" w:right="920" w:bottom="0" w:gutter="0" w:footer="0" w:header="0"/>
          <w:type w:val="continuous"/>
        </w:sectPr>
      </w:pPr>
    </w:p>
    <w:bookmarkStart w:id="124" w:name="page125"/>
    <w:bookmarkEnd w:id="124"/>
    <w:p>
      <w:pPr>
        <w:ind w:right="3340"/>
        <w:spacing w:after="0" w:line="452"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Sotera Health Company </w:t>
      </w:r>
      <w:r>
        <w:rPr>
          <w:rFonts w:ascii="Arial" w:cs="Arial" w:eastAsia="Arial" w:hAnsi="Arial"/>
          <w:sz w:val="20"/>
          <w:szCs w:val="20"/>
          <w:b w:val="1"/>
          <w:bCs w:val="1"/>
          <w:color w:val="auto"/>
        </w:rPr>
        <w:t>Opinion on Internal Control Over Financial Reporting</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We have audited Sotera Health Company’s internal control over financial reporting as of December 31, 2024, based on criteria established in Internal Control—Integrated Framework issued by the Committee of Sponsoring Organizations of the Treadway Commission (2013 framework) (the COSO criteria). In our opinion, Sotera Health Company (the Company) maintained, in all material respects, effective internal control over financial reporting as of December 31, 2024, based on the COSO criteria.</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2024 consolidated financial statements of the Company and our report dated February 27, 2025 expressed an unqualified opinion thereon.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Cleveland, Ohio</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February 27, 2025</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10040"/>
          </w:cols>
          <w:pgMar w:left="920" w:top="527" w:right="92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Item 9B. 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Rule 10b5-1 Trading Plans</w:t>
      </w:r>
    </w:p>
    <w:p>
      <w:pPr>
        <w:spacing w:after="0" w:line="125" w:lineRule="exact"/>
        <w:rPr>
          <w:sz w:val="20"/>
          <w:szCs w:val="20"/>
          <w:color w:val="auto"/>
        </w:rPr>
      </w:pPr>
    </w:p>
    <w:p>
      <w:pPr>
        <w:jc w:val="both"/>
        <w:ind w:right="280"/>
        <w:spacing w:after="0" w:line="254" w:lineRule="auto"/>
        <w:rPr>
          <w:sz w:val="20"/>
          <w:szCs w:val="20"/>
          <w:color w:val="auto"/>
        </w:rPr>
      </w:pPr>
      <w:r>
        <w:rPr>
          <w:rFonts w:ascii="Arial" w:cs="Arial" w:eastAsia="Arial" w:hAnsi="Arial"/>
          <w:sz w:val="20"/>
          <w:szCs w:val="20"/>
          <w:color w:val="auto"/>
        </w:rPr>
        <w:t>During the three months ended December 31, 2024, none of the Company’s directors or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that term is defined in Regulation S-K, Item 408).</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Offer Letter Revision and Retention Awards</w:t>
      </w:r>
    </w:p>
    <w:p>
      <w:pPr>
        <w:spacing w:after="0" w:line="125"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The Company is currently a party to an offer letter, dated February 26, 2024, with Mr. Jonathan Lyons, the Company’s Chief Financial Officer, which offer letter generally provides for certain of his initial and ongoing compensation and benefits arrangements with the Company. On February 26, 2025, the Company entered into an amendment and restatement of the offer letter, primarily to revise the terms of Mr. Lyons’ entitlement to cash severance benefits under the offer letter. Under the amendment and restatement, the Company increased the amount of such cash severance benefits from one times his annual base salary rate to one times the sum of his annual base salary rate plus his target short-term annual incentive. Further, on March 3, 2025, the Company intends to provide to Mr. Lyons (1) a $500,000 cash-based retention award that will vest as to 10% of the award on the 6-month anniversary of the grant date, 20% of the award on the 12-month anniversary of the grant date, 30% of the award on the 18-month anniversary of the grant date and the remaining amount of the award on the 24-month anniversary of the grant date, in each case generally subject to Mr. Lyons’ continued service with the Company through the applicable vesting date, as well as (2) a retention grant of $500,000 in time-based restricted stock units, which award will, in general, vest as to 50% of the award on the first anniversary of the grant date and the remaining amount of the award on the second anniversary of the grant date, in each case subject to Mr. Lyons’ continued service with the Company through the applicable vesting date. The vesting of the time-based restricted stock units award will accelerate if Mr. Lyons’ service ceases due to his death or disability, or under certain conditions regarding a change in control of the Company (as described in the applicable award agreement).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10040"/>
          </w:cols>
          <w:pgMar w:left="920" w:top="527" w:right="920" w:bottom="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Certain information required by this Item is incorporated by reference to the sections titled “Board Composition, Nominations Process and Director Qualifications,” “Corporate Governance” and “Insider Trading Policy” to be included in our Definitive Proxy Statement for the 2025 Annual Meeting of Stockholders, which will be filed with the SEC within 120 days after the fiscal year ended December 31,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information about our executive officers as of February 20, 2025:</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b w:val="1"/>
                <w:bCs w:val="1"/>
                <w:color w:val="auto"/>
                <w:w w:val="87"/>
              </w:rPr>
              <w:t>Name</w:t>
            </w:r>
          </w:p>
        </w:tc>
        <w:tc>
          <w:tcPr>
            <w:tcW w:w="436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28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4760" w:type="dxa"/>
            <w:vAlign w:val="bottom"/>
            <w:gridSpan w:val="2"/>
          </w:tcPr>
          <w:p>
            <w:pPr>
              <w:spacing w:after="0"/>
              <w:rPr>
                <w:sz w:val="20"/>
                <w:szCs w:val="20"/>
                <w:color w:val="auto"/>
              </w:rPr>
            </w:pPr>
            <w:r>
              <w:rPr>
                <w:rFonts w:ascii="Arial" w:cs="Arial" w:eastAsia="Arial" w:hAnsi="Arial"/>
                <w:sz w:val="20"/>
                <w:szCs w:val="20"/>
                <w:color w:val="auto"/>
              </w:rPr>
              <w:t>Michael B. Petras, Jr.</w:t>
            </w:r>
          </w:p>
        </w:tc>
        <w:tc>
          <w:tcPr>
            <w:tcW w:w="300" w:type="dxa"/>
            <w:vAlign w:val="bottom"/>
          </w:tcPr>
          <w:p>
            <w:pPr>
              <w:jc w:val="center"/>
              <w:spacing w:after="0"/>
              <w:rPr>
                <w:sz w:val="20"/>
                <w:szCs w:val="20"/>
                <w:color w:val="auto"/>
              </w:rPr>
            </w:pPr>
            <w:r>
              <w:rPr>
                <w:rFonts w:ascii="Arial" w:cs="Arial" w:eastAsia="Arial" w:hAnsi="Arial"/>
                <w:sz w:val="20"/>
                <w:szCs w:val="20"/>
                <w:color w:val="auto"/>
                <w:w w:val="89"/>
              </w:rPr>
              <w:t>57</w:t>
            </w:r>
          </w:p>
        </w:tc>
        <w:tc>
          <w:tcPr>
            <w:tcW w:w="4200" w:type="dxa"/>
            <w:vAlign w:val="bottom"/>
            <w:gridSpan w:val="3"/>
          </w:tcPr>
          <w:p>
            <w:pPr>
              <w:ind w:left="280"/>
              <w:spacing w:after="0"/>
              <w:rPr>
                <w:sz w:val="20"/>
                <w:szCs w:val="20"/>
                <w:color w:val="auto"/>
              </w:rPr>
            </w:pPr>
            <w:r>
              <w:rPr>
                <w:rFonts w:ascii="Arial" w:cs="Arial" w:eastAsia="Arial" w:hAnsi="Arial"/>
                <w:sz w:val="20"/>
                <w:szCs w:val="20"/>
                <w:color w:val="auto"/>
              </w:rPr>
              <w:t>Chairman and Chief Executive Officer</w:t>
            </w:r>
          </w:p>
        </w:tc>
      </w:tr>
      <w:tr>
        <w:trPr>
          <w:trHeight w:val="279"/>
        </w:trPr>
        <w:tc>
          <w:tcPr>
            <w:tcW w:w="4760" w:type="dxa"/>
            <w:vAlign w:val="bottom"/>
            <w:gridSpan w:val="2"/>
          </w:tcPr>
          <w:p>
            <w:pPr>
              <w:spacing w:after="0"/>
              <w:rPr>
                <w:sz w:val="20"/>
                <w:szCs w:val="20"/>
                <w:color w:val="auto"/>
              </w:rPr>
            </w:pPr>
            <w:r>
              <w:rPr>
                <w:rFonts w:ascii="Arial" w:cs="Arial" w:eastAsia="Arial" w:hAnsi="Arial"/>
                <w:sz w:val="20"/>
                <w:szCs w:val="20"/>
                <w:color w:val="auto"/>
              </w:rPr>
              <w:t>Jonathan (Jon) Lyons</w:t>
            </w:r>
          </w:p>
        </w:tc>
        <w:tc>
          <w:tcPr>
            <w:tcW w:w="300" w:type="dxa"/>
            <w:vAlign w:val="bottom"/>
          </w:tcPr>
          <w:p>
            <w:pPr>
              <w:jc w:val="center"/>
              <w:spacing w:after="0"/>
              <w:rPr>
                <w:sz w:val="20"/>
                <w:szCs w:val="20"/>
                <w:color w:val="auto"/>
              </w:rPr>
            </w:pPr>
            <w:r>
              <w:rPr>
                <w:rFonts w:ascii="Arial" w:cs="Arial" w:eastAsia="Arial" w:hAnsi="Arial"/>
                <w:sz w:val="20"/>
                <w:szCs w:val="20"/>
                <w:color w:val="auto"/>
                <w:w w:val="89"/>
              </w:rPr>
              <w:t>47</w:t>
            </w:r>
          </w:p>
        </w:tc>
        <w:tc>
          <w:tcPr>
            <w:tcW w:w="4200" w:type="dxa"/>
            <w:vAlign w:val="bottom"/>
            <w:gridSpan w:val="3"/>
          </w:tcPr>
          <w:p>
            <w:pPr>
              <w:ind w:left="280"/>
              <w:spacing w:after="0"/>
              <w:rPr>
                <w:sz w:val="20"/>
                <w:szCs w:val="20"/>
                <w:color w:val="auto"/>
              </w:rPr>
            </w:pPr>
            <w:r>
              <w:rPr>
                <w:rFonts w:ascii="Arial" w:cs="Arial" w:eastAsia="Arial" w:hAnsi="Arial"/>
                <w:sz w:val="20"/>
                <w:szCs w:val="20"/>
                <w:color w:val="auto"/>
                <w:w w:val="89"/>
              </w:rPr>
              <w:t>Senior Vice President and Chief Financial Officer</w:t>
            </w:r>
          </w:p>
        </w:tc>
      </w:tr>
      <w:tr>
        <w:trPr>
          <w:trHeight w:val="279"/>
        </w:trPr>
        <w:tc>
          <w:tcPr>
            <w:tcW w:w="4760" w:type="dxa"/>
            <w:vAlign w:val="bottom"/>
            <w:gridSpan w:val="2"/>
          </w:tcPr>
          <w:p>
            <w:pPr>
              <w:spacing w:after="0"/>
              <w:rPr>
                <w:sz w:val="20"/>
                <w:szCs w:val="20"/>
                <w:color w:val="auto"/>
              </w:rPr>
            </w:pPr>
            <w:r>
              <w:rPr>
                <w:rFonts w:ascii="Arial" w:cs="Arial" w:eastAsia="Arial" w:hAnsi="Arial"/>
                <w:sz w:val="20"/>
                <w:szCs w:val="20"/>
                <w:color w:val="auto"/>
              </w:rPr>
              <w:t>Michael (Mike) P. Rutz</w:t>
            </w:r>
          </w:p>
        </w:tc>
        <w:tc>
          <w:tcPr>
            <w:tcW w:w="300" w:type="dxa"/>
            <w:vAlign w:val="bottom"/>
          </w:tcPr>
          <w:p>
            <w:pPr>
              <w:jc w:val="center"/>
              <w:spacing w:after="0"/>
              <w:rPr>
                <w:sz w:val="20"/>
                <w:szCs w:val="20"/>
                <w:color w:val="auto"/>
              </w:rPr>
            </w:pPr>
            <w:r>
              <w:rPr>
                <w:rFonts w:ascii="Arial" w:cs="Arial" w:eastAsia="Arial" w:hAnsi="Arial"/>
                <w:sz w:val="20"/>
                <w:szCs w:val="20"/>
                <w:color w:val="auto"/>
                <w:w w:val="89"/>
              </w:rPr>
              <w:t>53</w:t>
            </w:r>
          </w:p>
        </w:tc>
        <w:tc>
          <w:tcPr>
            <w:tcW w:w="4200" w:type="dxa"/>
            <w:vAlign w:val="bottom"/>
            <w:gridSpan w:val="3"/>
          </w:tcPr>
          <w:p>
            <w:pPr>
              <w:ind w:left="280"/>
              <w:spacing w:after="0"/>
              <w:rPr>
                <w:sz w:val="20"/>
                <w:szCs w:val="20"/>
                <w:color w:val="auto"/>
              </w:rPr>
            </w:pPr>
            <w:r>
              <w:rPr>
                <w:rFonts w:ascii="Arial" w:cs="Arial" w:eastAsia="Arial" w:hAnsi="Arial"/>
                <w:sz w:val="20"/>
                <w:szCs w:val="20"/>
                <w:color w:val="auto"/>
              </w:rPr>
              <w:t>President of Sterigenics</w:t>
            </w:r>
          </w:p>
        </w:tc>
      </w:tr>
      <w:tr>
        <w:trPr>
          <w:trHeight w:val="279"/>
        </w:trPr>
        <w:tc>
          <w:tcPr>
            <w:tcW w:w="4760" w:type="dxa"/>
            <w:vAlign w:val="bottom"/>
            <w:gridSpan w:val="2"/>
          </w:tcPr>
          <w:p>
            <w:pPr>
              <w:spacing w:after="0"/>
              <w:rPr>
                <w:sz w:val="20"/>
                <w:szCs w:val="20"/>
                <w:color w:val="auto"/>
              </w:rPr>
            </w:pPr>
            <w:r>
              <w:rPr>
                <w:rFonts w:ascii="Arial" w:cs="Arial" w:eastAsia="Arial" w:hAnsi="Arial"/>
                <w:sz w:val="20"/>
                <w:szCs w:val="20"/>
                <w:color w:val="auto"/>
              </w:rPr>
              <w:t>Alexander (Alex) Dimitrief</w:t>
            </w:r>
          </w:p>
        </w:tc>
        <w:tc>
          <w:tcPr>
            <w:tcW w:w="300" w:type="dxa"/>
            <w:vAlign w:val="bottom"/>
          </w:tcPr>
          <w:p>
            <w:pPr>
              <w:jc w:val="center"/>
              <w:spacing w:after="0"/>
              <w:rPr>
                <w:sz w:val="20"/>
                <w:szCs w:val="20"/>
                <w:color w:val="auto"/>
              </w:rPr>
            </w:pPr>
            <w:r>
              <w:rPr>
                <w:rFonts w:ascii="Arial" w:cs="Arial" w:eastAsia="Arial" w:hAnsi="Arial"/>
                <w:sz w:val="20"/>
                <w:szCs w:val="20"/>
                <w:color w:val="auto"/>
                <w:w w:val="89"/>
              </w:rPr>
              <w:t>66</w:t>
            </w:r>
          </w:p>
        </w:tc>
        <w:tc>
          <w:tcPr>
            <w:tcW w:w="4200" w:type="dxa"/>
            <w:vAlign w:val="bottom"/>
            <w:gridSpan w:val="3"/>
          </w:tcPr>
          <w:p>
            <w:pPr>
              <w:ind w:left="280"/>
              <w:spacing w:after="0"/>
              <w:rPr>
                <w:sz w:val="20"/>
                <w:szCs w:val="20"/>
                <w:color w:val="auto"/>
              </w:rPr>
            </w:pPr>
            <w:r>
              <w:rPr>
                <w:rFonts w:ascii="Arial" w:cs="Arial" w:eastAsia="Arial" w:hAnsi="Arial"/>
                <w:sz w:val="20"/>
                <w:szCs w:val="20"/>
                <w:color w:val="auto"/>
              </w:rPr>
              <w:t>Senior Vice President and General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-713105</wp:posOffset>
            </wp:positionV>
            <wp:extent cx="6456680" cy="7353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4">
                      <a:extLst>
                        <a:ext uri="{28A0092B-C50C-407E-A947-70E740481C1C}"/>
                      </a:extLst>
                    </a:blip>
                    <a:srcRect/>
                    <a:stretch>
                      <a:fillRect/>
                    </a:stretch>
                  </pic:blipFill>
                  <pic:spPr bwMode="auto">
                    <a:xfrm>
                      <a:off x="0" y="0"/>
                      <a:ext cx="6456680" cy="73533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is a brief description of the business experience of our executive officers.</w:t>
      </w:r>
    </w:p>
    <w:p>
      <w:pPr>
        <w:spacing w:after="0" w:line="239"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b w:val="1"/>
          <w:bCs w:val="1"/>
          <w:i w:val="1"/>
          <w:iCs w:val="1"/>
          <w:color w:val="auto"/>
        </w:rPr>
        <w:t xml:space="preserve">Michael B. Petras, Jr. </w:t>
      </w:r>
      <w:r>
        <w:rPr>
          <w:rFonts w:ascii="Arial" w:cs="Arial" w:eastAsia="Arial" w:hAnsi="Arial"/>
          <w:sz w:val="19"/>
          <w:szCs w:val="19"/>
          <w:color w:val="auto"/>
        </w:rPr>
        <w:t>has served as our Chief Executive Officer since June 2016 and as the Chairman of our board of directors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since October 2020 and served as the Chairman of the board of managers of Sotera Health Topco, L.P. (“Topco Parent”) from January 2019 and as a member of Topco Parent’s board of managers from June 2016 until the completion of the IPO. Prior to joining the Company,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w:t>
      </w:r>
    </w:p>
    <w:p>
      <w:pPr>
        <w:spacing w:after="0" w:line="199"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i w:val="1"/>
          <w:iCs w:val="1"/>
          <w:color w:val="auto"/>
        </w:rPr>
        <w:t xml:space="preserve">Jonathan (Jon) M. Lyons </w:t>
      </w:r>
      <w:r>
        <w:rPr>
          <w:rFonts w:ascii="Arial" w:cs="Arial" w:eastAsia="Arial" w:hAnsi="Arial"/>
          <w:sz w:val="17"/>
          <w:szCs w:val="17"/>
          <w:color w:val="auto"/>
        </w:rPr>
        <w:t>has served as our Senior Vice President and Chief Financial Officer since June 2023. Prior to joining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Mr. Lyons served as vice president, corporate FP&amp;A of Owens Corning, a global leader specializing in building and construction materials, from June 2021 to June 2023 and vice president, finance of the insulation segment from October 2018 to May 2021. Mr. Lyons joined Owens Corning in 2010 as assistant treasurer and also served as treasurer from 2011 to 2014. Mr. Lyons also spent eight years with Cardinal Health, Inc., holding several senior leadership roles in treasury, FP&amp;A, investor relations and tax after beginning his career in public accounting. Mr. Lyons holds an M.B.A. from The Ohio State University and a B.S. in Accounting from Kent State University.</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i w:val="1"/>
          <w:iCs w:val="1"/>
          <w:color w:val="auto"/>
        </w:rPr>
        <w:t xml:space="preserve">Michael (Mike) P. Rutz </w:t>
      </w:r>
      <w:r>
        <w:rPr>
          <w:rFonts w:ascii="Arial" w:cs="Arial" w:eastAsia="Arial" w:hAnsi="Arial"/>
          <w:sz w:val="17"/>
          <w:szCs w:val="17"/>
          <w:color w:val="auto"/>
        </w:rPr>
        <w:t>has served as President of Sterigenics since October 2020. Prior to that, Mr. Rutz was Chief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Sterigenics from May 2020 to October 2020. Prior to joining the Company, he was senior vice president and general manager of the Semiconductor Business Unit at Littelfuse, Inc., a multinational electronic manufacturing company, where he was responsible for leading sales, marketing, product development, operations and business development for power and protection based semiconductor products. Mr. Rutz joined Littelfuse, Inc. in 2014 as senior vice president of global operations, overseeing the company’s manufacturing, procurement, planning, quality, and operational excellence initiatives. Prior to joining Littelfuse, Inc., Mr. Rutz served as senior vice president global supply chain at WMS Gaming, a Chicago-based manufacturer of equipment and software for the gaming industry. Mr. Rutz also spent 16 years with Motorola Solutions, Inc., a telecommunications company, in the paging, cellular and networking groups, and previously as vice president, networks supply chain. Mr. Rutz holds a Bachelor’s degree in mechanical engineering from the University of Michigan and Master’s degrees in mechanical engineering and management from the Massachusetts Institute of Technology.</w:t>
      </w: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040"/>
          </w:cols>
          <w:pgMar w:left="920" w:top="527" w:right="920" w:bottom="0" w:gutter="0" w:footer="0" w:header="0"/>
          <w:type w:val="continuous"/>
        </w:sectPr>
      </w:pPr>
    </w:p>
    <w:bookmarkStart w:id="127" w:name="page128"/>
    <w:bookmarkEnd w:id="127"/>
    <w:p>
      <w:pPr>
        <w:spacing w:after="0" w:line="292" w:lineRule="auto"/>
        <w:rPr>
          <w:sz w:val="20"/>
          <w:szCs w:val="20"/>
          <w:color w:val="auto"/>
        </w:rPr>
      </w:pPr>
      <w:r>
        <w:rPr>
          <w:rFonts w:ascii="Arial" w:cs="Arial" w:eastAsia="Arial" w:hAnsi="Arial"/>
          <w:sz w:val="17"/>
          <w:szCs w:val="17"/>
          <w:b w:val="1"/>
          <w:bCs w:val="1"/>
          <w:i w:val="1"/>
          <w:iCs w:val="1"/>
          <w:color w:val="auto"/>
        </w:rPr>
        <w:t xml:space="preserve">Alexander (Alex) Dimitrief </w:t>
      </w:r>
      <w:r>
        <w:rPr>
          <w:rFonts w:ascii="Arial" w:cs="Arial" w:eastAsia="Arial" w:hAnsi="Arial"/>
          <w:sz w:val="17"/>
          <w:szCs w:val="17"/>
          <w:color w:val="auto"/>
        </w:rPr>
        <w:t>has served as our Senior Vice President and General Counsel since November 2022 and he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from November 2022 to December 2024. Prior to joining the Company, from February 2020 to October 2022, he was a partner at Zeughauser Group, a legal management consulting firm, where he remains as an advisor. Mr. Dimitrief was a senior fellow and distinguished adjunct professor at New York Law School from August 2020 to December 2022 and a lecturer on law at Harvard Law School from September 2019 to December 2022. Mr. Dimitrief previously served in a variety of leadership roles at GE. Mr. Dimitrief was president and chief executive officer of GE’s Global Growth Organization from 2018 until his retirement from GE in January 2019. He previously served as GE’s senior vice president and general counsel from 2015 to</w:t>
      </w:r>
    </w:p>
    <w:p>
      <w:pPr>
        <w:spacing w:after="0" w:line="3"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2018 and held other senior legal roles at GE beginning in 2007. Mr. Dimitrief came to GE from Kirkland &amp; Ellis LLP, where he practiced law for twenty years. Mr. Dimitrief holds a B.A. in economics and political science from Yale College and a J.D. from Harvard Law School. He also serves as an independent director of Eos Energy Enterprises and on the Advisory Board of Cresset.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The information required by this Item is incorporated by reference to the sections titled “Non-Employee Director Compensation,” “Compensation Discussion and Analysis,” “Compensation Tables,” “Potential Termination Payments” and “CEO Pay Ratio” to be included in our Definitive Proxy Statement for the 2025 Annual Meeting of Stockholders, which will be filed with the SEC within 120 days after the fiscal year ended December 31, 2024.</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25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The information required by this Item is incorporated by reference to the sections titled “Security Ownership of Certain Beneficial Owners and Management” and “Equity Compensation Plan Information” to be included in our Definitive Proxy Statement for the 2025 Annual Meeting of Stockholders, which will be filed with the SEC within 120 days after the fiscal year ended December 31, 2024.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8"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The information required by this Item is incorporated by reference to the sections titled “Director Independence” and “Certain Relationships and Related Party Transactions” to be included in our Definitive Proxy Statement for the 2025 Annual Meeting of Stockholders, which will be filed with the SEC within 120 days after the fiscal year ended December 31, 2024.</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8" w:lineRule="exact"/>
        <w:rPr>
          <w:sz w:val="20"/>
          <w:szCs w:val="20"/>
          <w:color w:val="auto"/>
        </w:rPr>
      </w:pPr>
    </w:p>
    <w:p>
      <w:pPr>
        <w:ind w:right="440"/>
        <w:spacing w:after="0" w:line="312" w:lineRule="auto"/>
        <w:rPr>
          <w:sz w:val="20"/>
          <w:szCs w:val="20"/>
          <w:color w:val="auto"/>
        </w:rPr>
      </w:pPr>
      <w:r>
        <w:rPr>
          <w:rFonts w:ascii="Arial" w:cs="Arial" w:eastAsia="Arial" w:hAnsi="Arial"/>
          <w:sz w:val="17"/>
          <w:szCs w:val="17"/>
          <w:color w:val="auto"/>
        </w:rPr>
        <w:t>The information required by this Item is incorporated by reference to the sections titled “Independent Registered Public Accounting Firm Fees” and “Policy on Audit Committee’s Pre-Approval of Audit and Permissible Non-Audit Services of Independent Registered Public Accounting Firm” to be included in our Definitive Proxy Statement for the 2025 Annual Meeting of Stockholders, which will be filed with the SEC within 120 days after the fiscal year ended December 31, 2024.</w:t>
      </w:r>
    </w:p>
    <w:p>
      <w:pPr>
        <w:sectPr>
          <w:pgSz w:w="11880" w:h="15480" w:orient="portrait"/>
          <w:cols w:equalWidth="0" w:num="1">
            <w:col w:w="10040"/>
          </w:cols>
          <w:pgMar w:left="920" w:top="53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040"/>
          </w:cols>
          <w:pgMar w:left="920" w:top="533" w:right="920" w:bottom="0" w:gutter="0" w:footer="0" w:header="0"/>
          <w:type w:val="continuous"/>
        </w:sectPr>
      </w:pPr>
    </w:p>
    <w:bookmarkStart w:id="128" w:name="page129"/>
    <w:bookmarkEnd w:id="128"/>
    <w:p>
      <w:pPr>
        <w:jc w:val="center"/>
        <w:ind w:right="-6"/>
        <w:spacing w:after="0"/>
        <w:rPr>
          <w:sz w:val="20"/>
          <w:szCs w:val="20"/>
          <w:color w:val="auto"/>
        </w:rPr>
      </w:pPr>
      <w:r>
        <w:rPr>
          <w:rFonts w:ascii="Arial" w:cs="Arial" w:eastAsia="Arial" w:hAnsi="Arial"/>
          <w:sz w:val="20"/>
          <w:szCs w:val="20"/>
          <w:b w:val="1"/>
          <w:bCs w:val="1"/>
          <w:color w:val="auto"/>
        </w:rPr>
        <w:t>Part IV</w:t>
      </w:r>
    </w:p>
    <w:p>
      <w:pPr>
        <w:spacing w:after="0" w:line="240"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40" w:lineRule="exact"/>
        <w:rPr>
          <w:sz w:val="20"/>
          <w:szCs w:val="20"/>
          <w:color w:val="auto"/>
        </w:rPr>
      </w:pPr>
    </w:p>
    <w:p>
      <w:pPr>
        <w:ind w:left="347" w:hanging="347"/>
        <w:spacing w:after="0"/>
        <w:tabs>
          <w:tab w:leader="none" w:pos="347"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Filed with Report</w:t>
      </w:r>
    </w:p>
    <w:p>
      <w:pPr>
        <w:spacing w:after="0" w:line="122" w:lineRule="exact"/>
        <w:rPr>
          <w:rFonts w:ascii="Arial" w:cs="Arial" w:eastAsia="Arial" w:hAnsi="Arial"/>
          <w:sz w:val="20"/>
          <w:szCs w:val="20"/>
          <w:b w:val="1"/>
          <w:bCs w:val="1"/>
          <w:color w:val="auto"/>
        </w:rPr>
      </w:pPr>
    </w:p>
    <w:p>
      <w:pPr>
        <w:ind w:left="1067" w:hanging="362"/>
        <w:spacing w:after="0"/>
        <w:tabs>
          <w:tab w:leader="none" w:pos="1067"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Financial Statements</w:t>
      </w:r>
    </w:p>
    <w:p>
      <w:pPr>
        <w:spacing w:after="0" w:line="71" w:lineRule="exact"/>
        <w:rPr>
          <w:rFonts w:ascii="Arial" w:cs="Arial" w:eastAsia="Arial" w:hAnsi="Arial"/>
          <w:sz w:val="20"/>
          <w:szCs w:val="20"/>
          <w:b w:val="1"/>
          <w:bCs w:val="1"/>
          <w:color w:val="auto"/>
        </w:rPr>
      </w:pPr>
    </w:p>
    <w:p>
      <w:pPr>
        <w:ind w:left="1067" w:right="76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The consolidated financial statements are filed as part of this Annual Report on Form 10-K under Item 8, “Financial Statements and Supplementary Data”</w:t>
      </w:r>
    </w:p>
    <w:p>
      <w:pPr>
        <w:spacing w:after="0" w:line="61" w:lineRule="exact"/>
        <w:rPr>
          <w:rFonts w:ascii="Arial" w:cs="Arial" w:eastAsia="Arial" w:hAnsi="Arial"/>
          <w:sz w:val="20"/>
          <w:szCs w:val="20"/>
          <w:b w:val="1"/>
          <w:bCs w:val="1"/>
          <w:color w:val="auto"/>
        </w:rPr>
      </w:pPr>
    </w:p>
    <w:p>
      <w:pPr>
        <w:ind w:left="1067" w:hanging="362"/>
        <w:spacing w:after="0"/>
        <w:tabs>
          <w:tab w:leader="none" w:pos="1067"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71" w:lineRule="exact"/>
        <w:rPr>
          <w:rFonts w:ascii="Arial" w:cs="Arial" w:eastAsia="Arial" w:hAnsi="Arial"/>
          <w:sz w:val="20"/>
          <w:szCs w:val="20"/>
          <w:b w:val="1"/>
          <w:bCs w:val="1"/>
          <w:color w:val="auto"/>
        </w:rPr>
      </w:pPr>
    </w:p>
    <w:p>
      <w:pPr>
        <w:ind w:left="1067"/>
        <w:spacing w:after="0"/>
        <w:rPr>
          <w:rFonts w:ascii="Arial" w:cs="Arial" w:eastAsia="Arial" w:hAnsi="Arial"/>
          <w:sz w:val="20"/>
          <w:szCs w:val="20"/>
          <w:b w:val="1"/>
          <w:bCs w:val="1"/>
          <w:color w:val="auto"/>
        </w:rPr>
      </w:pPr>
      <w:r>
        <w:rPr>
          <w:rFonts w:ascii="Arial" w:cs="Arial" w:eastAsia="Arial" w:hAnsi="Arial"/>
          <w:sz w:val="19"/>
          <w:szCs w:val="19"/>
          <w:color w:val="auto"/>
        </w:rPr>
        <w:t>Schedule II - Valuation and Qualifying Accounts for the years ended December 31, 2024, 2023 and 2022</w:t>
      </w:r>
    </w:p>
    <w:p>
      <w:pPr>
        <w:spacing w:after="0" w:line="95" w:lineRule="exact"/>
        <w:rPr>
          <w:rFonts w:ascii="Arial" w:cs="Arial" w:eastAsia="Arial" w:hAnsi="Arial"/>
          <w:sz w:val="20"/>
          <w:szCs w:val="20"/>
          <w:b w:val="1"/>
          <w:bCs w:val="1"/>
          <w:color w:val="auto"/>
        </w:rPr>
      </w:pPr>
    </w:p>
    <w:p>
      <w:pPr>
        <w:ind w:left="1067" w:right="40"/>
        <w:spacing w:after="0" w:line="258" w:lineRule="auto"/>
        <w:rPr>
          <w:rFonts w:ascii="Arial" w:cs="Arial" w:eastAsia="Arial" w:hAnsi="Arial"/>
          <w:sz w:val="20"/>
          <w:szCs w:val="20"/>
          <w:b w:val="1"/>
          <w:bCs w:val="1"/>
          <w:color w:val="auto"/>
        </w:rPr>
      </w:pPr>
      <w:r>
        <w:rPr>
          <w:rFonts w:ascii="Arial" w:cs="Arial" w:eastAsia="Arial" w:hAnsi="Arial"/>
          <w:sz w:val="20"/>
          <w:szCs w:val="20"/>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74" w:lineRule="exact"/>
        <w:rPr>
          <w:rFonts w:ascii="Arial" w:cs="Arial" w:eastAsia="Arial" w:hAnsi="Arial"/>
          <w:sz w:val="20"/>
          <w:szCs w:val="20"/>
          <w:b w:val="1"/>
          <w:bCs w:val="1"/>
          <w:color w:val="auto"/>
        </w:rPr>
      </w:pPr>
    </w:p>
    <w:p>
      <w:pPr>
        <w:ind w:left="1067" w:hanging="362"/>
        <w:spacing w:after="0"/>
        <w:tabs>
          <w:tab w:leader="none" w:pos="1067" w:val="left"/>
        </w:tabs>
        <w:numPr>
          <w:ilvl w:val="1"/>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71" w:lineRule="exact"/>
        <w:rPr>
          <w:rFonts w:ascii="Arial" w:cs="Arial" w:eastAsia="Arial" w:hAnsi="Arial"/>
          <w:sz w:val="20"/>
          <w:szCs w:val="20"/>
          <w:b w:val="1"/>
          <w:bCs w:val="1"/>
          <w:color w:val="auto"/>
        </w:rPr>
      </w:pPr>
    </w:p>
    <w:p>
      <w:pPr>
        <w:ind w:left="1067" w:right="10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The exhibits listed in the following Exhibit Index are filed, furnished, or incorporated by reference, as applicable, as part of this Annual Report on Form 10-K.</w:t>
      </w:r>
    </w:p>
    <w:p>
      <w:pPr>
        <w:spacing w:after="0" w:line="231" w:lineRule="exact"/>
        <w:rPr>
          <w:sz w:val="20"/>
          <w:szCs w:val="20"/>
          <w:color w:val="auto"/>
        </w:rPr>
      </w:pPr>
    </w:p>
    <w:tbl>
      <w:tblPr>
        <w:tblLayout w:type="fixed"/>
        <w:tblInd w:w="7" w:type="dxa"/>
        <w:tblCellMar>
          <w:top w:w="0" w:type="dxa"/>
          <w:left w:w="0" w:type="dxa"/>
          <w:bottom w:w="0" w:type="dxa"/>
          <w:right w:w="0" w:type="dxa"/>
        </w:tblCellMar>
      </w:tblPr>
      <w:tr>
        <w:trPr>
          <w:trHeight w:val="259"/>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20" w:type="dxa"/>
            <w:vAlign w:val="bottom"/>
            <w:gridSpan w:val="3"/>
          </w:tcPr>
          <w:p>
            <w:pPr>
              <w:ind w:left="8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rPr>
              <w:t>Exhibit No</w:t>
            </w:r>
          </w:p>
        </w:tc>
        <w:tc>
          <w:tcPr>
            <w:tcW w:w="3400" w:type="dxa"/>
            <w:vAlign w:val="bottom"/>
            <w:gridSpan w:val="6"/>
            <w:vMerge w:val="restart"/>
          </w:tcPr>
          <w:p>
            <w:pPr>
              <w:spacing w:after="0"/>
              <w:rPr>
                <w:sz w:val="20"/>
                <w:szCs w:val="20"/>
                <w:color w:val="auto"/>
              </w:rPr>
            </w:pPr>
            <w:r>
              <w:rPr>
                <w:rFonts w:ascii="Arial" w:cs="Arial" w:eastAsia="Arial" w:hAnsi="Arial"/>
                <w:sz w:val="20"/>
                <w:szCs w:val="20"/>
                <w:b w:val="1"/>
                <w:bCs w:val="1"/>
                <w:color w:val="auto"/>
              </w:rPr>
              <w:t>Description of Exhibits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Furnished</w:t>
            </w:r>
          </w:p>
        </w:tc>
        <w:tc>
          <w:tcPr>
            <w:tcW w:w="14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File No.</w:t>
            </w:r>
          </w:p>
        </w:tc>
        <w:tc>
          <w:tcPr>
            <w:tcW w:w="8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1140" w:type="dxa"/>
            <w:vAlign w:val="bottom"/>
            <w:vMerge w:val="restart"/>
          </w:tcPr>
          <w:p>
            <w:pPr>
              <w:ind w:left="100"/>
              <w:spacing w:after="0"/>
              <w:rPr>
                <w:sz w:val="20"/>
                <w:szCs w:val="20"/>
                <w:color w:val="auto"/>
              </w:rPr>
            </w:pPr>
            <w:r>
              <w:rPr>
                <w:rFonts w:ascii="Arial" w:cs="Arial" w:eastAsia="Arial" w:hAnsi="Arial"/>
                <w:sz w:val="20"/>
                <w:szCs w:val="20"/>
                <w:b w:val="1"/>
                <w:bCs w:val="1"/>
                <w:color w:val="auto"/>
                <w:w w:val="99"/>
              </w:rPr>
              <w:t>Filing Date</w:t>
            </w:r>
          </w:p>
        </w:tc>
        <w:tc>
          <w:tcPr>
            <w:tcW w:w="0" w:type="dxa"/>
            <w:vAlign w:val="bottom"/>
          </w:tcPr>
          <w:p>
            <w:pPr>
              <w:spacing w:after="0"/>
              <w:rPr>
                <w:sz w:val="1"/>
                <w:szCs w:val="1"/>
                <w:color w:val="auto"/>
              </w:rPr>
            </w:pPr>
          </w:p>
        </w:tc>
      </w:tr>
      <w:tr>
        <w:trPr>
          <w:trHeight w:val="258"/>
        </w:trPr>
        <w:tc>
          <w:tcPr>
            <w:tcW w:w="1340" w:type="dxa"/>
            <w:vAlign w:val="bottom"/>
            <w:gridSpan w:val="3"/>
            <w:vMerge w:val="continue"/>
          </w:tcPr>
          <w:p>
            <w:pPr>
              <w:spacing w:after="0"/>
              <w:rPr>
                <w:sz w:val="22"/>
                <w:szCs w:val="22"/>
                <w:color w:val="auto"/>
              </w:rPr>
            </w:pPr>
          </w:p>
        </w:tc>
        <w:tc>
          <w:tcPr>
            <w:tcW w:w="3400" w:type="dxa"/>
            <w:vAlign w:val="bottom"/>
            <w:gridSpan w:val="6"/>
            <w:vMerge w:val="continue"/>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0"/>
                <w:szCs w:val="20"/>
                <w:b w:val="1"/>
                <w:bCs w:val="1"/>
                <w:color w:val="auto"/>
                <w:w w:val="92"/>
              </w:rPr>
              <w:t>Herewith</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jc w:val="right"/>
              <w:ind w:right="782"/>
              <w:spacing w:after="0" w:line="194" w:lineRule="exact"/>
              <w:rPr>
                <w:sz w:val="20"/>
                <w:szCs w:val="20"/>
                <w:color w:val="auto"/>
              </w:rPr>
            </w:pPr>
            <w:r>
              <w:rPr>
                <w:rFonts w:ascii="Arial" w:cs="Arial" w:eastAsia="Arial" w:hAnsi="Arial"/>
                <w:sz w:val="20"/>
                <w:szCs w:val="20"/>
                <w:color w:val="auto"/>
                <w:w w:val="93"/>
              </w:rPr>
              <w:t>3.1</w:t>
            </w: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940" w:type="dxa"/>
            <w:vAlign w:val="bottom"/>
            <w:tcBorders>
              <w:top w:val="single" w:sz="8" w:color="auto"/>
              <w:bottom w:val="single" w:sz="8" w:color="1C2790"/>
            </w:tcBorders>
            <w:gridSpan w:val="3"/>
          </w:tcPr>
          <w:p>
            <w:pPr>
              <w:spacing w:after="0" w:line="194" w:lineRule="exact"/>
              <w:rPr>
                <w:sz w:val="20"/>
                <w:szCs w:val="20"/>
                <w:color w:val="auto"/>
              </w:rPr>
            </w:pPr>
            <w:r>
              <w:rPr>
                <w:rFonts w:ascii="Arial" w:cs="Arial" w:eastAsia="Arial" w:hAnsi="Arial"/>
                <w:sz w:val="20"/>
                <w:szCs w:val="20"/>
                <w:color w:val="1C2790"/>
                <w:w w:val="89"/>
              </w:rPr>
              <w:t>Amended and Restated Certificate of</w:t>
            </w:r>
          </w:p>
        </w:tc>
        <w:tc>
          <w:tcPr>
            <w:tcW w:w="460" w:type="dxa"/>
            <w:vAlign w:val="bottom"/>
            <w:tcBorders>
              <w:top w:val="single" w:sz="8" w:color="auto"/>
            </w:tcBorders>
            <w:gridSpan w:val="3"/>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10-K</w:t>
            </w:r>
          </w:p>
        </w:tc>
        <w:tc>
          <w:tcPr>
            <w:tcW w:w="11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001-39729</w:t>
            </w:r>
          </w:p>
        </w:tc>
        <w:tc>
          <w:tcPr>
            <w:tcW w:w="8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3.1</w:t>
            </w:r>
          </w:p>
        </w:tc>
        <w:tc>
          <w:tcPr>
            <w:tcW w:w="1140" w:type="dxa"/>
            <w:vAlign w:val="bottom"/>
            <w:tcBorders>
              <w:top w:val="single" w:sz="8" w:color="auto"/>
              <w:bottom w:val="single" w:sz="8" w:color="auto"/>
            </w:tcBorders>
            <w:vMerge w:val="restart"/>
          </w:tcPr>
          <w:p>
            <w:pPr>
              <w:ind w:left="100"/>
              <w:spacing w:after="0"/>
              <w:rPr>
                <w:sz w:val="20"/>
                <w:szCs w:val="20"/>
                <w:color w:val="auto"/>
              </w:rPr>
            </w:pPr>
            <w:r>
              <w:rPr>
                <w:rFonts w:ascii="Arial" w:cs="Arial" w:eastAsia="Arial" w:hAnsi="Arial"/>
                <w:sz w:val="20"/>
                <w:szCs w:val="20"/>
                <w:color w:val="auto"/>
                <w:w w:val="99"/>
              </w:rPr>
              <w:t>2021-03-09</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gridSpan w:val="2"/>
            <w:vMerge w:val="restart"/>
          </w:tcPr>
          <w:p>
            <w:pPr>
              <w:spacing w:after="0" w:line="176" w:lineRule="exact"/>
              <w:rPr>
                <w:sz w:val="20"/>
                <w:szCs w:val="20"/>
                <w:color w:val="auto"/>
              </w:rPr>
            </w:pPr>
            <w:r>
              <w:rPr>
                <w:rFonts w:ascii="Arial" w:cs="Arial" w:eastAsia="Arial" w:hAnsi="Arial"/>
                <w:sz w:val="20"/>
                <w:szCs w:val="20"/>
                <w:color w:val="1C2790"/>
                <w:w w:val="89"/>
              </w:rPr>
              <w:t>Incorporation of the Registrant</w:t>
            </w:r>
          </w:p>
        </w:tc>
        <w:tc>
          <w:tcPr>
            <w:tcW w:w="980" w:type="dxa"/>
            <w:vAlign w:val="bottom"/>
            <w:gridSpan w:val="4"/>
            <w:vMerge w:val="restart"/>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20" w:type="dxa"/>
            <w:vAlign w:val="bottom"/>
            <w:tcBorders>
              <w:bottom w:val="single" w:sz="8" w:color="1C2790"/>
            </w:tcBorders>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right"/>
              <w:ind w:right="782"/>
              <w:spacing w:after="0"/>
              <w:rPr>
                <w:sz w:val="20"/>
                <w:szCs w:val="20"/>
                <w:color w:val="auto"/>
              </w:rPr>
            </w:pPr>
            <w:r>
              <w:rPr>
                <w:rFonts w:ascii="Arial" w:cs="Arial" w:eastAsia="Arial" w:hAnsi="Arial"/>
                <w:sz w:val="20"/>
                <w:szCs w:val="20"/>
                <w:color w:val="auto"/>
                <w:w w:val="93"/>
              </w:rPr>
              <w:t>3.2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Borders>
              <w:bottom w:val="single" w:sz="8" w:color="1C2790"/>
            </w:tcBorders>
            <w:gridSpan w:val="6"/>
          </w:tcPr>
          <w:p>
            <w:pPr>
              <w:spacing w:after="0"/>
              <w:rPr>
                <w:sz w:val="20"/>
                <w:szCs w:val="20"/>
                <w:color w:val="auto"/>
              </w:rPr>
            </w:pPr>
            <w:r>
              <w:rPr>
                <w:rFonts w:ascii="Arial" w:cs="Arial" w:eastAsia="Arial" w:hAnsi="Arial"/>
                <w:sz w:val="20"/>
                <w:szCs w:val="20"/>
                <w:color w:val="1C2790"/>
                <w:w w:val="90"/>
              </w:rPr>
              <w:t>Certificate of Amendment to the Amended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00" w:type="dxa"/>
            <w:vAlign w:val="bottom"/>
            <w:tcBorders>
              <w:bottom w:val="single" w:sz="8" w:color="1C2790"/>
            </w:tcBorders>
            <w:gridSpan w:val="5"/>
          </w:tcPr>
          <w:p>
            <w:pPr>
              <w:spacing w:after="0" w:line="176" w:lineRule="exact"/>
              <w:rPr>
                <w:sz w:val="20"/>
                <w:szCs w:val="20"/>
                <w:color w:val="auto"/>
              </w:rPr>
            </w:pPr>
            <w:r>
              <w:rPr>
                <w:rFonts w:ascii="Arial" w:cs="Arial" w:eastAsia="Arial" w:hAnsi="Arial"/>
                <w:sz w:val="20"/>
                <w:szCs w:val="20"/>
                <w:color w:val="1C2790"/>
                <w:w w:val="89"/>
              </w:rPr>
              <w:t>and Restated Certificate of Incorporate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color w:val="auto"/>
                <w:w w:val="96"/>
              </w:rPr>
              <w:t>8-K</w:t>
            </w:r>
          </w:p>
        </w:tc>
        <w:tc>
          <w:tcPr>
            <w:tcW w:w="1160" w:type="dxa"/>
            <w:vAlign w:val="bottom"/>
            <w:vMerge w:val="restart"/>
          </w:tcPr>
          <w:p>
            <w:pPr>
              <w:jc w:val="center"/>
              <w:spacing w:after="0"/>
              <w:rPr>
                <w:sz w:val="20"/>
                <w:szCs w:val="20"/>
                <w:color w:val="auto"/>
              </w:rPr>
            </w:pPr>
            <w:r>
              <w:rPr>
                <w:rFonts w:ascii="Arial" w:cs="Arial" w:eastAsia="Arial" w:hAnsi="Arial"/>
                <w:sz w:val="20"/>
                <w:szCs w:val="20"/>
                <w:color w:val="auto"/>
                <w:w w:val="87"/>
              </w:rPr>
              <w:t>001-39729</w:t>
            </w:r>
          </w:p>
        </w:tc>
        <w:tc>
          <w:tcPr>
            <w:tcW w:w="820" w:type="dxa"/>
            <w:vAlign w:val="bottom"/>
            <w:vMerge w:val="restart"/>
          </w:tcPr>
          <w:p>
            <w:pPr>
              <w:jc w:val="center"/>
              <w:spacing w:after="0"/>
              <w:rPr>
                <w:sz w:val="20"/>
                <w:szCs w:val="20"/>
                <w:color w:val="auto"/>
              </w:rPr>
            </w:pPr>
            <w:r>
              <w:rPr>
                <w:rFonts w:ascii="Arial" w:cs="Arial" w:eastAsia="Arial" w:hAnsi="Arial"/>
                <w:sz w:val="20"/>
                <w:szCs w:val="20"/>
                <w:color w:val="auto"/>
                <w:w w:val="86"/>
              </w:rPr>
              <w:t>3.1</w:t>
            </w:r>
          </w:p>
        </w:tc>
        <w:tc>
          <w:tcPr>
            <w:tcW w:w="1140" w:type="dxa"/>
            <w:vAlign w:val="bottom"/>
            <w:vMerge w:val="restart"/>
          </w:tcPr>
          <w:p>
            <w:pPr>
              <w:ind w:left="100"/>
              <w:spacing w:after="0"/>
              <w:rPr>
                <w:sz w:val="20"/>
                <w:szCs w:val="20"/>
                <w:color w:val="auto"/>
              </w:rPr>
            </w:pPr>
            <w:r>
              <w:rPr>
                <w:rFonts w:ascii="Arial" w:cs="Arial" w:eastAsia="Arial" w:hAnsi="Arial"/>
                <w:sz w:val="20"/>
                <w:szCs w:val="20"/>
                <w:color w:val="auto"/>
                <w:w w:val="99"/>
              </w:rPr>
              <w:t>2024-05-24</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0" w:type="dxa"/>
            <w:vAlign w:val="bottom"/>
            <w:gridSpan w:val="6"/>
            <w:vMerge w:val="restart"/>
          </w:tcPr>
          <w:p>
            <w:pPr>
              <w:spacing w:after="0" w:line="176" w:lineRule="exact"/>
              <w:rPr>
                <w:sz w:val="20"/>
                <w:szCs w:val="20"/>
                <w:color w:val="auto"/>
              </w:rPr>
            </w:pPr>
            <w:r>
              <w:rPr>
                <w:rFonts w:ascii="Arial" w:cs="Arial" w:eastAsia="Arial" w:hAnsi="Arial"/>
                <w:sz w:val="20"/>
                <w:szCs w:val="20"/>
                <w:color w:val="1C2790"/>
                <w:w w:val="96"/>
              </w:rPr>
              <w:t>Sotera Health Company, dated May 23,</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0"/>
              </w:rPr>
              <w:t>2024</w:t>
            </w:r>
          </w:p>
        </w:tc>
        <w:tc>
          <w:tcPr>
            <w:tcW w:w="2040" w:type="dxa"/>
            <w:vAlign w:val="bottom"/>
            <w:tcBorders>
              <w:top w:val="single" w:sz="8" w:color="1C2790"/>
            </w:tcBorders>
          </w:tcPr>
          <w:p>
            <w:pPr>
              <w:spacing w:after="0"/>
              <w:rPr>
                <w:sz w:val="15"/>
                <w:szCs w:val="15"/>
                <w:color w:val="auto"/>
              </w:rPr>
            </w:pPr>
          </w:p>
        </w:tc>
        <w:tc>
          <w:tcPr>
            <w:tcW w:w="520" w:type="dxa"/>
            <w:vAlign w:val="bottom"/>
            <w:tcBorders>
              <w:top w:val="single" w:sz="8" w:color="1C2790"/>
            </w:tcBorders>
          </w:tcPr>
          <w:p>
            <w:pPr>
              <w:spacing w:after="0"/>
              <w:rPr>
                <w:sz w:val="15"/>
                <w:szCs w:val="15"/>
                <w:color w:val="auto"/>
              </w:rPr>
            </w:pPr>
          </w:p>
        </w:tc>
        <w:tc>
          <w:tcPr>
            <w:tcW w:w="220" w:type="dxa"/>
            <w:vAlign w:val="bottom"/>
            <w:tcBorders>
              <w:top w:val="single" w:sz="8" w:color="1C2790"/>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880" w:h="15480" w:orient="portrait"/>
          <w:cols w:equalWidth="0" w:num="1">
            <w:col w:w="10047"/>
          </w:cols>
          <w:pgMar w:left="913" w:top="527" w:right="920" w:bottom="0" w:gutter="0" w:footer="0" w:header="0"/>
        </w:sectPr>
      </w:pPr>
    </w:p>
    <w:p>
      <w:pPr>
        <w:ind w:left="47"/>
        <w:spacing w:after="0"/>
        <w:rPr>
          <w:sz w:val="20"/>
          <w:szCs w:val="20"/>
          <w:color w:val="auto"/>
        </w:rPr>
      </w:pPr>
      <w:r>
        <w:rPr>
          <w:rFonts w:ascii="Arial" w:cs="Arial" w:eastAsia="Arial" w:hAnsi="Arial"/>
          <w:sz w:val="17"/>
          <w:szCs w:val="17"/>
          <w:color w:val="auto"/>
        </w:rPr>
        <w:t>3.3</w:t>
      </w:r>
    </w:p>
    <w:p>
      <w:pPr>
        <w:spacing w:after="0" w:line="378" w:lineRule="exact"/>
        <w:rPr>
          <w:sz w:val="20"/>
          <w:szCs w:val="20"/>
          <w:color w:val="auto"/>
        </w:rPr>
      </w:pPr>
    </w:p>
    <w:p>
      <w:pPr>
        <w:ind w:left="47"/>
        <w:spacing w:after="0"/>
        <w:rPr>
          <w:sz w:val="20"/>
          <w:szCs w:val="20"/>
          <w:color w:val="auto"/>
        </w:rPr>
      </w:pPr>
      <w:r>
        <w:rPr>
          <w:rFonts w:ascii="Arial" w:cs="Arial" w:eastAsia="Arial" w:hAnsi="Arial"/>
          <w:sz w:val="17"/>
          <w:szCs w:val="17"/>
          <w:color w:val="auto"/>
        </w:rPr>
        <w:t>4.1</w:t>
      </w:r>
    </w:p>
    <w:p>
      <w:pPr>
        <w:spacing w:after="0" w:line="201" w:lineRule="exact"/>
        <w:rPr>
          <w:sz w:val="20"/>
          <w:szCs w:val="20"/>
          <w:color w:val="auto"/>
        </w:rPr>
      </w:pPr>
    </w:p>
    <w:p>
      <w:pPr>
        <w:ind w:left="47"/>
        <w:spacing w:after="0"/>
        <w:rPr>
          <w:sz w:val="20"/>
          <w:szCs w:val="20"/>
          <w:color w:val="auto"/>
        </w:rPr>
      </w:pPr>
      <w:r>
        <w:rPr>
          <w:rFonts w:ascii="Arial" w:cs="Arial" w:eastAsia="Arial" w:hAnsi="Arial"/>
          <w:sz w:val="17"/>
          <w:szCs w:val="17"/>
          <w:color w:val="auto"/>
        </w:rPr>
        <w:t>4.2</w:t>
      </w:r>
    </w:p>
    <w:p>
      <w:pPr>
        <w:spacing w:after="0" w:line="378" w:lineRule="exact"/>
        <w:rPr>
          <w:sz w:val="20"/>
          <w:szCs w:val="20"/>
          <w:color w:val="auto"/>
        </w:rPr>
      </w:pPr>
    </w:p>
    <w:p>
      <w:pPr>
        <w:ind w:left="47"/>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br w:type="column"/>
      </w:r>
    </w:p>
    <w:p>
      <w:pPr>
        <w:ind w:right="1100"/>
        <w:spacing w:after="0" w:line="235" w:lineRule="auto"/>
        <w:rPr>
          <w:sz w:val="20"/>
          <w:szCs w:val="20"/>
          <w:color w:val="auto"/>
        </w:rPr>
      </w:pPr>
      <w:r>
        <w:rPr>
          <w:rFonts w:ascii="Arial" w:cs="Arial" w:eastAsia="Arial" w:hAnsi="Arial"/>
          <w:sz w:val="20"/>
          <w:szCs w:val="20"/>
          <w:u w:val="single" w:color="auto"/>
          <w:color w:val="1C2790"/>
        </w:rPr>
        <w:t>Amended and Restated Bylaws of Sotera Health Company</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1C2790"/>
        </w:rPr>
        <w:t>Description of our Common Stock</w:t>
      </w:r>
    </w:p>
    <w:p>
      <w:pPr>
        <w:spacing w:after="0" w:line="147" w:lineRule="exact"/>
        <w:rPr>
          <w:sz w:val="20"/>
          <w:szCs w:val="20"/>
          <w:color w:val="auto"/>
        </w:rPr>
      </w:pPr>
    </w:p>
    <w:p>
      <w:pPr>
        <w:ind w:right="940"/>
        <w:spacing w:after="0" w:line="235" w:lineRule="auto"/>
        <w:rPr>
          <w:sz w:val="20"/>
          <w:szCs w:val="20"/>
          <w:color w:val="auto"/>
        </w:rPr>
      </w:pPr>
      <w:r>
        <w:rPr>
          <w:rFonts w:ascii="Arial" w:cs="Arial" w:eastAsia="Arial" w:hAnsi="Arial"/>
          <w:sz w:val="20"/>
          <w:szCs w:val="20"/>
          <w:u w:val="single" w:color="auto"/>
          <w:color w:val="1C2790"/>
        </w:rPr>
        <w:t>Amended and Restated Registration Rights Agreement</w:t>
      </w:r>
    </w:p>
    <w:p>
      <w:pPr>
        <w:spacing w:after="0" w:line="162" w:lineRule="exact"/>
        <w:rPr>
          <w:sz w:val="20"/>
          <w:szCs w:val="20"/>
          <w:color w:val="auto"/>
        </w:rPr>
      </w:pPr>
    </w:p>
    <w:p>
      <w:pPr>
        <w:ind w:right="900"/>
        <w:spacing w:after="0" w:line="226" w:lineRule="auto"/>
        <w:rPr>
          <w:sz w:val="20"/>
          <w:szCs w:val="20"/>
          <w:color w:val="auto"/>
        </w:rPr>
      </w:pPr>
      <w:r>
        <w:rPr>
          <w:rFonts w:ascii="Arial" w:cs="Arial" w:eastAsia="Arial" w:hAnsi="Arial"/>
          <w:sz w:val="19"/>
          <w:szCs w:val="19"/>
          <w:u w:val="single" w:color="auto"/>
          <w:color w:val="1C2790"/>
        </w:rPr>
        <w:t>Indenture dated as of May 30, 2024, among Sotera Health Holdings, LLC, as Issuer of the Notes, Sotera Health Company, as Holdings, and the Guarantors party hereto and Wilmington Trust, National Association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720" w:val="left"/>
          <w:tab w:leader="none" w:pos="1980" w:val="left"/>
          <w:tab w:leader="none" w:pos="260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3.1</w:t>
      </w:r>
      <w:r>
        <w:rPr>
          <w:sz w:val="20"/>
          <w:szCs w:val="20"/>
          <w:color w:val="auto"/>
        </w:rPr>
        <w:tab/>
      </w:r>
      <w:r>
        <w:rPr>
          <w:rFonts w:ascii="Arial" w:cs="Arial" w:eastAsia="Arial" w:hAnsi="Arial"/>
          <w:sz w:val="17"/>
          <w:szCs w:val="17"/>
          <w:color w:val="auto"/>
        </w:rPr>
        <w:t>2024-11-05</w:t>
      </w:r>
    </w:p>
    <w:p>
      <w:pPr>
        <w:spacing w:after="0" w:line="255" w:lineRule="exact"/>
        <w:rPr>
          <w:sz w:val="20"/>
          <w:szCs w:val="20"/>
          <w:color w:val="auto"/>
        </w:rPr>
      </w:pPr>
    </w:p>
    <w:p>
      <w:pPr>
        <w:spacing w:after="0"/>
        <w:tabs>
          <w:tab w:leader="none" w:pos="720" w:val="left"/>
          <w:tab w:leader="none" w:pos="19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4.1</w:t>
      </w:r>
      <w:r>
        <w:rPr>
          <w:sz w:val="20"/>
          <w:szCs w:val="20"/>
          <w:color w:val="auto"/>
        </w:rPr>
        <w:tab/>
      </w:r>
      <w:r>
        <w:rPr>
          <w:rFonts w:ascii="Arial" w:cs="Arial" w:eastAsia="Arial" w:hAnsi="Arial"/>
          <w:sz w:val="17"/>
          <w:szCs w:val="17"/>
          <w:color w:val="auto"/>
        </w:rPr>
        <w:t>2021-03-09</w:t>
      </w:r>
    </w:p>
    <w:p>
      <w:pPr>
        <w:spacing w:after="0" w:line="255" w:lineRule="exact"/>
        <w:rPr>
          <w:sz w:val="20"/>
          <w:szCs w:val="20"/>
          <w:color w:val="auto"/>
        </w:rPr>
      </w:pPr>
    </w:p>
    <w:p>
      <w:pPr>
        <w:spacing w:after="0"/>
        <w:tabs>
          <w:tab w:leader="none" w:pos="720" w:val="left"/>
          <w:tab w:leader="none" w:pos="19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4.2</w:t>
      </w:r>
      <w:r>
        <w:rPr>
          <w:sz w:val="20"/>
          <w:szCs w:val="20"/>
          <w:color w:val="auto"/>
        </w:rPr>
        <w:tab/>
      </w:r>
      <w:r>
        <w:rPr>
          <w:rFonts w:ascii="Arial" w:cs="Arial" w:eastAsia="Arial" w:hAnsi="Arial"/>
          <w:sz w:val="17"/>
          <w:szCs w:val="17"/>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720" w:val="left"/>
          <w:tab w:leader="none" w:pos="1980" w:val="left"/>
          <w:tab w:leader="none" w:pos="260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4.1</w:t>
      </w:r>
      <w:r>
        <w:rPr>
          <w:sz w:val="20"/>
          <w:szCs w:val="20"/>
          <w:color w:val="auto"/>
        </w:rPr>
        <w:tab/>
      </w:r>
      <w:r>
        <w:rPr>
          <w:rFonts w:ascii="Arial" w:cs="Arial" w:eastAsia="Arial" w:hAnsi="Arial"/>
          <w:sz w:val="17"/>
          <w:szCs w:val="17"/>
          <w:color w:val="auto"/>
        </w:rPr>
        <w:t>2024-08-05</w:t>
      </w:r>
    </w:p>
    <w:p>
      <w:pPr>
        <w:spacing w:after="0" w:line="657" w:lineRule="exact"/>
        <w:rPr>
          <w:sz w:val="20"/>
          <w:szCs w:val="20"/>
          <w:color w:val="auto"/>
        </w:rPr>
      </w:pPr>
    </w:p>
    <w:p>
      <w:pPr>
        <w:sectPr>
          <w:pgSz w:w="11880" w:h="15480" w:orient="portrait"/>
          <w:cols w:equalWidth="0" w:num="3">
            <w:col w:w="627" w:space="720"/>
            <w:col w:w="4320" w:space="720"/>
            <w:col w:w="3660"/>
          </w:cols>
          <w:pgMar w:left="913" w:top="527" w:right="920" w:bottom="0" w:gutter="0" w:footer="0" w:header="0"/>
          <w:type w:val="continuous"/>
        </w:sectPr>
      </w:pPr>
    </w:p>
    <w:p>
      <w:pPr>
        <w:spacing w:after="0" w:line="97" w:lineRule="exact"/>
        <w:rPr>
          <w:sz w:val="20"/>
          <w:szCs w:val="20"/>
          <w:color w:val="auto"/>
        </w:rPr>
      </w:pPr>
    </w:p>
    <w:p>
      <w:pPr>
        <w:ind w:left="47"/>
        <w:spacing w:after="0"/>
        <w:rPr>
          <w:sz w:val="20"/>
          <w:szCs w:val="20"/>
          <w:color w:val="auto"/>
        </w:rPr>
      </w:pPr>
      <w:r>
        <w:rPr>
          <w:rFonts w:ascii="Arial" w:cs="Arial" w:eastAsia="Arial" w:hAnsi="Arial"/>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7"/>
        <w:spacing w:after="0"/>
        <w:rPr>
          <w:sz w:val="20"/>
          <w:szCs w:val="20"/>
          <w:color w:val="auto"/>
        </w:rPr>
      </w:pPr>
      <w:r>
        <w:rPr>
          <w:rFonts w:ascii="Arial" w:cs="Arial" w:eastAsia="Arial" w:hAnsi="Arial"/>
          <w:sz w:val="20"/>
          <w:szCs w:val="20"/>
          <w:color w:val="auto"/>
        </w:rPr>
        <w:t>4.5</w:t>
      </w:r>
    </w:p>
    <w:p>
      <w:pPr>
        <w:spacing w:after="0" w:line="200" w:lineRule="exact"/>
        <w:rPr>
          <w:sz w:val="20"/>
          <w:szCs w:val="20"/>
          <w:color w:val="auto"/>
        </w:rPr>
      </w:pPr>
    </w:p>
    <w:p>
      <w:pPr>
        <w:spacing w:after="0" w:line="339" w:lineRule="exact"/>
        <w:rPr>
          <w:sz w:val="20"/>
          <w:szCs w:val="20"/>
          <w:color w:val="auto"/>
        </w:rPr>
      </w:pPr>
    </w:p>
    <w:p>
      <w:pPr>
        <w:ind w:left="47"/>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384" w:lineRule="exact"/>
        <w:rPr>
          <w:sz w:val="20"/>
          <w:szCs w:val="20"/>
          <w:color w:val="auto"/>
        </w:rPr>
      </w:pPr>
    </w:p>
    <w:p>
      <w:pPr>
        <w:ind w:left="47"/>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br w:type="column"/>
      </w:r>
    </w:p>
    <w:p>
      <w:pPr>
        <w:ind w:right="940"/>
        <w:spacing w:after="0" w:line="235" w:lineRule="auto"/>
        <w:rPr>
          <w:sz w:val="20"/>
          <w:szCs w:val="20"/>
          <w:color w:val="auto"/>
        </w:rPr>
      </w:pPr>
      <w:r>
        <w:rPr>
          <w:rFonts w:ascii="Arial" w:cs="Arial" w:eastAsia="Arial" w:hAnsi="Arial"/>
          <w:sz w:val="20"/>
          <w:szCs w:val="20"/>
          <w:u w:val="single" w:color="auto"/>
          <w:color w:val="1C2790"/>
        </w:rPr>
        <w:t>Form of 7.375% Senior Secured Notes due 2031</w:t>
      </w:r>
    </w:p>
    <w:p>
      <w:pPr>
        <w:spacing w:after="0" w:line="123" w:lineRule="exact"/>
        <w:rPr>
          <w:sz w:val="20"/>
          <w:szCs w:val="20"/>
          <w:color w:val="auto"/>
        </w:rPr>
      </w:pPr>
    </w:p>
    <w:p>
      <w:pPr>
        <w:ind w:right="880"/>
        <w:spacing w:after="0" w:line="228" w:lineRule="auto"/>
        <w:rPr>
          <w:sz w:val="20"/>
          <w:szCs w:val="20"/>
          <w:color w:val="auto"/>
        </w:rPr>
      </w:pPr>
      <w:r>
        <w:rPr>
          <w:rFonts w:ascii="Arial" w:cs="Arial" w:eastAsia="Arial" w:hAnsi="Arial"/>
          <w:sz w:val="19"/>
          <w:szCs w:val="19"/>
          <w:u w:val="single" w:color="auto"/>
          <w:color w:val="1C2790"/>
        </w:rPr>
        <w:t>Notes Security Agreement, dated as of May 30, 2024, among Sotera Health Holdings, LLC, Sotera Health Company, the other Grantors party thereto, and Wilmington Trust, National Association</w:t>
      </w:r>
    </w:p>
    <w:p>
      <w:pPr>
        <w:spacing w:after="0" w:line="123" w:lineRule="exact"/>
        <w:rPr>
          <w:sz w:val="20"/>
          <w:szCs w:val="20"/>
          <w:color w:val="auto"/>
        </w:rPr>
      </w:pPr>
    </w:p>
    <w:p>
      <w:pPr>
        <w:ind w:right="980"/>
        <w:spacing w:after="0" w:line="276" w:lineRule="auto"/>
        <w:rPr>
          <w:sz w:val="20"/>
          <w:szCs w:val="20"/>
          <w:color w:val="auto"/>
        </w:rPr>
      </w:pPr>
      <w:r>
        <w:rPr>
          <w:rFonts w:ascii="Arial" w:cs="Arial" w:eastAsia="Arial" w:hAnsi="Arial"/>
          <w:sz w:val="17"/>
          <w:szCs w:val="17"/>
          <w:u w:val="single" w:color="auto"/>
          <w:color w:val="1C2790"/>
        </w:rPr>
        <w:t>Employment Agreement by and between Sotera Health Company and Michael B. Petras, Jr., dated as of November 10, 2020</w:t>
      </w:r>
    </w:p>
    <w:p>
      <w:pPr>
        <w:spacing w:after="0" w:line="105" w:lineRule="exact"/>
        <w:rPr>
          <w:sz w:val="20"/>
          <w:szCs w:val="20"/>
          <w:color w:val="auto"/>
        </w:rPr>
      </w:pPr>
    </w:p>
    <w:p>
      <w:pPr>
        <w:jc w:val="both"/>
        <w:ind w:right="1240"/>
        <w:spacing w:after="0" w:line="276" w:lineRule="auto"/>
        <w:rPr>
          <w:sz w:val="20"/>
          <w:szCs w:val="20"/>
          <w:color w:val="auto"/>
        </w:rPr>
      </w:pPr>
      <w:r>
        <w:rPr>
          <w:rFonts w:ascii="Arial" w:cs="Arial" w:eastAsia="Arial" w:hAnsi="Arial"/>
          <w:sz w:val="17"/>
          <w:szCs w:val="17"/>
          <w:u w:val="single" w:color="auto"/>
          <w:color w:val="1C2790"/>
        </w:rPr>
        <w:t>Executed Employment Offer by Sotera Health Company and Michael F. Biehl dated as of July 18, 2022</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20"/>
        <w:spacing w:after="0"/>
        <w:tabs>
          <w:tab w:leader="none" w:pos="740" w:val="left"/>
          <w:tab w:leader="none" w:pos="2000" w:val="left"/>
          <w:tab w:leader="none" w:pos="262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4.2</w:t>
      </w:r>
      <w:r>
        <w:rPr>
          <w:sz w:val="20"/>
          <w:szCs w:val="20"/>
          <w:color w:val="auto"/>
        </w:rPr>
        <w:tab/>
      </w:r>
      <w:r>
        <w:rPr>
          <w:rFonts w:ascii="Arial" w:cs="Arial" w:eastAsia="Arial" w:hAnsi="Arial"/>
          <w:sz w:val="17"/>
          <w:szCs w:val="17"/>
          <w:color w:val="auto"/>
        </w:rPr>
        <w:t>2024-08-05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740" w:val="left"/>
          <w:tab w:leader="none" w:pos="2000" w:val="left"/>
          <w:tab w:leader="none" w:pos="262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4.3</w:t>
      </w:r>
      <w:r>
        <w:rPr>
          <w:sz w:val="20"/>
          <w:szCs w:val="20"/>
          <w:color w:val="auto"/>
        </w:rPr>
        <w:tab/>
      </w:r>
      <w:r>
        <w:rPr>
          <w:rFonts w:ascii="Arial" w:cs="Arial" w:eastAsia="Arial" w:hAnsi="Arial"/>
          <w:sz w:val="17"/>
          <w:szCs w:val="17"/>
          <w:color w:val="auto"/>
        </w:rPr>
        <w:t>2024-08-05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80" w:val="left"/>
          <w:tab w:leader="none" w:pos="1940" w:val="left"/>
          <w:tab w:leader="none" w:pos="2620" w:val="left"/>
        </w:tabs>
        <w:rPr>
          <w:sz w:val="20"/>
          <w:szCs w:val="20"/>
          <w:color w:val="auto"/>
        </w:rPr>
      </w:pPr>
      <w:r>
        <w:rPr>
          <w:rFonts w:ascii="Arial" w:cs="Arial" w:eastAsia="Arial" w:hAnsi="Arial"/>
          <w:sz w:val="20"/>
          <w:szCs w:val="20"/>
          <w:color w:val="auto"/>
        </w:rPr>
        <w:t>S-1/A</w:t>
        <w:tab/>
        <w:t>333-249648</w:t>
        <w:tab/>
        <w:t>10.1</w:t>
      </w:r>
      <w:r>
        <w:rPr>
          <w:sz w:val="20"/>
          <w:szCs w:val="20"/>
          <w:color w:val="auto"/>
        </w:rPr>
        <w:tab/>
      </w:r>
      <w:r>
        <w:rPr>
          <w:rFonts w:ascii="Arial" w:cs="Arial" w:eastAsia="Arial" w:hAnsi="Arial"/>
          <w:sz w:val="17"/>
          <w:szCs w:val="17"/>
          <w:color w:val="auto"/>
        </w:rPr>
        <w:t>2020-11-12</w:t>
      </w: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740" w:val="left"/>
          <w:tab w:leader="none" w:pos="1940" w:val="left"/>
          <w:tab w:leader="none" w:pos="26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10.5</w:t>
      </w:r>
      <w:r>
        <w:rPr>
          <w:sz w:val="20"/>
          <w:szCs w:val="20"/>
          <w:color w:val="auto"/>
        </w:rPr>
        <w:tab/>
      </w:r>
      <w:r>
        <w:rPr>
          <w:rFonts w:ascii="Arial" w:cs="Arial" w:eastAsia="Arial" w:hAnsi="Arial"/>
          <w:sz w:val="17"/>
          <w:szCs w:val="17"/>
          <w:color w:val="auto"/>
        </w:rPr>
        <w:t>2023-02-28</w:t>
      </w:r>
    </w:p>
    <w:p>
      <w:pPr>
        <w:spacing w:after="0" w:line="443" w:lineRule="exact"/>
        <w:rPr>
          <w:sz w:val="20"/>
          <w:szCs w:val="20"/>
          <w:color w:val="auto"/>
        </w:rPr>
      </w:pPr>
    </w:p>
    <w:p>
      <w:pPr>
        <w:sectPr>
          <w:pgSz w:w="11880" w:h="15480" w:orient="portrait"/>
          <w:cols w:equalWidth="0" w:num="3">
            <w:col w:w="627" w:space="720"/>
            <w:col w:w="4300" w:space="720"/>
            <w:col w:w="3680"/>
          </w:cols>
          <w:pgMar w:left="913" w:top="527"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10047"/>
          </w:cols>
          <w:pgMar w:left="913" w:top="527" w:right="920"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59"/>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20" w:type="dxa"/>
            <w:vAlign w:val="bottom"/>
            <w:gridSpan w:val="3"/>
          </w:tcPr>
          <w:p>
            <w:pPr>
              <w:ind w:left="8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rPr>
              <w:t>Exhibit No</w:t>
            </w:r>
          </w:p>
        </w:tc>
        <w:tc>
          <w:tcPr>
            <w:tcW w:w="346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Description of Exhibits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Furnished</w:t>
            </w:r>
          </w:p>
        </w:tc>
        <w:tc>
          <w:tcPr>
            <w:tcW w:w="14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File No.</w:t>
            </w:r>
          </w:p>
        </w:tc>
        <w:tc>
          <w:tcPr>
            <w:tcW w:w="8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1140" w:type="dxa"/>
            <w:vAlign w:val="bottom"/>
            <w:vMerge w:val="restart"/>
          </w:tcPr>
          <w:p>
            <w:pPr>
              <w:ind w:left="100"/>
              <w:spacing w:after="0"/>
              <w:rPr>
                <w:sz w:val="20"/>
                <w:szCs w:val="20"/>
                <w:color w:val="auto"/>
              </w:rPr>
            </w:pPr>
            <w:r>
              <w:rPr>
                <w:rFonts w:ascii="Arial" w:cs="Arial" w:eastAsia="Arial" w:hAnsi="Arial"/>
                <w:sz w:val="20"/>
                <w:szCs w:val="20"/>
                <w:b w:val="1"/>
                <w:bCs w:val="1"/>
                <w:color w:val="auto"/>
                <w:w w:val="99"/>
              </w:rPr>
              <w:t>Filing Date</w:t>
            </w:r>
          </w:p>
        </w:tc>
        <w:tc>
          <w:tcPr>
            <w:tcW w:w="0" w:type="dxa"/>
            <w:vAlign w:val="bottom"/>
          </w:tcPr>
          <w:p>
            <w:pPr>
              <w:spacing w:after="0"/>
              <w:rPr>
                <w:sz w:val="1"/>
                <w:szCs w:val="1"/>
                <w:color w:val="auto"/>
              </w:rPr>
            </w:pPr>
          </w:p>
        </w:tc>
      </w:tr>
      <w:tr>
        <w:trPr>
          <w:trHeight w:val="258"/>
        </w:trPr>
        <w:tc>
          <w:tcPr>
            <w:tcW w:w="1340" w:type="dxa"/>
            <w:vAlign w:val="bottom"/>
            <w:gridSpan w:val="3"/>
            <w:vMerge w:val="continue"/>
          </w:tcPr>
          <w:p>
            <w:pPr>
              <w:spacing w:after="0"/>
              <w:rPr>
                <w:sz w:val="22"/>
                <w:szCs w:val="22"/>
                <w:color w:val="auto"/>
              </w:rPr>
            </w:pPr>
          </w:p>
        </w:tc>
        <w:tc>
          <w:tcPr>
            <w:tcW w:w="3460" w:type="dxa"/>
            <w:vAlign w:val="bottom"/>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0"/>
                <w:szCs w:val="20"/>
                <w:b w:val="1"/>
                <w:bCs w:val="1"/>
                <w:color w:val="auto"/>
                <w:w w:val="92"/>
              </w:rPr>
              <w:t>Herewith</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jc w:val="right"/>
              <w:ind w:right="562"/>
              <w:spacing w:after="0" w:line="194" w:lineRule="exact"/>
              <w:rPr>
                <w:sz w:val="20"/>
                <w:szCs w:val="20"/>
                <w:color w:val="auto"/>
              </w:rPr>
            </w:pPr>
            <w:r>
              <w:rPr>
                <w:rFonts w:ascii="Arial" w:cs="Arial" w:eastAsia="Arial" w:hAnsi="Arial"/>
                <w:sz w:val="20"/>
                <w:szCs w:val="20"/>
                <w:color w:val="auto"/>
                <w:w w:val="94"/>
              </w:rPr>
              <w:t>10.3+</w:t>
            </w: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60" w:type="dxa"/>
            <w:vAlign w:val="bottom"/>
            <w:tcBorders>
              <w:top w:val="single" w:sz="8" w:color="auto"/>
              <w:bottom w:val="single" w:sz="8" w:color="1C2790"/>
            </w:tcBorders>
            <w:gridSpan w:val="4"/>
          </w:tcPr>
          <w:p>
            <w:pPr>
              <w:spacing w:after="0" w:line="194" w:lineRule="exact"/>
              <w:rPr>
                <w:sz w:val="20"/>
                <w:szCs w:val="20"/>
                <w:color w:val="auto"/>
              </w:rPr>
            </w:pPr>
            <w:r>
              <w:rPr>
                <w:rFonts w:ascii="Arial" w:cs="Arial" w:eastAsia="Arial" w:hAnsi="Arial"/>
                <w:sz w:val="20"/>
                <w:szCs w:val="20"/>
                <w:color w:val="1C2790"/>
                <w:w w:val="88"/>
              </w:rPr>
              <w:t>Executed Restrictive Covenants Agreement</w:t>
            </w: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tcBorders>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8"/>
              </w:rPr>
              <w:t>by and between Sotera Health Company</w:t>
            </w: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color w:val="auto"/>
                <w:w w:val="94"/>
              </w:rPr>
              <w:t>10-K</w:t>
            </w:r>
          </w:p>
        </w:tc>
        <w:tc>
          <w:tcPr>
            <w:tcW w:w="1160" w:type="dxa"/>
            <w:vAlign w:val="bottom"/>
            <w:vMerge w:val="restart"/>
          </w:tcPr>
          <w:p>
            <w:pPr>
              <w:jc w:val="right"/>
              <w:ind w:right="22"/>
              <w:spacing w:after="0"/>
              <w:rPr>
                <w:sz w:val="20"/>
                <w:szCs w:val="20"/>
                <w:color w:val="auto"/>
              </w:rPr>
            </w:pPr>
            <w:r>
              <w:rPr>
                <w:rFonts w:ascii="Arial" w:cs="Arial" w:eastAsia="Arial" w:hAnsi="Arial"/>
                <w:sz w:val="20"/>
                <w:szCs w:val="20"/>
                <w:color w:val="auto"/>
              </w:rPr>
              <w:t>001-39729</w:t>
            </w:r>
          </w:p>
        </w:tc>
        <w:tc>
          <w:tcPr>
            <w:tcW w:w="820" w:type="dxa"/>
            <w:vAlign w:val="bottom"/>
            <w:vMerge w:val="restart"/>
          </w:tcPr>
          <w:p>
            <w:pPr>
              <w:jc w:val="right"/>
              <w:ind w:right="142"/>
              <w:spacing w:after="0"/>
              <w:rPr>
                <w:sz w:val="20"/>
                <w:szCs w:val="20"/>
                <w:color w:val="auto"/>
              </w:rPr>
            </w:pPr>
            <w:r>
              <w:rPr>
                <w:rFonts w:ascii="Arial" w:cs="Arial" w:eastAsia="Arial" w:hAnsi="Arial"/>
                <w:sz w:val="20"/>
                <w:szCs w:val="20"/>
                <w:color w:val="auto"/>
              </w:rPr>
              <w:t>10.6</w:t>
            </w:r>
          </w:p>
        </w:tc>
        <w:tc>
          <w:tcPr>
            <w:tcW w:w="1140" w:type="dxa"/>
            <w:vAlign w:val="bottom"/>
            <w:vMerge w:val="restart"/>
          </w:tcPr>
          <w:p>
            <w:pPr>
              <w:ind w:left="100"/>
              <w:spacing w:after="0"/>
              <w:rPr>
                <w:sz w:val="20"/>
                <w:szCs w:val="20"/>
                <w:color w:val="auto"/>
              </w:rPr>
            </w:pPr>
            <w:r>
              <w:rPr>
                <w:rFonts w:ascii="Arial" w:cs="Arial" w:eastAsia="Arial" w:hAnsi="Arial"/>
                <w:sz w:val="20"/>
                <w:szCs w:val="20"/>
                <w:color w:val="auto"/>
                <w:w w:val="99"/>
              </w:rPr>
              <w:t>2023-02-28</w:t>
            </w:r>
          </w:p>
        </w:tc>
        <w:tc>
          <w:tcPr>
            <w:tcW w:w="0" w:type="dxa"/>
            <w:vAlign w:val="bottom"/>
          </w:tcPr>
          <w:p>
            <w:pPr>
              <w:spacing w:after="0"/>
              <w:rPr>
                <w:sz w:val="1"/>
                <w:szCs w:val="1"/>
                <w:color w:val="auto"/>
              </w:rPr>
            </w:pPr>
          </w:p>
        </w:tc>
      </w:tr>
      <w:tr>
        <w:trPr>
          <w:trHeight w:val="130"/>
        </w:trPr>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4"/>
            <w:vMerge w:val="restart"/>
          </w:tcPr>
          <w:p>
            <w:pPr>
              <w:spacing w:after="0" w:line="176" w:lineRule="exact"/>
              <w:rPr>
                <w:sz w:val="20"/>
                <w:szCs w:val="20"/>
                <w:color w:val="auto"/>
              </w:rPr>
            </w:pPr>
            <w:r>
              <w:rPr>
                <w:rFonts w:ascii="Arial" w:cs="Arial" w:eastAsia="Arial" w:hAnsi="Arial"/>
                <w:sz w:val="20"/>
                <w:szCs w:val="20"/>
                <w:color w:val="1C2790"/>
                <w:w w:val="95"/>
              </w:rPr>
              <w:t>and Michael F. Biehl dated as of July 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0"/>
              </w:rPr>
              <w:t>2022</w:t>
            </w:r>
          </w:p>
        </w:tc>
        <w:tc>
          <w:tcPr>
            <w:tcW w:w="2820" w:type="dxa"/>
            <w:vAlign w:val="bottom"/>
            <w:tcBorders>
              <w:top w:val="single" w:sz="8" w:color="1C2790"/>
            </w:tcBorders>
          </w:tcPr>
          <w:p>
            <w:pPr>
              <w:spacing w:after="0"/>
              <w:rPr>
                <w:sz w:val="15"/>
                <w:szCs w:val="15"/>
                <w:color w:val="auto"/>
              </w:rPr>
            </w:pPr>
          </w:p>
        </w:tc>
        <w:tc>
          <w:tcPr>
            <w:tcW w:w="60" w:type="dxa"/>
            <w:vAlign w:val="bottom"/>
            <w:tcBorders>
              <w:top w:val="single" w:sz="8" w:color="1C2790"/>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880" w:h="15480" w:orient="portrait"/>
          <w:cols w:equalWidth="0" w:num="1">
            <w:col w:w="10040"/>
          </w:cols>
          <w:pgMar w:left="920" w:top="579" w:right="920" w:bottom="0" w:gutter="0" w:footer="0" w:header="0"/>
        </w:sectPr>
      </w:pPr>
    </w:p>
    <w:tbl>
      <w:tblPr>
        <w:tblLayout w:type="fixed"/>
        <w:tblInd w:w="40" w:type="dxa"/>
        <w:tblCellMar>
          <w:top w:w="0" w:type="dxa"/>
          <w:left w:w="0" w:type="dxa"/>
          <w:bottom w:w="0" w:type="dxa"/>
          <w:right w:w="0" w:type="dxa"/>
        </w:tblCellMar>
      </w:tblPr>
      <w:tr>
        <w:trPr>
          <w:trHeight w:val="230"/>
        </w:trPr>
        <w:tc>
          <w:tcPr>
            <w:tcW w:w="1300" w:type="dxa"/>
            <w:vAlign w:val="bottom"/>
          </w:tcPr>
          <w:p>
            <w:pPr>
              <w:jc w:val="right"/>
              <w:ind w:right="742"/>
              <w:spacing w:after="0"/>
              <w:rPr>
                <w:sz w:val="20"/>
                <w:szCs w:val="20"/>
                <w:color w:val="auto"/>
              </w:rPr>
            </w:pPr>
            <w:r>
              <w:rPr>
                <w:rFonts w:ascii="Arial" w:cs="Arial" w:eastAsia="Arial" w:hAnsi="Arial"/>
                <w:sz w:val="20"/>
                <w:szCs w:val="20"/>
                <w:color w:val="auto"/>
                <w:w w:val="86"/>
              </w:rPr>
              <w:t>10.4+</w:t>
            </w:r>
          </w:p>
        </w:tc>
        <w:tc>
          <w:tcPr>
            <w:tcW w:w="3100" w:type="dxa"/>
            <w:vAlign w:val="bottom"/>
            <w:tcBorders>
              <w:bottom w:val="single" w:sz="8" w:color="1C2790"/>
            </w:tcBorders>
            <w:gridSpan w:val="7"/>
          </w:tcPr>
          <w:p>
            <w:pPr>
              <w:spacing w:after="0"/>
              <w:rPr>
                <w:sz w:val="20"/>
                <w:szCs w:val="20"/>
                <w:color w:val="auto"/>
              </w:rPr>
            </w:pPr>
            <w:r>
              <w:rPr>
                <w:rFonts w:ascii="Arial" w:cs="Arial" w:eastAsia="Arial" w:hAnsi="Arial"/>
                <w:sz w:val="20"/>
                <w:szCs w:val="20"/>
                <w:color w:val="1C2790"/>
                <w:w w:val="90"/>
              </w:rPr>
              <w:t>Executed Employment Offer by Sotera</w:t>
            </w:r>
          </w:p>
        </w:tc>
        <w:tc>
          <w:tcPr>
            <w:tcW w:w="36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1300" w:type="dxa"/>
            <w:vAlign w:val="bottom"/>
          </w:tcPr>
          <w:p>
            <w:pPr>
              <w:spacing w:after="0"/>
              <w:rPr>
                <w:sz w:val="15"/>
                <w:szCs w:val="15"/>
                <w:color w:val="auto"/>
              </w:rPr>
            </w:pPr>
          </w:p>
        </w:tc>
        <w:tc>
          <w:tcPr>
            <w:tcW w:w="3460" w:type="dxa"/>
            <w:vAlign w:val="bottom"/>
            <w:gridSpan w:val="15"/>
          </w:tcPr>
          <w:p>
            <w:pPr>
              <w:spacing w:after="0" w:line="176" w:lineRule="exact"/>
              <w:rPr>
                <w:sz w:val="20"/>
                <w:szCs w:val="20"/>
                <w:color w:val="auto"/>
              </w:rPr>
            </w:pPr>
            <w:r>
              <w:rPr>
                <w:rFonts w:ascii="Arial" w:cs="Arial" w:eastAsia="Arial" w:hAnsi="Arial"/>
                <w:sz w:val="20"/>
                <w:szCs w:val="20"/>
                <w:color w:val="1C2790"/>
                <w:w w:val="93"/>
              </w:rPr>
              <w:t>Health Company and Alex Dimitrief dated</w:t>
            </w: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400" w:type="dxa"/>
            <w:vAlign w:val="bottom"/>
            <w:tcBorders>
              <w:top w:val="single" w:sz="8" w:color="1C2790"/>
            </w:tcBorders>
            <w:gridSpan w:val="14"/>
          </w:tcPr>
          <w:p>
            <w:pPr>
              <w:spacing w:after="0" w:line="176" w:lineRule="exact"/>
              <w:rPr>
                <w:sz w:val="20"/>
                <w:szCs w:val="20"/>
                <w:color w:val="auto"/>
              </w:rPr>
            </w:pPr>
            <w:r>
              <w:rPr>
                <w:rFonts w:ascii="Arial" w:cs="Arial" w:eastAsia="Arial" w:hAnsi="Arial"/>
                <w:sz w:val="20"/>
                <w:szCs w:val="20"/>
                <w:color w:val="1C2790"/>
              </w:rPr>
              <w:t>as of October 28, 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1C2790"/>
          </w:tcPr>
          <w:p>
            <w:pPr>
              <w:spacing w:after="0" w:line="20" w:lineRule="exact"/>
              <w:rPr>
                <w:sz w:val="1"/>
                <w:szCs w:val="1"/>
                <w:color w:val="auto"/>
              </w:rPr>
            </w:pPr>
          </w:p>
        </w:tc>
        <w:tc>
          <w:tcPr>
            <w:tcW w:w="200" w:type="dxa"/>
            <w:vAlign w:val="bottom"/>
            <w:shd w:val="clear" w:color="auto" w:fill="1C2790"/>
          </w:tcPr>
          <w:p>
            <w:pPr>
              <w:spacing w:after="0" w:line="20" w:lineRule="exact"/>
              <w:rPr>
                <w:sz w:val="1"/>
                <w:szCs w:val="1"/>
                <w:color w:val="auto"/>
              </w:rPr>
            </w:pPr>
          </w:p>
        </w:tc>
        <w:tc>
          <w:tcPr>
            <w:tcW w:w="1080" w:type="dxa"/>
            <w:vAlign w:val="bottom"/>
            <w:shd w:val="clear" w:color="auto" w:fill="1C2790"/>
          </w:tcPr>
          <w:p>
            <w:pPr>
              <w:spacing w:after="0" w:line="20" w:lineRule="exact"/>
              <w:rPr>
                <w:sz w:val="1"/>
                <w:szCs w:val="1"/>
                <w:color w:val="auto"/>
              </w:rPr>
            </w:pPr>
          </w:p>
        </w:tc>
        <w:tc>
          <w:tcPr>
            <w:tcW w:w="120" w:type="dxa"/>
            <w:vAlign w:val="bottom"/>
            <w:shd w:val="clear" w:color="auto" w:fill="1C279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1300" w:type="dxa"/>
            <w:vAlign w:val="bottom"/>
          </w:tcPr>
          <w:p>
            <w:pPr>
              <w:jc w:val="right"/>
              <w:ind w:right="742"/>
              <w:spacing w:after="0"/>
              <w:rPr>
                <w:sz w:val="20"/>
                <w:szCs w:val="20"/>
                <w:color w:val="auto"/>
              </w:rPr>
            </w:pPr>
            <w:r>
              <w:rPr>
                <w:rFonts w:ascii="Arial" w:cs="Arial" w:eastAsia="Arial" w:hAnsi="Arial"/>
                <w:sz w:val="20"/>
                <w:szCs w:val="20"/>
                <w:color w:val="auto"/>
                <w:w w:val="86"/>
              </w:rPr>
              <w:t>10.5+</w:t>
            </w:r>
          </w:p>
        </w:tc>
        <w:tc>
          <w:tcPr>
            <w:tcW w:w="3460" w:type="dxa"/>
            <w:vAlign w:val="bottom"/>
            <w:tcBorders>
              <w:bottom w:val="single" w:sz="8" w:color="1C2790"/>
            </w:tcBorders>
            <w:gridSpan w:val="15"/>
          </w:tcPr>
          <w:p>
            <w:pPr>
              <w:spacing w:after="0"/>
              <w:rPr>
                <w:sz w:val="20"/>
                <w:szCs w:val="20"/>
                <w:color w:val="auto"/>
              </w:rPr>
            </w:pPr>
            <w:r>
              <w:rPr>
                <w:rFonts w:ascii="Arial" w:cs="Arial" w:eastAsia="Arial" w:hAnsi="Arial"/>
                <w:sz w:val="20"/>
                <w:szCs w:val="20"/>
                <w:color w:val="1C2790"/>
                <w:w w:val="88"/>
              </w:rPr>
              <w:t>Executed Restrictive Covenants Agreement</w:t>
            </w:r>
          </w:p>
        </w:tc>
        <w:tc>
          <w:tcPr>
            <w:tcW w:w="20" w:type="dxa"/>
            <w:vAlign w:val="bottom"/>
          </w:tcPr>
          <w:p>
            <w:pPr>
              <w:spacing w:after="0"/>
              <w:rPr>
                <w:sz w:val="24"/>
                <w:szCs w:val="24"/>
                <w:color w:val="auto"/>
              </w:rPr>
            </w:pPr>
          </w:p>
        </w:tc>
      </w:tr>
      <w:tr>
        <w:trPr>
          <w:trHeight w:val="176"/>
        </w:trPr>
        <w:tc>
          <w:tcPr>
            <w:tcW w:w="1300" w:type="dxa"/>
            <w:vAlign w:val="bottom"/>
          </w:tcPr>
          <w:p>
            <w:pPr>
              <w:spacing w:after="0"/>
              <w:rPr>
                <w:sz w:val="15"/>
                <w:szCs w:val="15"/>
                <w:color w:val="auto"/>
              </w:rPr>
            </w:pPr>
          </w:p>
        </w:tc>
        <w:tc>
          <w:tcPr>
            <w:tcW w:w="3460" w:type="dxa"/>
            <w:vAlign w:val="bottom"/>
            <w:gridSpan w:val="15"/>
          </w:tcPr>
          <w:p>
            <w:pPr>
              <w:spacing w:after="0" w:line="176" w:lineRule="exact"/>
              <w:rPr>
                <w:sz w:val="20"/>
                <w:szCs w:val="20"/>
                <w:color w:val="auto"/>
              </w:rPr>
            </w:pPr>
            <w:r>
              <w:rPr>
                <w:rFonts w:ascii="Arial" w:cs="Arial" w:eastAsia="Arial" w:hAnsi="Arial"/>
                <w:sz w:val="20"/>
                <w:szCs w:val="20"/>
                <w:color w:val="1C2790"/>
                <w:w w:val="95"/>
              </w:rPr>
              <w:t>by and between Sotera Health Company</w:t>
            </w: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200" w:type="dxa"/>
            <w:vAlign w:val="bottom"/>
            <w:tcBorders>
              <w:top w:val="single" w:sz="8" w:color="1C2790"/>
              <w:bottom w:val="single" w:sz="8" w:color="1C2790"/>
            </w:tcBorders>
            <w:gridSpan w:val="9"/>
          </w:tcPr>
          <w:p>
            <w:pPr>
              <w:spacing w:after="0" w:line="176" w:lineRule="exact"/>
              <w:rPr>
                <w:sz w:val="20"/>
                <w:szCs w:val="20"/>
                <w:color w:val="auto"/>
              </w:rPr>
            </w:pPr>
            <w:r>
              <w:rPr>
                <w:rFonts w:ascii="Arial" w:cs="Arial" w:eastAsia="Arial" w:hAnsi="Arial"/>
                <w:sz w:val="20"/>
                <w:szCs w:val="20"/>
                <w:color w:val="1C2790"/>
                <w:w w:val="87"/>
              </w:rPr>
              <w:t>and Alex Dimitrief, dated as of November</w:t>
            </w:r>
          </w:p>
        </w:tc>
        <w:tc>
          <w:tcPr>
            <w:tcW w:w="60" w:type="dxa"/>
            <w:vAlign w:val="bottom"/>
            <w:tcBorders>
              <w:bottom w:val="single" w:sz="8" w:color="1C2790"/>
            </w:tcBorders>
          </w:tcPr>
          <w:p>
            <w:pPr>
              <w:spacing w:after="0"/>
              <w:rPr>
                <w:sz w:val="15"/>
                <w:szCs w:val="15"/>
                <w:color w:val="auto"/>
              </w:rPr>
            </w:pPr>
          </w:p>
        </w:tc>
        <w:tc>
          <w:tcPr>
            <w:tcW w:w="40" w:type="dxa"/>
            <w:vAlign w:val="bottom"/>
            <w:tcBorders>
              <w:bottom w:val="single" w:sz="8" w:color="1C2790"/>
            </w:tcBorders>
          </w:tcPr>
          <w:p>
            <w:pPr>
              <w:spacing w:after="0"/>
              <w:rPr>
                <w:sz w:val="15"/>
                <w:szCs w:val="15"/>
                <w:color w:val="auto"/>
              </w:rPr>
            </w:pPr>
          </w:p>
        </w:tc>
        <w:tc>
          <w:tcPr>
            <w:tcW w:w="60" w:type="dxa"/>
            <w:vAlign w:val="bottom"/>
            <w:tcBorders>
              <w:bottom w:val="single" w:sz="8" w:color="1C2790"/>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580" w:type="dxa"/>
            <w:vAlign w:val="bottom"/>
            <w:tcBorders>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3"/>
              </w:rPr>
              <w:t>1, 2022</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1300" w:type="dxa"/>
            <w:vAlign w:val="bottom"/>
          </w:tcPr>
          <w:p>
            <w:pPr>
              <w:jc w:val="right"/>
              <w:ind w:right="742"/>
              <w:spacing w:after="0"/>
              <w:rPr>
                <w:sz w:val="20"/>
                <w:szCs w:val="20"/>
                <w:color w:val="auto"/>
              </w:rPr>
            </w:pPr>
            <w:r>
              <w:rPr>
                <w:rFonts w:ascii="Arial" w:cs="Arial" w:eastAsia="Arial" w:hAnsi="Arial"/>
                <w:sz w:val="20"/>
                <w:szCs w:val="20"/>
                <w:color w:val="auto"/>
                <w:w w:val="86"/>
              </w:rPr>
              <w:t>10.6+</w:t>
            </w:r>
          </w:p>
        </w:tc>
        <w:tc>
          <w:tcPr>
            <w:tcW w:w="3460" w:type="dxa"/>
            <w:vAlign w:val="bottom"/>
            <w:gridSpan w:val="15"/>
          </w:tcPr>
          <w:p>
            <w:pPr>
              <w:spacing w:after="0"/>
              <w:rPr>
                <w:sz w:val="20"/>
                <w:szCs w:val="20"/>
                <w:color w:val="auto"/>
              </w:rPr>
            </w:pPr>
            <w:r>
              <w:rPr>
                <w:rFonts w:ascii="Arial" w:cs="Arial" w:eastAsia="Arial" w:hAnsi="Arial"/>
                <w:sz w:val="20"/>
                <w:szCs w:val="20"/>
                <w:color w:val="1C2790"/>
                <w:w w:val="93"/>
              </w:rPr>
              <w:t>Cash Retention Bonus Agreement by and</w:t>
            </w:r>
          </w:p>
        </w:tc>
        <w:tc>
          <w:tcPr>
            <w:tcW w:w="20" w:type="dxa"/>
            <w:vAlign w:val="bottom"/>
          </w:tcPr>
          <w:p>
            <w:pPr>
              <w:spacing w:after="0"/>
              <w:rPr>
                <w:sz w:val="22"/>
                <w:szCs w:val="22"/>
                <w:color w:val="auto"/>
              </w:rPr>
            </w:pPr>
          </w:p>
        </w:tc>
      </w:tr>
      <w:tr>
        <w:trPr>
          <w:trHeight w:val="176"/>
        </w:trPr>
        <w:tc>
          <w:tcPr>
            <w:tcW w:w="1300" w:type="dxa"/>
            <w:vAlign w:val="bottom"/>
          </w:tcPr>
          <w:p>
            <w:pPr>
              <w:spacing w:after="0"/>
              <w:rPr>
                <w:sz w:val="15"/>
                <w:szCs w:val="15"/>
                <w:color w:val="auto"/>
              </w:rPr>
            </w:pPr>
          </w:p>
        </w:tc>
        <w:tc>
          <w:tcPr>
            <w:tcW w:w="3300" w:type="dxa"/>
            <w:vAlign w:val="bottom"/>
            <w:tcBorders>
              <w:top w:val="single" w:sz="8" w:color="1C2790"/>
            </w:tcBorders>
            <w:gridSpan w:val="11"/>
          </w:tcPr>
          <w:p>
            <w:pPr>
              <w:spacing w:after="0" w:line="176" w:lineRule="exact"/>
              <w:rPr>
                <w:sz w:val="20"/>
                <w:szCs w:val="20"/>
                <w:color w:val="auto"/>
              </w:rPr>
            </w:pPr>
            <w:r>
              <w:rPr>
                <w:rFonts w:ascii="Arial" w:cs="Arial" w:eastAsia="Arial" w:hAnsi="Arial"/>
                <w:sz w:val="20"/>
                <w:szCs w:val="20"/>
                <w:color w:val="1C2790"/>
                <w:w w:val="90"/>
              </w:rPr>
              <w:t>between Michael Rutz and Sotera Health</w:t>
            </w:r>
          </w:p>
        </w:tc>
        <w:tc>
          <w:tcPr>
            <w:tcW w:w="8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260" w:type="dxa"/>
            <w:vAlign w:val="bottom"/>
            <w:tcBorders>
              <w:top w:val="single" w:sz="8" w:color="1C2790"/>
            </w:tcBorders>
            <w:gridSpan w:val="10"/>
          </w:tcPr>
          <w:p>
            <w:pPr>
              <w:spacing w:after="0" w:line="176" w:lineRule="exact"/>
              <w:rPr>
                <w:sz w:val="20"/>
                <w:szCs w:val="20"/>
                <w:color w:val="auto"/>
              </w:rPr>
            </w:pPr>
            <w:r>
              <w:rPr>
                <w:rFonts w:ascii="Arial" w:cs="Arial" w:eastAsia="Arial" w:hAnsi="Arial"/>
                <w:sz w:val="20"/>
                <w:szCs w:val="20"/>
                <w:color w:val="1C2790"/>
                <w:w w:val="89"/>
              </w:rPr>
              <w:t>Company dated as of November 7, 2022</w:t>
            </w:r>
          </w:p>
        </w:tc>
        <w:tc>
          <w:tcPr>
            <w:tcW w:w="12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67"/>
        </w:trPr>
        <w:tc>
          <w:tcPr>
            <w:tcW w:w="1300" w:type="dxa"/>
            <w:vAlign w:val="bottom"/>
          </w:tcPr>
          <w:p>
            <w:pPr>
              <w:jc w:val="right"/>
              <w:ind w:right="742"/>
              <w:spacing w:after="0"/>
              <w:rPr>
                <w:sz w:val="20"/>
                <w:szCs w:val="20"/>
                <w:color w:val="auto"/>
              </w:rPr>
            </w:pPr>
            <w:r>
              <w:rPr>
                <w:rFonts w:ascii="Arial" w:cs="Arial" w:eastAsia="Arial" w:hAnsi="Arial"/>
                <w:sz w:val="20"/>
                <w:szCs w:val="20"/>
                <w:color w:val="auto"/>
                <w:w w:val="86"/>
              </w:rPr>
              <w:t>10.7+</w:t>
            </w:r>
          </w:p>
        </w:tc>
        <w:tc>
          <w:tcPr>
            <w:tcW w:w="2640" w:type="dxa"/>
            <w:vAlign w:val="bottom"/>
            <w:tcBorders>
              <w:top w:val="single" w:sz="8" w:color="1C2790"/>
              <w:bottom w:val="single" w:sz="8" w:color="1C2790"/>
            </w:tcBorders>
            <w:gridSpan w:val="5"/>
          </w:tcPr>
          <w:p>
            <w:pPr>
              <w:spacing w:after="0"/>
              <w:rPr>
                <w:sz w:val="20"/>
                <w:szCs w:val="20"/>
                <w:color w:val="auto"/>
              </w:rPr>
            </w:pPr>
            <w:r>
              <w:rPr>
                <w:rFonts w:ascii="Arial" w:cs="Arial" w:eastAsia="Arial" w:hAnsi="Arial"/>
                <w:sz w:val="20"/>
                <w:szCs w:val="20"/>
                <w:color w:val="1C2790"/>
                <w:w w:val="87"/>
              </w:rPr>
              <w:t>Executed Amended and Restated</w:t>
            </w:r>
          </w:p>
        </w:tc>
        <w:tc>
          <w:tcPr>
            <w:tcW w:w="520" w:type="dxa"/>
            <w:vAlign w:val="bottom"/>
            <w:tcBorders>
              <w:top w:val="single" w:sz="8" w:color="1C2790"/>
            </w:tcBorders>
            <w:gridSpan w:val="3"/>
          </w:tcPr>
          <w:p>
            <w:pPr>
              <w:spacing w:after="0"/>
              <w:rPr>
                <w:sz w:val="24"/>
                <w:szCs w:val="24"/>
                <w:color w:val="auto"/>
              </w:rPr>
            </w:pPr>
          </w:p>
        </w:tc>
        <w:tc>
          <w:tcPr>
            <w:tcW w:w="30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1300" w:type="dxa"/>
            <w:vAlign w:val="bottom"/>
          </w:tcPr>
          <w:p>
            <w:pPr>
              <w:spacing w:after="0"/>
              <w:rPr>
                <w:sz w:val="15"/>
                <w:szCs w:val="15"/>
                <w:color w:val="auto"/>
              </w:rPr>
            </w:pPr>
          </w:p>
        </w:tc>
        <w:tc>
          <w:tcPr>
            <w:tcW w:w="2900" w:type="dxa"/>
            <w:vAlign w:val="bottom"/>
            <w:tcBorders>
              <w:bottom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91"/>
              </w:rPr>
              <w:t>Employment Offer by Sotera Health</w:t>
            </w:r>
          </w:p>
        </w:tc>
        <w:tc>
          <w:tcPr>
            <w:tcW w:w="5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460" w:type="dxa"/>
            <w:vAlign w:val="bottom"/>
            <w:gridSpan w:val="15"/>
          </w:tcPr>
          <w:p>
            <w:pPr>
              <w:spacing w:after="0" w:line="176" w:lineRule="exact"/>
              <w:rPr>
                <w:sz w:val="20"/>
                <w:szCs w:val="20"/>
                <w:color w:val="auto"/>
              </w:rPr>
            </w:pPr>
            <w:r>
              <w:rPr>
                <w:rFonts w:ascii="Arial" w:cs="Arial" w:eastAsia="Arial" w:hAnsi="Arial"/>
                <w:sz w:val="20"/>
                <w:szCs w:val="20"/>
                <w:color w:val="1C2790"/>
                <w:w w:val="90"/>
              </w:rPr>
              <w:t>Company and Jonathan M. Lyons dated as</w:t>
            </w: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1660" w:type="dxa"/>
            <w:vAlign w:val="bottom"/>
            <w:tcBorders>
              <w:top w:val="single" w:sz="8" w:color="1C2790"/>
              <w:bottom w:val="single" w:sz="8" w:color="1C2790"/>
            </w:tcBorders>
            <w:gridSpan w:val="3"/>
          </w:tcPr>
          <w:p>
            <w:pPr>
              <w:spacing w:after="0" w:line="176" w:lineRule="exact"/>
              <w:rPr>
                <w:sz w:val="20"/>
                <w:szCs w:val="20"/>
                <w:color w:val="auto"/>
              </w:rPr>
            </w:pPr>
            <w:r>
              <w:rPr>
                <w:rFonts w:ascii="Arial" w:cs="Arial" w:eastAsia="Arial" w:hAnsi="Arial"/>
                <w:sz w:val="20"/>
                <w:szCs w:val="20"/>
                <w:color w:val="1C2790"/>
                <w:w w:val="88"/>
              </w:rPr>
              <w:t>of February 26, 2024</w:t>
            </w:r>
          </w:p>
        </w:tc>
        <w:tc>
          <w:tcPr>
            <w:tcW w:w="1720" w:type="dxa"/>
            <w:vAlign w:val="bottom"/>
            <w:tcBorders>
              <w:top w:val="single" w:sz="8" w:color="1C2790"/>
            </w:tcBorders>
            <w:gridSpan w:val="10"/>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65"/>
        </w:trPr>
        <w:tc>
          <w:tcPr>
            <w:tcW w:w="1300" w:type="dxa"/>
            <w:vAlign w:val="bottom"/>
          </w:tcPr>
          <w:p>
            <w:pPr>
              <w:jc w:val="right"/>
              <w:ind w:right="742"/>
              <w:spacing w:after="0"/>
              <w:rPr>
                <w:sz w:val="20"/>
                <w:szCs w:val="20"/>
                <w:color w:val="auto"/>
              </w:rPr>
            </w:pPr>
            <w:r>
              <w:rPr>
                <w:rFonts w:ascii="Arial" w:cs="Arial" w:eastAsia="Arial" w:hAnsi="Arial"/>
                <w:sz w:val="20"/>
                <w:szCs w:val="20"/>
                <w:color w:val="auto"/>
                <w:w w:val="86"/>
              </w:rPr>
              <w:t>10.8+</w:t>
            </w:r>
          </w:p>
        </w:tc>
        <w:tc>
          <w:tcPr>
            <w:tcW w:w="3460" w:type="dxa"/>
            <w:vAlign w:val="bottom"/>
            <w:tcBorders>
              <w:bottom w:val="single" w:sz="8" w:color="1C2790"/>
            </w:tcBorders>
            <w:gridSpan w:val="15"/>
          </w:tcPr>
          <w:p>
            <w:pPr>
              <w:spacing w:after="0"/>
              <w:rPr>
                <w:sz w:val="20"/>
                <w:szCs w:val="20"/>
                <w:color w:val="auto"/>
              </w:rPr>
            </w:pPr>
            <w:r>
              <w:rPr>
                <w:rFonts w:ascii="Arial" w:cs="Arial" w:eastAsia="Arial" w:hAnsi="Arial"/>
                <w:sz w:val="20"/>
                <w:szCs w:val="20"/>
                <w:color w:val="1C2790"/>
                <w:w w:val="88"/>
              </w:rPr>
              <w:t>Executed Restrictive Covenants Agreement</w:t>
            </w:r>
          </w:p>
        </w:tc>
        <w:tc>
          <w:tcPr>
            <w:tcW w:w="20" w:type="dxa"/>
            <w:vAlign w:val="bottom"/>
          </w:tcPr>
          <w:p>
            <w:pPr>
              <w:spacing w:after="0"/>
              <w:rPr>
                <w:sz w:val="24"/>
                <w:szCs w:val="24"/>
                <w:color w:val="auto"/>
              </w:rPr>
            </w:pPr>
          </w:p>
        </w:tc>
      </w:tr>
      <w:tr>
        <w:trPr>
          <w:trHeight w:val="176"/>
        </w:trPr>
        <w:tc>
          <w:tcPr>
            <w:tcW w:w="1300" w:type="dxa"/>
            <w:vAlign w:val="bottom"/>
          </w:tcPr>
          <w:p>
            <w:pPr>
              <w:spacing w:after="0"/>
              <w:rPr>
                <w:sz w:val="15"/>
                <w:szCs w:val="15"/>
                <w:color w:val="auto"/>
              </w:rPr>
            </w:pPr>
          </w:p>
        </w:tc>
        <w:tc>
          <w:tcPr>
            <w:tcW w:w="3460" w:type="dxa"/>
            <w:vAlign w:val="bottom"/>
            <w:gridSpan w:val="15"/>
          </w:tcPr>
          <w:p>
            <w:pPr>
              <w:spacing w:after="0" w:line="176" w:lineRule="exact"/>
              <w:rPr>
                <w:sz w:val="20"/>
                <w:szCs w:val="20"/>
                <w:color w:val="auto"/>
              </w:rPr>
            </w:pPr>
            <w:r>
              <w:rPr>
                <w:rFonts w:ascii="Arial" w:cs="Arial" w:eastAsia="Arial" w:hAnsi="Arial"/>
                <w:sz w:val="20"/>
                <w:szCs w:val="20"/>
                <w:color w:val="1C2790"/>
                <w:w w:val="95"/>
              </w:rPr>
              <w:t>by and between Sotera Health Company</w:t>
            </w: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200" w:type="dxa"/>
            <w:vAlign w:val="bottom"/>
            <w:tcBorders>
              <w:top w:val="single" w:sz="8" w:color="1C2790"/>
              <w:bottom w:val="single" w:sz="8" w:color="1C2790"/>
            </w:tcBorders>
            <w:gridSpan w:val="9"/>
          </w:tcPr>
          <w:p>
            <w:pPr>
              <w:spacing w:after="0" w:line="176" w:lineRule="exact"/>
              <w:rPr>
                <w:sz w:val="20"/>
                <w:szCs w:val="20"/>
                <w:color w:val="auto"/>
              </w:rPr>
            </w:pPr>
            <w:r>
              <w:rPr>
                <w:rFonts w:ascii="Arial" w:cs="Arial" w:eastAsia="Arial" w:hAnsi="Arial"/>
                <w:sz w:val="20"/>
                <w:szCs w:val="20"/>
                <w:color w:val="1C2790"/>
                <w:w w:val="87"/>
              </w:rPr>
              <w:t>and Jonathan M. Lyons dated as of June</w:t>
            </w:r>
          </w:p>
        </w:tc>
        <w:tc>
          <w:tcPr>
            <w:tcW w:w="260" w:type="dxa"/>
            <w:vAlign w:val="bottom"/>
            <w:tcBorders>
              <w:bottom w:val="single" w:sz="8" w:color="1C2790"/>
            </w:tcBorders>
            <w:gridSpan w:val="6"/>
          </w:tcPr>
          <w:p>
            <w:pPr>
              <w:jc w:val="right"/>
              <w:ind w:right="20"/>
              <w:spacing w:after="0" w:line="176" w:lineRule="exact"/>
              <w:rPr>
                <w:sz w:val="20"/>
                <w:szCs w:val="20"/>
                <w:color w:val="auto"/>
              </w:rPr>
            </w:pPr>
            <w:r>
              <w:rPr>
                <w:rFonts w:ascii="Arial" w:cs="Arial" w:eastAsia="Arial" w:hAnsi="Arial"/>
                <w:sz w:val="20"/>
                <w:szCs w:val="20"/>
                <w:color w:val="1C2790"/>
                <w:w w:val="78"/>
              </w:rPr>
              <w:t>26,</w:t>
            </w:r>
          </w:p>
        </w:tc>
        <w:tc>
          <w:tcPr>
            <w:tcW w:w="20" w:type="dxa"/>
            <w:vAlign w:val="bottom"/>
            <w:tcBorders>
              <w:bottom w:val="single" w:sz="8" w:color="1C2790"/>
            </w:tcBorders>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80" w:type="dxa"/>
            <w:vAlign w:val="bottom"/>
            <w:tcBorders>
              <w:bottom w:val="single" w:sz="8" w:color="1C2790"/>
            </w:tcBorders>
          </w:tcPr>
          <w:p>
            <w:pPr>
              <w:spacing w:after="0" w:line="176" w:lineRule="exact"/>
              <w:rPr>
                <w:sz w:val="20"/>
                <w:szCs w:val="20"/>
                <w:color w:val="auto"/>
              </w:rPr>
            </w:pPr>
            <w:r>
              <w:rPr>
                <w:rFonts w:ascii="Arial" w:cs="Arial" w:eastAsia="Arial" w:hAnsi="Arial"/>
                <w:sz w:val="20"/>
                <w:szCs w:val="20"/>
                <w:color w:val="1C2790"/>
                <w:w w:val="80"/>
              </w:rPr>
              <w:t>2023</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720" w:val="left"/>
          <w:tab w:leader="none" w:pos="192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10.7</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20" w:val="left"/>
          <w:tab w:leader="none" w:pos="192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10.8</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 w:leader="none" w:pos="192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10.9</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720" w:val="left"/>
          <w:tab w:leader="none" w:pos="192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10.7</w:t>
      </w:r>
      <w:r>
        <w:rPr>
          <w:sz w:val="20"/>
          <w:szCs w:val="20"/>
          <w:color w:val="auto"/>
        </w:rPr>
        <w:tab/>
      </w:r>
      <w:r>
        <w:rPr>
          <w:rFonts w:ascii="Arial" w:cs="Arial" w:eastAsia="Arial" w:hAnsi="Arial"/>
          <w:sz w:val="17"/>
          <w:szCs w:val="17"/>
          <w:color w:val="auto"/>
        </w:rPr>
        <w:t>2024-02-27</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720" w:val="left"/>
          <w:tab w:leader="none" w:pos="1920" w:val="left"/>
          <w:tab w:leader="none" w:pos="260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w:t>
      </w:r>
      <w:r>
        <w:rPr>
          <w:sz w:val="20"/>
          <w:szCs w:val="20"/>
          <w:color w:val="auto"/>
        </w:rPr>
        <w:tab/>
      </w:r>
      <w:r>
        <w:rPr>
          <w:rFonts w:ascii="Arial" w:cs="Arial" w:eastAsia="Arial" w:hAnsi="Arial"/>
          <w:sz w:val="17"/>
          <w:szCs w:val="17"/>
          <w:color w:val="auto"/>
        </w:rPr>
        <w:t>2023-08-03</w:t>
      </w:r>
    </w:p>
    <w:p>
      <w:pPr>
        <w:spacing w:after="0" w:line="433" w:lineRule="exact"/>
        <w:rPr>
          <w:sz w:val="20"/>
          <w:szCs w:val="20"/>
          <w:color w:val="auto"/>
        </w:rPr>
      </w:pPr>
    </w:p>
    <w:p>
      <w:pPr>
        <w:sectPr>
          <w:pgSz w:w="11880" w:h="15480" w:orient="portrait"/>
          <w:cols w:equalWidth="0" w:num="2">
            <w:col w:w="5660" w:space="720"/>
            <w:col w:w="3660"/>
          </w:cols>
          <w:pgMar w:left="920" w:top="579" w:right="920" w:bottom="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10.9+</w:t>
            </w:r>
          </w:p>
        </w:tc>
        <w:tc>
          <w:tcPr>
            <w:tcW w:w="3060" w:type="dxa"/>
            <w:vAlign w:val="bottom"/>
            <w:tcBorders>
              <w:bottom w:val="single" w:sz="8" w:color="1C2790"/>
            </w:tcBorders>
            <w:gridSpan w:val="10"/>
          </w:tcPr>
          <w:p>
            <w:pPr>
              <w:spacing w:after="0"/>
              <w:rPr>
                <w:sz w:val="20"/>
                <w:szCs w:val="20"/>
                <w:color w:val="auto"/>
              </w:rPr>
            </w:pPr>
            <w:r>
              <w:rPr>
                <w:rFonts w:ascii="Arial" w:cs="Arial" w:eastAsia="Arial" w:hAnsi="Arial"/>
                <w:sz w:val="20"/>
                <w:szCs w:val="20"/>
                <w:color w:val="1C2790"/>
                <w:w w:val="89"/>
              </w:rPr>
              <w:t>Sotera Health Company Supplemental</w:t>
            </w:r>
          </w:p>
        </w:tc>
        <w:tc>
          <w:tcPr>
            <w:tcW w:w="340" w:type="dxa"/>
            <w:vAlign w:val="bottom"/>
            <w:gridSpan w:val="6"/>
          </w:tcPr>
          <w:p>
            <w:pPr>
              <w:spacing w:after="0"/>
              <w:rPr>
                <w:sz w:val="19"/>
                <w:szCs w:val="19"/>
                <w:color w:val="auto"/>
              </w:rPr>
            </w:pPr>
          </w:p>
        </w:tc>
      </w:tr>
      <w:tr>
        <w:trPr>
          <w:trHeight w:val="176"/>
        </w:trPr>
        <w:tc>
          <w:tcPr>
            <w:tcW w:w="1300" w:type="dxa"/>
            <w:vAlign w:val="bottom"/>
          </w:tcPr>
          <w:p>
            <w:pPr>
              <w:spacing w:after="0"/>
              <w:rPr>
                <w:sz w:val="15"/>
                <w:szCs w:val="15"/>
                <w:color w:val="auto"/>
              </w:rPr>
            </w:pPr>
          </w:p>
        </w:tc>
        <w:tc>
          <w:tcPr>
            <w:tcW w:w="3400" w:type="dxa"/>
            <w:vAlign w:val="bottom"/>
            <w:gridSpan w:val="16"/>
          </w:tcPr>
          <w:p>
            <w:pPr>
              <w:spacing w:after="0" w:line="176" w:lineRule="exact"/>
              <w:rPr>
                <w:sz w:val="20"/>
                <w:szCs w:val="20"/>
                <w:color w:val="auto"/>
              </w:rPr>
            </w:pPr>
            <w:r>
              <w:rPr>
                <w:rFonts w:ascii="Arial" w:cs="Arial" w:eastAsia="Arial" w:hAnsi="Arial"/>
                <w:sz w:val="20"/>
                <w:szCs w:val="20"/>
                <w:color w:val="1C2790"/>
                <w:w w:val="97"/>
              </w:rPr>
              <w:t>Retirement Benefit Plan, effective as of</w:t>
            </w:r>
          </w:p>
        </w:tc>
      </w:tr>
      <w:tr>
        <w:trPr>
          <w:trHeight w:val="176"/>
        </w:trPr>
        <w:tc>
          <w:tcPr>
            <w:tcW w:w="1300" w:type="dxa"/>
            <w:vAlign w:val="bottom"/>
          </w:tcPr>
          <w:p>
            <w:pPr>
              <w:spacing w:after="0"/>
              <w:rPr>
                <w:sz w:val="15"/>
                <w:szCs w:val="15"/>
                <w:color w:val="auto"/>
              </w:rPr>
            </w:pPr>
          </w:p>
        </w:tc>
        <w:tc>
          <w:tcPr>
            <w:tcW w:w="3160" w:type="dxa"/>
            <w:vAlign w:val="bottom"/>
            <w:tcBorders>
              <w:top w:val="single" w:sz="8" w:color="1C2790"/>
            </w:tcBorders>
            <w:gridSpan w:val="12"/>
          </w:tcPr>
          <w:p>
            <w:pPr>
              <w:spacing w:after="0" w:line="176" w:lineRule="exact"/>
              <w:rPr>
                <w:sz w:val="20"/>
                <w:szCs w:val="20"/>
                <w:color w:val="auto"/>
              </w:rPr>
            </w:pPr>
            <w:r>
              <w:rPr>
                <w:rFonts w:ascii="Arial" w:cs="Arial" w:eastAsia="Arial" w:hAnsi="Arial"/>
                <w:sz w:val="20"/>
                <w:szCs w:val="20"/>
                <w:color w:val="1C2790"/>
              </w:rPr>
              <w:t>January 1, 2018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1C2790"/>
          </w:tcPr>
          <w:p>
            <w:pPr>
              <w:spacing w:after="0" w:line="20" w:lineRule="exact"/>
              <w:rPr>
                <w:sz w:val="1"/>
                <w:szCs w:val="1"/>
                <w:color w:val="auto"/>
              </w:rPr>
            </w:pPr>
          </w:p>
        </w:tc>
        <w:tc>
          <w:tcPr>
            <w:tcW w:w="120" w:type="dxa"/>
            <w:vAlign w:val="bottom"/>
            <w:shd w:val="clear" w:color="auto" w:fill="1C279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10.10+</w:t>
            </w:r>
          </w:p>
        </w:tc>
        <w:tc>
          <w:tcPr>
            <w:tcW w:w="3400" w:type="dxa"/>
            <w:vAlign w:val="bottom"/>
            <w:gridSpan w:val="16"/>
          </w:tcPr>
          <w:p>
            <w:pPr>
              <w:spacing w:after="0"/>
              <w:rPr>
                <w:sz w:val="20"/>
                <w:szCs w:val="20"/>
                <w:color w:val="auto"/>
              </w:rPr>
            </w:pPr>
            <w:r>
              <w:rPr>
                <w:rFonts w:ascii="Arial" w:cs="Arial" w:eastAsia="Arial" w:hAnsi="Arial"/>
                <w:sz w:val="20"/>
                <w:szCs w:val="20"/>
                <w:color w:val="1C2790"/>
                <w:w w:val="96"/>
              </w:rPr>
              <w:t>Sotera Health Company 2020 Omnibus</w:t>
            </w:r>
          </w:p>
        </w:tc>
      </w:tr>
      <w:tr>
        <w:trPr>
          <w:trHeight w:val="176"/>
        </w:trPr>
        <w:tc>
          <w:tcPr>
            <w:tcW w:w="1300" w:type="dxa"/>
            <w:vAlign w:val="bottom"/>
          </w:tcPr>
          <w:p>
            <w:pPr>
              <w:spacing w:after="0"/>
              <w:rPr>
                <w:sz w:val="15"/>
                <w:szCs w:val="15"/>
                <w:color w:val="auto"/>
              </w:rPr>
            </w:pPr>
          </w:p>
        </w:tc>
        <w:tc>
          <w:tcPr>
            <w:tcW w:w="3140" w:type="dxa"/>
            <w:vAlign w:val="bottom"/>
            <w:tcBorders>
              <w:top w:val="single" w:sz="8" w:color="1C2790"/>
            </w:tcBorders>
            <w:gridSpan w:val="11"/>
          </w:tcPr>
          <w:p>
            <w:pPr>
              <w:spacing w:after="0" w:line="176" w:lineRule="exact"/>
              <w:rPr>
                <w:sz w:val="20"/>
                <w:szCs w:val="20"/>
                <w:color w:val="auto"/>
              </w:rPr>
            </w:pPr>
            <w:r>
              <w:rPr>
                <w:rFonts w:ascii="Arial" w:cs="Arial" w:eastAsia="Arial" w:hAnsi="Arial"/>
                <w:sz w:val="20"/>
                <w:szCs w:val="20"/>
                <w:color w:val="1C2790"/>
              </w:rPr>
              <w:t>Incentive Plan</w:t>
            </w:r>
          </w:p>
        </w:tc>
        <w:tc>
          <w:tcPr>
            <w:tcW w:w="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1120" w:type="dxa"/>
            <w:vAlign w:val="bottom"/>
            <w:shd w:val="clear" w:color="auto" w:fill="1C279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1300" w:type="dxa"/>
            <w:vAlign w:val="bottom"/>
          </w:tcPr>
          <w:p>
            <w:pPr>
              <w:spacing w:after="0"/>
              <w:rPr>
                <w:sz w:val="20"/>
                <w:szCs w:val="20"/>
                <w:color w:val="auto"/>
              </w:rPr>
            </w:pPr>
            <w:r>
              <w:rPr>
                <w:rFonts w:ascii="Arial" w:cs="Arial" w:eastAsia="Arial" w:hAnsi="Arial"/>
                <w:sz w:val="20"/>
                <w:szCs w:val="20"/>
                <w:color w:val="auto"/>
              </w:rPr>
              <w:t>10.11+</w:t>
            </w:r>
          </w:p>
        </w:tc>
        <w:tc>
          <w:tcPr>
            <w:tcW w:w="3060" w:type="dxa"/>
            <w:vAlign w:val="bottom"/>
            <w:tcBorders>
              <w:bottom w:val="single" w:sz="8" w:color="1C2790"/>
            </w:tcBorders>
            <w:gridSpan w:val="10"/>
          </w:tcPr>
          <w:p>
            <w:pPr>
              <w:spacing w:after="0"/>
              <w:rPr>
                <w:sz w:val="20"/>
                <w:szCs w:val="20"/>
                <w:color w:val="auto"/>
              </w:rPr>
            </w:pPr>
            <w:r>
              <w:rPr>
                <w:rFonts w:ascii="Arial" w:cs="Arial" w:eastAsia="Arial" w:hAnsi="Arial"/>
                <w:sz w:val="20"/>
                <w:szCs w:val="20"/>
                <w:color w:val="1C2790"/>
                <w:w w:val="89"/>
              </w:rPr>
              <w:t>Form of Sotera Health Company 2020</w:t>
            </w:r>
          </w:p>
        </w:tc>
        <w:tc>
          <w:tcPr>
            <w:tcW w:w="340" w:type="dxa"/>
            <w:vAlign w:val="bottom"/>
            <w:gridSpan w:val="6"/>
          </w:tcPr>
          <w:p>
            <w:pPr>
              <w:spacing w:after="0"/>
              <w:rPr>
                <w:sz w:val="24"/>
                <w:szCs w:val="24"/>
                <w:color w:val="auto"/>
              </w:rPr>
            </w:pPr>
          </w:p>
        </w:tc>
      </w:tr>
      <w:tr>
        <w:trPr>
          <w:trHeight w:val="176"/>
        </w:trPr>
        <w:tc>
          <w:tcPr>
            <w:tcW w:w="1300" w:type="dxa"/>
            <w:vAlign w:val="bottom"/>
          </w:tcPr>
          <w:p>
            <w:pPr>
              <w:spacing w:after="0"/>
              <w:rPr>
                <w:sz w:val="15"/>
                <w:szCs w:val="15"/>
                <w:color w:val="auto"/>
              </w:rPr>
            </w:pPr>
          </w:p>
        </w:tc>
        <w:tc>
          <w:tcPr>
            <w:tcW w:w="3400" w:type="dxa"/>
            <w:vAlign w:val="bottom"/>
            <w:gridSpan w:val="16"/>
          </w:tcPr>
          <w:p>
            <w:pPr>
              <w:spacing w:after="0" w:line="176" w:lineRule="exact"/>
              <w:rPr>
                <w:sz w:val="20"/>
                <w:szCs w:val="20"/>
                <w:color w:val="auto"/>
              </w:rPr>
            </w:pPr>
            <w:r>
              <w:rPr>
                <w:rFonts w:ascii="Arial" w:cs="Arial" w:eastAsia="Arial" w:hAnsi="Arial"/>
                <w:sz w:val="20"/>
                <w:szCs w:val="20"/>
                <w:color w:val="1C2790"/>
                <w:w w:val="93"/>
              </w:rPr>
              <w:t>Omnibus Incentive Plan Restricted Stock</w:t>
            </w:r>
          </w:p>
        </w:tc>
      </w:tr>
      <w:tr>
        <w:trPr>
          <w:trHeight w:val="176"/>
        </w:trPr>
        <w:tc>
          <w:tcPr>
            <w:tcW w:w="1300" w:type="dxa"/>
            <w:vAlign w:val="bottom"/>
          </w:tcPr>
          <w:p>
            <w:pPr>
              <w:spacing w:after="0"/>
              <w:rPr>
                <w:sz w:val="15"/>
                <w:szCs w:val="15"/>
                <w:color w:val="auto"/>
              </w:rPr>
            </w:pPr>
          </w:p>
        </w:tc>
        <w:tc>
          <w:tcPr>
            <w:tcW w:w="3280" w:type="dxa"/>
            <w:vAlign w:val="bottom"/>
            <w:tcBorders>
              <w:top w:val="single" w:sz="8" w:color="1C2790"/>
            </w:tcBorders>
            <w:gridSpan w:val="14"/>
          </w:tcPr>
          <w:p>
            <w:pPr>
              <w:spacing w:after="0" w:line="176" w:lineRule="exact"/>
              <w:rPr>
                <w:sz w:val="20"/>
                <w:szCs w:val="20"/>
                <w:color w:val="auto"/>
              </w:rPr>
            </w:pPr>
            <w:r>
              <w:rPr>
                <w:rFonts w:ascii="Arial" w:cs="Arial" w:eastAsia="Arial" w:hAnsi="Arial"/>
                <w:sz w:val="20"/>
                <w:szCs w:val="20"/>
                <w:color w:val="1C2790"/>
              </w:rPr>
              <w:t>Unit Grant Notice and Agreement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gridSpan w:val="3"/>
            <w:shd w:val="clear" w:color="auto" w:fill="1C2790"/>
          </w:tcPr>
          <w:p>
            <w:pPr>
              <w:spacing w:after="0" w:line="20" w:lineRule="exact"/>
              <w:rPr>
                <w:sz w:val="1"/>
                <w:szCs w:val="1"/>
                <w:color w:val="auto"/>
              </w:rPr>
            </w:pPr>
          </w:p>
        </w:tc>
        <w:tc>
          <w:tcPr>
            <w:tcW w:w="320" w:type="dxa"/>
            <w:vAlign w:val="bottom"/>
            <w:shd w:val="clear" w:color="auto" w:fill="1C2790"/>
          </w:tcPr>
          <w:p>
            <w:pPr>
              <w:spacing w:after="0" w:line="20" w:lineRule="exact"/>
              <w:rPr>
                <w:sz w:val="1"/>
                <w:szCs w:val="1"/>
                <w:color w:val="auto"/>
              </w:rPr>
            </w:pPr>
          </w:p>
        </w:tc>
        <w:tc>
          <w:tcPr>
            <w:tcW w:w="400" w:type="dxa"/>
            <w:vAlign w:val="bottom"/>
            <w:shd w:val="clear" w:color="auto" w:fill="1C279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10.12+</w:t>
            </w:r>
          </w:p>
        </w:tc>
        <w:tc>
          <w:tcPr>
            <w:tcW w:w="3400" w:type="dxa"/>
            <w:vAlign w:val="bottom"/>
            <w:gridSpan w:val="16"/>
          </w:tcPr>
          <w:p>
            <w:pPr>
              <w:spacing w:after="0"/>
              <w:rPr>
                <w:sz w:val="20"/>
                <w:szCs w:val="20"/>
                <w:color w:val="auto"/>
              </w:rPr>
            </w:pPr>
            <w:r>
              <w:rPr>
                <w:rFonts w:ascii="Arial" w:cs="Arial" w:eastAsia="Arial" w:hAnsi="Arial"/>
                <w:sz w:val="20"/>
                <w:szCs w:val="20"/>
                <w:color w:val="1C2790"/>
              </w:rPr>
              <w:t>Form of Sotera Health Company 2020</w:t>
            </w:r>
          </w:p>
        </w:tc>
      </w:tr>
      <w:tr>
        <w:trPr>
          <w:trHeight w:val="176"/>
        </w:trPr>
        <w:tc>
          <w:tcPr>
            <w:tcW w:w="1300" w:type="dxa"/>
            <w:vAlign w:val="bottom"/>
          </w:tcPr>
          <w:p>
            <w:pPr>
              <w:spacing w:after="0"/>
              <w:rPr>
                <w:sz w:val="15"/>
                <w:szCs w:val="15"/>
                <w:color w:val="auto"/>
              </w:rPr>
            </w:pPr>
          </w:p>
        </w:tc>
        <w:tc>
          <w:tcPr>
            <w:tcW w:w="3060" w:type="dxa"/>
            <w:vAlign w:val="bottom"/>
            <w:tcBorders>
              <w:top w:val="single" w:sz="8" w:color="1C2790"/>
            </w:tcBorders>
            <w:gridSpan w:val="10"/>
          </w:tcPr>
          <w:p>
            <w:pPr>
              <w:spacing w:after="0" w:line="176" w:lineRule="exact"/>
              <w:rPr>
                <w:sz w:val="20"/>
                <w:szCs w:val="20"/>
                <w:color w:val="auto"/>
              </w:rPr>
            </w:pPr>
            <w:r>
              <w:rPr>
                <w:rFonts w:ascii="Arial" w:cs="Arial" w:eastAsia="Arial" w:hAnsi="Arial"/>
                <w:sz w:val="20"/>
                <w:szCs w:val="20"/>
                <w:color w:val="1C2790"/>
                <w:w w:val="91"/>
              </w:rPr>
              <w:t>Omnibus Incentive Plan Stock Option</w:t>
            </w:r>
          </w:p>
        </w:tc>
        <w:tc>
          <w:tcPr>
            <w:tcW w:w="120" w:type="dxa"/>
            <w:vAlign w:val="bottom"/>
            <w:gridSpan w:val="3"/>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020" w:type="dxa"/>
            <w:vAlign w:val="bottom"/>
            <w:tcBorders>
              <w:top w:val="single" w:sz="8" w:color="1C2790"/>
            </w:tcBorders>
            <w:gridSpan w:val="9"/>
          </w:tcPr>
          <w:p>
            <w:pPr>
              <w:spacing w:after="0" w:line="176" w:lineRule="exact"/>
              <w:rPr>
                <w:sz w:val="20"/>
                <w:szCs w:val="20"/>
                <w:color w:val="auto"/>
              </w:rPr>
            </w:pPr>
            <w:r>
              <w:rPr>
                <w:rFonts w:ascii="Arial" w:cs="Arial" w:eastAsia="Arial" w:hAnsi="Arial"/>
                <w:sz w:val="20"/>
                <w:szCs w:val="20"/>
                <w:color w:val="1C2790"/>
              </w:rPr>
              <w:t>Grant Notice and Agreement</w:t>
            </w:r>
          </w:p>
        </w:tc>
        <w:tc>
          <w:tcPr>
            <w:tcW w:w="16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1940" w:type="dxa"/>
            <w:vAlign w:val="bottom"/>
            <w:gridSpan w:val="3"/>
            <w:shd w:val="clear" w:color="auto" w:fill="1C2790"/>
          </w:tcPr>
          <w:p>
            <w:pPr>
              <w:spacing w:after="0" w:line="20" w:lineRule="exact"/>
              <w:rPr>
                <w:sz w:val="1"/>
                <w:szCs w:val="1"/>
                <w:color w:val="auto"/>
              </w:rPr>
            </w:pPr>
          </w:p>
        </w:tc>
        <w:tc>
          <w:tcPr>
            <w:tcW w:w="320" w:type="dxa"/>
            <w:vAlign w:val="bottom"/>
            <w:shd w:val="clear" w:color="auto" w:fill="1C279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10.13</w:t>
            </w:r>
          </w:p>
        </w:tc>
        <w:tc>
          <w:tcPr>
            <w:tcW w:w="2900" w:type="dxa"/>
            <w:vAlign w:val="bottom"/>
            <w:tcBorders>
              <w:bottom w:val="single" w:sz="8" w:color="1C2790"/>
            </w:tcBorders>
            <w:gridSpan w:val="8"/>
          </w:tcPr>
          <w:p>
            <w:pPr>
              <w:spacing w:after="0"/>
              <w:rPr>
                <w:sz w:val="20"/>
                <w:szCs w:val="20"/>
                <w:color w:val="auto"/>
              </w:rPr>
            </w:pPr>
            <w:r>
              <w:rPr>
                <w:rFonts w:ascii="Arial" w:cs="Arial" w:eastAsia="Arial" w:hAnsi="Arial"/>
                <w:sz w:val="20"/>
                <w:szCs w:val="20"/>
                <w:color w:val="1C2790"/>
                <w:w w:val="92"/>
              </w:rPr>
              <w:t>Form of Indemnification Agreement</w:t>
            </w:r>
          </w:p>
        </w:tc>
        <w:tc>
          <w:tcPr>
            <w:tcW w:w="500" w:type="dxa"/>
            <w:vAlign w:val="bottom"/>
            <w:gridSpan w:val="8"/>
          </w:tcPr>
          <w:p>
            <w:pPr>
              <w:spacing w:after="0"/>
              <w:rPr>
                <w:sz w:val="24"/>
                <w:szCs w:val="24"/>
                <w:color w:val="auto"/>
              </w:rPr>
            </w:pPr>
          </w:p>
        </w:tc>
      </w:tr>
      <w:tr>
        <w:trPr>
          <w:trHeight w:val="176"/>
        </w:trPr>
        <w:tc>
          <w:tcPr>
            <w:tcW w:w="1300" w:type="dxa"/>
            <w:vAlign w:val="bottom"/>
          </w:tcPr>
          <w:p>
            <w:pPr>
              <w:spacing w:after="0"/>
              <w:rPr>
                <w:sz w:val="15"/>
                <w:szCs w:val="15"/>
                <w:color w:val="auto"/>
              </w:rPr>
            </w:pPr>
          </w:p>
        </w:tc>
        <w:tc>
          <w:tcPr>
            <w:tcW w:w="3400" w:type="dxa"/>
            <w:vAlign w:val="bottom"/>
            <w:gridSpan w:val="16"/>
          </w:tcPr>
          <w:p>
            <w:pPr>
              <w:spacing w:after="0" w:line="176" w:lineRule="exact"/>
              <w:rPr>
                <w:sz w:val="20"/>
                <w:szCs w:val="20"/>
                <w:color w:val="auto"/>
              </w:rPr>
            </w:pPr>
            <w:r>
              <w:rPr>
                <w:rFonts w:ascii="Arial" w:cs="Arial" w:eastAsia="Arial" w:hAnsi="Arial"/>
                <w:sz w:val="20"/>
                <w:szCs w:val="20"/>
                <w:color w:val="1C2790"/>
                <w:w w:val="94"/>
              </w:rPr>
              <w:t>entered into between the Registrant and</w:t>
            </w:r>
          </w:p>
        </w:tc>
      </w:tr>
      <w:tr>
        <w:trPr>
          <w:trHeight w:val="176"/>
        </w:trPr>
        <w:tc>
          <w:tcPr>
            <w:tcW w:w="1300" w:type="dxa"/>
            <w:vAlign w:val="bottom"/>
          </w:tcPr>
          <w:p>
            <w:pPr>
              <w:spacing w:after="0"/>
              <w:rPr>
                <w:sz w:val="15"/>
                <w:szCs w:val="15"/>
                <w:color w:val="auto"/>
              </w:rPr>
            </w:pPr>
          </w:p>
        </w:tc>
        <w:tc>
          <w:tcPr>
            <w:tcW w:w="2720" w:type="dxa"/>
            <w:vAlign w:val="bottom"/>
            <w:tcBorders>
              <w:top w:val="single" w:sz="8" w:color="1C2790"/>
              <w:bottom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88"/>
              </w:rPr>
              <w:t>each director and executive officer</w:t>
            </w:r>
          </w:p>
        </w:tc>
        <w:tc>
          <w:tcPr>
            <w:tcW w:w="460" w:type="dxa"/>
            <w:vAlign w:val="bottom"/>
            <w:tcBorders>
              <w:top w:val="single" w:sz="8" w:color="1C2790"/>
            </w:tcBorders>
            <w:gridSpan w:val="7"/>
          </w:tcPr>
          <w:p>
            <w:pPr>
              <w:spacing w:after="0"/>
              <w:rPr>
                <w:sz w:val="15"/>
                <w:szCs w:val="15"/>
                <w:color w:val="auto"/>
              </w:rPr>
            </w:pPr>
          </w:p>
        </w:tc>
        <w:tc>
          <w:tcPr>
            <w:tcW w:w="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10.14</w:t>
            </w:r>
          </w:p>
        </w:tc>
        <w:tc>
          <w:tcPr>
            <w:tcW w:w="1940" w:type="dxa"/>
            <w:vAlign w:val="bottom"/>
            <w:tcBorders>
              <w:bottom w:val="single" w:sz="8" w:color="1C2790"/>
            </w:tcBorders>
            <w:gridSpan w:val="3"/>
          </w:tcPr>
          <w:p>
            <w:pPr>
              <w:spacing w:after="0"/>
              <w:rPr>
                <w:sz w:val="20"/>
                <w:szCs w:val="20"/>
                <w:color w:val="auto"/>
              </w:rPr>
            </w:pPr>
            <w:r>
              <w:rPr>
                <w:rFonts w:ascii="Arial" w:cs="Arial" w:eastAsia="Arial" w:hAnsi="Arial"/>
                <w:sz w:val="20"/>
                <w:szCs w:val="20"/>
                <w:color w:val="1C2790"/>
                <w:w w:val="87"/>
              </w:rPr>
              <w:t>Stockholders Agreement</w:t>
            </w:r>
          </w:p>
        </w:tc>
        <w:tc>
          <w:tcPr>
            <w:tcW w:w="1460" w:type="dxa"/>
            <w:vAlign w:val="bottom"/>
            <w:gridSpan w:val="13"/>
          </w:tcPr>
          <w:p>
            <w:pPr>
              <w:spacing w:after="0"/>
              <w:rPr>
                <w:sz w:val="24"/>
                <w:szCs w:val="24"/>
                <w:color w:val="auto"/>
              </w:rPr>
            </w:pPr>
          </w:p>
        </w:tc>
      </w:tr>
      <w:tr>
        <w:trPr>
          <w:trHeight w:val="377"/>
        </w:trPr>
        <w:tc>
          <w:tcPr>
            <w:tcW w:w="1300" w:type="dxa"/>
            <w:vAlign w:val="bottom"/>
          </w:tcPr>
          <w:p>
            <w:pPr>
              <w:spacing w:after="0"/>
              <w:rPr>
                <w:sz w:val="20"/>
                <w:szCs w:val="20"/>
                <w:color w:val="auto"/>
              </w:rPr>
            </w:pPr>
            <w:r>
              <w:rPr>
                <w:rFonts w:ascii="Arial" w:cs="Arial" w:eastAsia="Arial" w:hAnsi="Arial"/>
                <w:sz w:val="20"/>
                <w:szCs w:val="20"/>
                <w:color w:val="auto"/>
              </w:rPr>
              <w:t>10.15</w:t>
            </w:r>
          </w:p>
        </w:tc>
        <w:tc>
          <w:tcPr>
            <w:tcW w:w="2840" w:type="dxa"/>
            <w:vAlign w:val="bottom"/>
            <w:tcBorders>
              <w:bottom w:val="single" w:sz="8" w:color="1C2790"/>
            </w:tcBorders>
            <w:gridSpan w:val="7"/>
          </w:tcPr>
          <w:p>
            <w:pPr>
              <w:spacing w:after="0"/>
              <w:rPr>
                <w:sz w:val="20"/>
                <w:szCs w:val="20"/>
                <w:color w:val="auto"/>
              </w:rPr>
            </w:pPr>
            <w:r>
              <w:rPr>
                <w:rFonts w:ascii="Arial" w:cs="Arial" w:eastAsia="Arial" w:hAnsi="Arial"/>
                <w:sz w:val="20"/>
                <w:szCs w:val="20"/>
                <w:color w:val="1C2790"/>
                <w:w w:val="88"/>
              </w:rPr>
              <w:t>2019 Credit Agreement, dated as of</w:t>
            </w:r>
          </w:p>
        </w:tc>
        <w:tc>
          <w:tcPr>
            <w:tcW w:w="560" w:type="dxa"/>
            <w:vAlign w:val="bottom"/>
            <w:gridSpan w:val="9"/>
          </w:tcPr>
          <w:p>
            <w:pPr>
              <w:spacing w:after="0"/>
              <w:rPr>
                <w:sz w:val="24"/>
                <w:szCs w:val="24"/>
                <w:color w:val="auto"/>
              </w:rPr>
            </w:pPr>
          </w:p>
        </w:tc>
      </w:tr>
      <w:tr>
        <w:trPr>
          <w:trHeight w:val="176"/>
        </w:trPr>
        <w:tc>
          <w:tcPr>
            <w:tcW w:w="1300" w:type="dxa"/>
            <w:vAlign w:val="bottom"/>
          </w:tcPr>
          <w:p>
            <w:pPr>
              <w:spacing w:after="0"/>
              <w:rPr>
                <w:sz w:val="15"/>
                <w:szCs w:val="15"/>
                <w:color w:val="auto"/>
              </w:rPr>
            </w:pPr>
          </w:p>
        </w:tc>
        <w:tc>
          <w:tcPr>
            <w:tcW w:w="3400" w:type="dxa"/>
            <w:vAlign w:val="bottom"/>
            <w:tcBorders>
              <w:bottom w:val="single" w:sz="8" w:color="1C2790"/>
            </w:tcBorders>
            <w:gridSpan w:val="16"/>
          </w:tcPr>
          <w:p>
            <w:pPr>
              <w:spacing w:after="0" w:line="176" w:lineRule="exact"/>
              <w:rPr>
                <w:sz w:val="20"/>
                <w:szCs w:val="20"/>
                <w:color w:val="auto"/>
              </w:rPr>
            </w:pPr>
            <w:r>
              <w:rPr>
                <w:rFonts w:ascii="Arial" w:cs="Arial" w:eastAsia="Arial" w:hAnsi="Arial"/>
                <w:sz w:val="20"/>
                <w:szCs w:val="20"/>
                <w:color w:val="1C2790"/>
                <w:w w:val="88"/>
              </w:rPr>
              <w:t>December 13, 2019, among the Registrant,</w:t>
            </w:r>
          </w:p>
        </w:tc>
      </w:tr>
      <w:tr>
        <w:trPr>
          <w:trHeight w:val="176"/>
        </w:trPr>
        <w:tc>
          <w:tcPr>
            <w:tcW w:w="1300" w:type="dxa"/>
            <w:vAlign w:val="bottom"/>
          </w:tcPr>
          <w:p>
            <w:pPr>
              <w:spacing w:after="0"/>
              <w:rPr>
                <w:sz w:val="15"/>
                <w:szCs w:val="15"/>
                <w:color w:val="auto"/>
              </w:rPr>
            </w:pPr>
          </w:p>
        </w:tc>
        <w:tc>
          <w:tcPr>
            <w:tcW w:w="3400" w:type="dxa"/>
            <w:vAlign w:val="bottom"/>
            <w:gridSpan w:val="16"/>
          </w:tcPr>
          <w:p>
            <w:pPr>
              <w:spacing w:after="0" w:line="176" w:lineRule="exact"/>
              <w:rPr>
                <w:sz w:val="20"/>
                <w:szCs w:val="20"/>
                <w:color w:val="auto"/>
              </w:rPr>
            </w:pPr>
            <w:r>
              <w:rPr>
                <w:rFonts w:ascii="Arial" w:cs="Arial" w:eastAsia="Arial" w:hAnsi="Arial"/>
                <w:sz w:val="20"/>
                <w:szCs w:val="20"/>
                <w:color w:val="1C2790"/>
                <w:w w:val="92"/>
              </w:rPr>
              <w:t>Sotera Health Holdings, LLC, the lenders</w:t>
            </w:r>
          </w:p>
        </w:tc>
      </w:tr>
      <w:tr>
        <w:trPr>
          <w:trHeight w:val="181"/>
        </w:trPr>
        <w:tc>
          <w:tcPr>
            <w:tcW w:w="1300" w:type="dxa"/>
            <w:vAlign w:val="bottom"/>
          </w:tcPr>
          <w:p>
            <w:pPr>
              <w:spacing w:after="0"/>
              <w:rPr>
                <w:sz w:val="15"/>
                <w:szCs w:val="15"/>
                <w:color w:val="auto"/>
              </w:rPr>
            </w:pPr>
          </w:p>
        </w:tc>
        <w:tc>
          <w:tcPr>
            <w:tcW w:w="3300" w:type="dxa"/>
            <w:vAlign w:val="bottom"/>
            <w:tcBorders>
              <w:top w:val="single" w:sz="8" w:color="1C2790"/>
            </w:tcBorders>
            <w:gridSpan w:val="15"/>
          </w:tcPr>
          <w:p>
            <w:pPr>
              <w:spacing w:after="0" w:line="181" w:lineRule="exact"/>
              <w:rPr>
                <w:sz w:val="20"/>
                <w:szCs w:val="20"/>
                <w:color w:val="auto"/>
              </w:rPr>
            </w:pPr>
            <w:r>
              <w:rPr>
                <w:rFonts w:ascii="Arial" w:cs="Arial" w:eastAsia="Arial" w:hAnsi="Arial"/>
                <w:sz w:val="20"/>
                <w:szCs w:val="20"/>
                <w:u w:val="single" w:color="auto"/>
                <w:color w:val="1C2790"/>
              </w:rPr>
              <w:t>and issuing banks party thereto and</w:t>
            </w:r>
          </w:p>
        </w:tc>
        <w:tc>
          <w:tcPr>
            <w:tcW w:w="100" w:type="dxa"/>
            <w:vAlign w:val="bottom"/>
          </w:tcPr>
          <w:p>
            <w:pPr>
              <w:spacing w:after="0"/>
              <w:rPr>
                <w:sz w:val="15"/>
                <w:szCs w:val="15"/>
                <w:color w:val="auto"/>
              </w:rPr>
            </w:pPr>
          </w:p>
        </w:tc>
      </w:tr>
    </w:tbl>
    <w:p>
      <w:pPr>
        <w:ind w:left="1340" w:right="900"/>
        <w:spacing w:after="0" w:line="217" w:lineRule="auto"/>
        <w:rPr>
          <w:sz w:val="20"/>
          <w:szCs w:val="20"/>
          <w:color w:val="auto"/>
        </w:rPr>
      </w:pPr>
      <w:r>
        <w:rPr>
          <w:rFonts w:ascii="Arial" w:cs="Arial" w:eastAsia="Arial" w:hAnsi="Arial"/>
          <w:sz w:val="20"/>
          <w:szCs w:val="20"/>
          <w:u w:val="single" w:color="auto"/>
          <w:color w:val="1C2790"/>
        </w:rPr>
        <w:t>Jefferies Finance LLC, as first lien administrative agent and first lien collateral agent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680" w:val="left"/>
          <w:tab w:leader="none" w:pos="1940" w:val="left"/>
          <w:tab w:leader="none" w:pos="2620" w:val="left"/>
        </w:tabs>
        <w:rPr>
          <w:sz w:val="20"/>
          <w:szCs w:val="20"/>
          <w:color w:val="auto"/>
        </w:rPr>
      </w:pPr>
      <w:r>
        <w:rPr>
          <w:rFonts w:ascii="Arial" w:cs="Arial" w:eastAsia="Arial" w:hAnsi="Arial"/>
          <w:sz w:val="20"/>
          <w:szCs w:val="20"/>
          <w:color w:val="auto"/>
        </w:rPr>
        <w:t>S-1/A</w:t>
        <w:tab/>
        <w:t>333-249648</w:t>
        <w:tab/>
        <w:t>10.4</w:t>
      </w:r>
      <w:r>
        <w:rPr>
          <w:sz w:val="20"/>
          <w:szCs w:val="20"/>
          <w:color w:val="auto"/>
        </w:rPr>
        <w:tab/>
      </w:r>
      <w:r>
        <w:rPr>
          <w:rFonts w:ascii="Arial" w:cs="Arial" w:eastAsia="Arial" w:hAnsi="Arial"/>
          <w:sz w:val="17"/>
          <w:szCs w:val="17"/>
          <w:color w:val="auto"/>
        </w:rPr>
        <w:t>2020-11-12</w:t>
      </w: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 w:leader="none" w:pos="1940" w:val="left"/>
          <w:tab w:leader="none" w:pos="2620" w:val="left"/>
        </w:tabs>
        <w:rPr>
          <w:sz w:val="20"/>
          <w:szCs w:val="20"/>
          <w:color w:val="auto"/>
        </w:rPr>
      </w:pPr>
      <w:r>
        <w:rPr>
          <w:rFonts w:ascii="Arial" w:cs="Arial" w:eastAsia="Arial" w:hAnsi="Arial"/>
          <w:sz w:val="20"/>
          <w:szCs w:val="20"/>
          <w:color w:val="auto"/>
        </w:rPr>
        <w:t>S-1/A</w:t>
        <w:tab/>
        <w:t>333-249648</w:t>
        <w:tab/>
        <w:t>10.5</w:t>
      </w:r>
      <w:r>
        <w:rPr>
          <w:sz w:val="20"/>
          <w:szCs w:val="20"/>
          <w:color w:val="auto"/>
        </w:rPr>
        <w:tab/>
      </w:r>
      <w:r>
        <w:rPr>
          <w:rFonts w:ascii="Arial" w:cs="Arial" w:eastAsia="Arial" w:hAnsi="Arial"/>
          <w:sz w:val="17"/>
          <w:szCs w:val="17"/>
          <w:color w:val="auto"/>
        </w:rPr>
        <w:t>2020-11-12</w:t>
      </w:r>
    </w:p>
    <w:p>
      <w:pPr>
        <w:spacing w:after="0" w:line="200" w:lineRule="exact"/>
        <w:rPr>
          <w:sz w:val="20"/>
          <w:szCs w:val="20"/>
          <w:color w:val="auto"/>
        </w:rPr>
      </w:pPr>
    </w:p>
    <w:p>
      <w:pPr>
        <w:spacing w:after="0" w:line="246" w:lineRule="exact"/>
        <w:rPr>
          <w:sz w:val="20"/>
          <w:szCs w:val="20"/>
          <w:color w:val="auto"/>
        </w:rPr>
      </w:pPr>
    </w:p>
    <w:p>
      <w:pPr>
        <w:spacing w:after="0"/>
        <w:tabs>
          <w:tab w:leader="none" w:pos="680" w:val="left"/>
          <w:tab w:leader="none" w:pos="1940" w:val="left"/>
          <w:tab w:leader="none" w:pos="2620" w:val="left"/>
        </w:tabs>
        <w:rPr>
          <w:sz w:val="20"/>
          <w:szCs w:val="20"/>
          <w:color w:val="auto"/>
        </w:rPr>
      </w:pPr>
      <w:r>
        <w:rPr>
          <w:rFonts w:ascii="Arial" w:cs="Arial" w:eastAsia="Arial" w:hAnsi="Arial"/>
          <w:sz w:val="20"/>
          <w:szCs w:val="20"/>
          <w:color w:val="auto"/>
        </w:rPr>
        <w:t>S-1/A</w:t>
        <w:tab/>
        <w:t>333-249648</w:t>
        <w:tab/>
        <w:t>10.6</w:t>
      </w:r>
      <w:r>
        <w:rPr>
          <w:sz w:val="20"/>
          <w:szCs w:val="20"/>
          <w:color w:val="auto"/>
        </w:rPr>
        <w:tab/>
      </w:r>
      <w:r>
        <w:rPr>
          <w:rFonts w:ascii="Arial" w:cs="Arial" w:eastAsia="Arial" w:hAnsi="Arial"/>
          <w:sz w:val="17"/>
          <w:szCs w:val="17"/>
          <w:color w:val="auto"/>
        </w:rPr>
        <w:t>2020-11-12</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 w:leader="none" w:pos="1940" w:val="left"/>
          <w:tab w:leader="none" w:pos="2620" w:val="left"/>
        </w:tabs>
        <w:rPr>
          <w:sz w:val="20"/>
          <w:szCs w:val="20"/>
          <w:color w:val="auto"/>
        </w:rPr>
      </w:pPr>
      <w:r>
        <w:rPr>
          <w:rFonts w:ascii="Arial" w:cs="Arial" w:eastAsia="Arial" w:hAnsi="Arial"/>
          <w:sz w:val="20"/>
          <w:szCs w:val="20"/>
          <w:color w:val="auto"/>
        </w:rPr>
        <w:t>S-1/A</w:t>
        <w:tab/>
        <w:t>333-249648</w:t>
        <w:tab/>
        <w:t>10.7</w:t>
      </w:r>
      <w:r>
        <w:rPr>
          <w:sz w:val="20"/>
          <w:szCs w:val="20"/>
          <w:color w:val="auto"/>
        </w:rPr>
        <w:tab/>
      </w:r>
      <w:r>
        <w:rPr>
          <w:rFonts w:ascii="Arial" w:cs="Arial" w:eastAsia="Arial" w:hAnsi="Arial"/>
          <w:sz w:val="17"/>
          <w:szCs w:val="17"/>
          <w:color w:val="auto"/>
        </w:rPr>
        <w:t>2020-11-12</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 w:leader="none" w:pos="1940" w:val="left"/>
          <w:tab w:leader="none" w:pos="2620" w:val="left"/>
        </w:tabs>
        <w:rPr>
          <w:sz w:val="20"/>
          <w:szCs w:val="20"/>
          <w:color w:val="auto"/>
        </w:rPr>
      </w:pPr>
      <w:r>
        <w:rPr>
          <w:rFonts w:ascii="Arial" w:cs="Arial" w:eastAsia="Arial" w:hAnsi="Arial"/>
          <w:sz w:val="20"/>
          <w:szCs w:val="20"/>
          <w:color w:val="auto"/>
        </w:rPr>
        <w:t>S-1/A</w:t>
        <w:tab/>
        <w:t>333-249648</w:t>
        <w:tab/>
        <w:t>10.8</w:t>
      </w:r>
      <w:r>
        <w:rPr>
          <w:sz w:val="20"/>
          <w:szCs w:val="20"/>
          <w:color w:val="auto"/>
        </w:rPr>
        <w:tab/>
      </w:r>
      <w:r>
        <w:rPr>
          <w:rFonts w:ascii="Arial" w:cs="Arial" w:eastAsia="Arial" w:hAnsi="Arial"/>
          <w:sz w:val="17"/>
          <w:szCs w:val="17"/>
          <w:color w:val="auto"/>
        </w:rPr>
        <w:t>2020-11-02</w:t>
      </w:r>
    </w:p>
    <w:p>
      <w:pPr>
        <w:spacing w:after="0" w:line="358" w:lineRule="exact"/>
        <w:rPr>
          <w:sz w:val="20"/>
          <w:szCs w:val="20"/>
          <w:color w:val="auto"/>
        </w:rPr>
      </w:pPr>
    </w:p>
    <w:p>
      <w:pPr>
        <w:ind w:left="20"/>
        <w:spacing w:after="0"/>
        <w:tabs>
          <w:tab w:leader="none" w:pos="740" w:val="left"/>
          <w:tab w:leader="none" w:pos="1940" w:val="left"/>
          <w:tab w:leader="none" w:pos="26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10.9</w:t>
      </w:r>
      <w:r>
        <w:rPr>
          <w:sz w:val="20"/>
          <w:szCs w:val="20"/>
          <w:color w:val="auto"/>
        </w:rPr>
        <w:tab/>
      </w:r>
      <w:r>
        <w:rPr>
          <w:rFonts w:ascii="Arial" w:cs="Arial" w:eastAsia="Arial" w:hAnsi="Arial"/>
          <w:sz w:val="17"/>
          <w:szCs w:val="17"/>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tabs>
          <w:tab w:leader="none" w:pos="680" w:val="left"/>
          <w:tab w:leader="none" w:pos="1900" w:val="left"/>
          <w:tab w:leader="none" w:pos="262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10.10</w:t>
      </w:r>
      <w:r>
        <w:rPr>
          <w:sz w:val="20"/>
          <w:szCs w:val="20"/>
          <w:color w:val="auto"/>
        </w:rPr>
        <w:tab/>
      </w:r>
      <w:r>
        <w:rPr>
          <w:rFonts w:ascii="Arial" w:cs="Arial" w:eastAsia="Arial" w:hAnsi="Arial"/>
          <w:sz w:val="17"/>
          <w:szCs w:val="17"/>
          <w:color w:val="auto"/>
        </w:rPr>
        <w:t>2020-10-23</w:t>
      </w:r>
    </w:p>
    <w:p>
      <w:pPr>
        <w:spacing w:after="0" w:line="727" w:lineRule="exact"/>
        <w:rPr>
          <w:sz w:val="20"/>
          <w:szCs w:val="20"/>
          <w:color w:val="auto"/>
        </w:rPr>
      </w:pPr>
    </w:p>
    <w:p>
      <w:pPr>
        <w:sectPr>
          <w:pgSz w:w="11880" w:h="15480" w:orient="portrait"/>
          <w:cols w:equalWidth="0" w:num="2">
            <w:col w:w="5640" w:space="720"/>
            <w:col w:w="3680"/>
          </w:cols>
          <w:pgMar w:left="920" w:top="579" w:right="920" w:bottom="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10.16</w:t>
            </w:r>
          </w:p>
        </w:tc>
        <w:tc>
          <w:tcPr>
            <w:tcW w:w="3400" w:type="dxa"/>
            <w:vAlign w:val="bottom"/>
            <w:gridSpan w:val="5"/>
          </w:tcPr>
          <w:p>
            <w:pPr>
              <w:spacing w:after="0"/>
              <w:rPr>
                <w:sz w:val="20"/>
                <w:szCs w:val="20"/>
                <w:color w:val="auto"/>
              </w:rPr>
            </w:pPr>
            <w:r>
              <w:rPr>
                <w:rFonts w:ascii="Arial" w:cs="Arial" w:eastAsia="Arial" w:hAnsi="Arial"/>
                <w:sz w:val="20"/>
                <w:szCs w:val="20"/>
                <w:color w:val="1C2790"/>
              </w:rPr>
              <w:t>Guarantee Agreement, dated as of</w:t>
            </w:r>
          </w:p>
        </w:tc>
        <w:tc>
          <w:tcPr>
            <w:tcW w:w="21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72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95"/>
              </w:rPr>
              <w:t>December 13, 2019, among the</w:t>
            </w:r>
          </w:p>
        </w:tc>
        <w:tc>
          <w:tcPr>
            <w:tcW w:w="680" w:type="dxa"/>
            <w:vAlign w:val="bottom"/>
            <w:tcBorders>
              <w:bottom w:val="single" w:sz="8" w:color="1C2790"/>
            </w:tcBorders>
            <w:gridSpan w:val="4"/>
          </w:tcPr>
          <w:p>
            <w:pPr>
              <w:spacing w:after="0" w:line="176" w:lineRule="exact"/>
              <w:rPr>
                <w:sz w:val="20"/>
                <w:szCs w:val="20"/>
                <w:color w:val="auto"/>
              </w:rPr>
            </w:pPr>
            <w:r>
              <w:rPr>
                <w:rFonts w:ascii="Arial" w:cs="Arial" w:eastAsia="Arial" w:hAnsi="Arial"/>
                <w:sz w:val="19"/>
                <w:szCs w:val="19"/>
                <w:color w:val="1C2790"/>
                <w:w w:val="71"/>
              </w:rPr>
              <w:t>Registrant,</w:t>
            </w:r>
          </w:p>
        </w:tc>
        <w:tc>
          <w:tcPr>
            <w:tcW w:w="2160" w:type="dxa"/>
            <w:vAlign w:val="bottom"/>
            <w:vMerge w:val="restart"/>
          </w:tcPr>
          <w:p>
            <w:pPr>
              <w:ind w:left="1700"/>
              <w:spacing w:after="0"/>
              <w:rPr>
                <w:sz w:val="20"/>
                <w:szCs w:val="20"/>
                <w:color w:val="auto"/>
              </w:rPr>
            </w:pPr>
            <w:r>
              <w:rPr>
                <w:rFonts w:ascii="Arial" w:cs="Arial" w:eastAsia="Arial" w:hAnsi="Arial"/>
                <w:sz w:val="20"/>
                <w:szCs w:val="20"/>
                <w:color w:val="auto"/>
              </w:rPr>
              <w:t>S-1</w:t>
            </w:r>
          </w:p>
        </w:tc>
        <w:tc>
          <w:tcPr>
            <w:tcW w:w="3020" w:type="dxa"/>
            <w:vAlign w:val="bottom"/>
            <w:vMerge w:val="restart"/>
          </w:tcPr>
          <w:p>
            <w:pPr>
              <w:jc w:val="right"/>
              <w:spacing w:after="0"/>
              <w:rPr>
                <w:sz w:val="20"/>
                <w:szCs w:val="20"/>
                <w:color w:val="auto"/>
              </w:rPr>
            </w:pPr>
            <w:r>
              <w:rPr>
                <w:rFonts w:ascii="Arial" w:cs="Arial" w:eastAsia="Arial" w:hAnsi="Arial"/>
                <w:sz w:val="20"/>
                <w:szCs w:val="20"/>
                <w:color w:val="auto"/>
              </w:rPr>
              <w:t>333-249648   10.11   2020-10-23</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00" w:type="dxa"/>
            <w:vAlign w:val="bottom"/>
            <w:gridSpan w:val="5"/>
          </w:tcPr>
          <w:p>
            <w:pPr>
              <w:spacing w:after="0" w:line="176" w:lineRule="exact"/>
              <w:rPr>
                <w:sz w:val="20"/>
                <w:szCs w:val="20"/>
                <w:color w:val="auto"/>
              </w:rPr>
            </w:pPr>
            <w:r>
              <w:rPr>
                <w:rFonts w:ascii="Arial" w:cs="Arial" w:eastAsia="Arial" w:hAnsi="Arial"/>
                <w:sz w:val="20"/>
                <w:szCs w:val="20"/>
                <w:color w:val="1C2790"/>
                <w:w w:val="98"/>
              </w:rPr>
              <w:t>Sotera Health Holdings, LLC, the other</w:t>
            </w:r>
          </w:p>
        </w:tc>
        <w:tc>
          <w:tcPr>
            <w:tcW w:w="216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960" w:type="dxa"/>
            <w:vAlign w:val="bottom"/>
            <w:tcBorders>
              <w:top w:val="single" w:sz="8" w:color="1C2790"/>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8"/>
              </w:rPr>
              <w:t>guarantors party thereto and Jefferies</w:t>
            </w:r>
          </w:p>
        </w:tc>
        <w:tc>
          <w:tcPr>
            <w:tcW w:w="180" w:type="dxa"/>
            <w:vAlign w:val="bottom"/>
            <w:tcBorders>
              <w:top w:val="single" w:sz="8" w:color="1C2790"/>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60" w:type="dxa"/>
            <w:vAlign w:val="bottom"/>
            <w:tcBorders>
              <w:bottom w:val="single" w:sz="8" w:color="1C2790"/>
            </w:tcBorders>
            <w:gridSpan w:val="4"/>
          </w:tcPr>
          <w:p>
            <w:pPr>
              <w:spacing w:after="0" w:line="176" w:lineRule="exact"/>
              <w:rPr>
                <w:sz w:val="20"/>
                <w:szCs w:val="20"/>
                <w:color w:val="auto"/>
              </w:rPr>
            </w:pPr>
            <w:r>
              <w:rPr>
                <w:rFonts w:ascii="Arial" w:cs="Arial" w:eastAsia="Arial" w:hAnsi="Arial"/>
                <w:sz w:val="20"/>
                <w:szCs w:val="20"/>
                <w:color w:val="1C2790"/>
                <w:w w:val="89"/>
              </w:rPr>
              <w:t>Finance LLC, as first lien collateral agent</w:t>
            </w:r>
          </w:p>
        </w:tc>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57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10040"/>
          </w:cols>
          <w:pgMar w:left="920" w:top="579" w:right="920" w:bottom="0" w:gutter="0" w:footer="0" w:header="0"/>
          <w:type w:val="continuous"/>
        </w:sectPr>
      </w:pPr>
    </w:p>
    <w:bookmarkStart w:id="130" w:name="page131"/>
    <w:bookmarkEnd w:id="130"/>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555625</wp:posOffset>
                </wp:positionV>
                <wp:extent cx="74676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43.75pt" to="104.4pt,43.75pt" o:allowincell="f" strokecolor="#000000" strokeweight="1pt">
                <w10:wrap anchorx="page" anchory="page"/>
              </v:line>
            </w:pict>
          </mc:Fallback>
        </mc:AlternateContent>
      </w: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-29845</wp:posOffset>
                </wp:positionH>
                <wp:positionV relativeFrom="paragraph">
                  <wp:posOffset>48260</wp:posOffset>
                </wp:positionV>
                <wp:extent cx="7461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99pt,3.8pt" to="56.4pt,3.8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3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20" w:type="dxa"/>
            <w:vAlign w:val="bottom"/>
            <w:gridSpan w:val="2"/>
          </w:tcPr>
          <w:p>
            <w:pPr>
              <w:ind w:left="8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8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Description of Exhibits</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00" w:type="dxa"/>
            <w:vAlign w:val="bottom"/>
            <w:vMerge w:val="restart"/>
          </w:tcPr>
          <w:p>
            <w:pPr>
              <w:ind w:left="300"/>
              <w:spacing w:after="0"/>
              <w:rPr>
                <w:sz w:val="20"/>
                <w:szCs w:val="20"/>
                <w:color w:val="auto"/>
              </w:rPr>
            </w:pPr>
            <w:r>
              <w:rPr>
                <w:rFonts w:ascii="Arial" w:cs="Arial" w:eastAsia="Arial" w:hAnsi="Arial"/>
                <w:sz w:val="20"/>
                <w:szCs w:val="20"/>
                <w:b w:val="1"/>
                <w:bCs w:val="1"/>
                <w:color w:val="auto"/>
              </w:rPr>
              <w:t>File No.</w:t>
            </w:r>
          </w:p>
        </w:tc>
        <w:tc>
          <w:tcPr>
            <w:tcW w:w="202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59"/>
        </w:trPr>
        <w:tc>
          <w:tcPr>
            <w:tcW w:w="35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0"/>
                <w:szCs w:val="20"/>
                <w:b w:val="1"/>
                <w:bCs w:val="1"/>
                <w:color w:val="auto"/>
                <w:w w:val="92"/>
              </w:rPr>
              <w:t>Herewith</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5080</wp:posOffset>
                </wp:positionV>
                <wp:extent cx="226822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8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4pt" to="178.9pt,0.4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2355850</wp:posOffset>
                </wp:positionH>
                <wp:positionV relativeFrom="paragraph">
                  <wp:posOffset>5080</wp:posOffset>
                </wp:positionV>
                <wp:extent cx="69088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5pt,0.4pt" to="239.9pt,0.4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3130550</wp:posOffset>
                </wp:positionH>
                <wp:positionV relativeFrom="paragraph">
                  <wp:posOffset>5080</wp:posOffset>
                </wp:positionV>
                <wp:extent cx="243649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64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5pt,0.4pt" to="438.35pt,0.4pt" o:allowincell="f" strokecolor="#000000" strokeweight="1pt"/>
            </w:pict>
          </mc:Fallback>
        </mc:AlternateContent>
      </w:r>
    </w:p>
    <w:p>
      <w:pPr>
        <w:spacing w:after="0" w:line="1" w:lineRule="exact"/>
        <w:rPr>
          <w:sz w:val="20"/>
          <w:szCs w:val="20"/>
          <w:color w:val="auto"/>
        </w:rPr>
      </w:pPr>
    </w:p>
    <w:p>
      <w:pPr>
        <w:sectPr>
          <w:pgSz w:w="11880" w:h="15480" w:orient="portrait"/>
          <w:cols w:equalWidth="0" w:num="2">
            <w:col w:w="1000" w:space="240"/>
            <w:col w:w="8760"/>
          </w:cols>
          <w:pgMar w:left="960" w:top="579" w:right="920" w:bottom="0" w:gutter="0" w:footer="0" w:header="0"/>
        </w:sectPr>
      </w:pPr>
    </w:p>
    <w:p>
      <w:pPr>
        <w:spacing w:after="0"/>
        <w:rPr>
          <w:sz w:val="20"/>
          <w:szCs w:val="20"/>
          <w:color w:val="auto"/>
        </w:rPr>
      </w:pPr>
      <w:r>
        <w:rPr>
          <w:rFonts w:ascii="Arial" w:cs="Arial" w:eastAsia="Arial" w:hAnsi="Arial"/>
          <w:sz w:val="17"/>
          <w:szCs w:val="17"/>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10.23</w:t>
      </w:r>
    </w:p>
    <w:p>
      <w:pPr>
        <w:spacing w:after="0" w:line="20" w:lineRule="exact"/>
        <w:rPr>
          <w:sz w:val="20"/>
          <w:szCs w:val="20"/>
          <w:color w:val="auto"/>
        </w:rPr>
      </w:pPr>
      <w:r>
        <w:rPr>
          <w:sz w:val="20"/>
          <w:szCs w:val="20"/>
          <w:color w:val="auto"/>
        </w:rPr>
        <w:br w:type="column"/>
      </w:r>
    </w:p>
    <w:p>
      <w:pPr>
        <w:ind w:right="1020"/>
        <w:spacing w:after="0" w:line="258" w:lineRule="auto"/>
        <w:rPr>
          <w:sz w:val="20"/>
          <w:szCs w:val="20"/>
          <w:color w:val="auto"/>
        </w:rPr>
      </w:pPr>
      <w:r>
        <w:rPr>
          <w:rFonts w:ascii="Arial" w:cs="Arial" w:eastAsia="Arial" w:hAnsi="Arial"/>
          <w:sz w:val="17"/>
          <w:szCs w:val="17"/>
          <w:u w:val="single" w:color="auto"/>
          <w:color w:val="1C2790"/>
        </w:rPr>
        <w:t>Collateral Agreement, dated as of December 13, 2019, among the Registrant, Sotera Health Holdings, LLC, the other guarantors party thereto and Jefferies Finance LLC, as first lien collateral agent</w:t>
      </w:r>
    </w:p>
    <w:p>
      <w:pPr>
        <w:spacing w:after="0" w:line="110" w:lineRule="exact"/>
        <w:rPr>
          <w:sz w:val="20"/>
          <w:szCs w:val="20"/>
          <w:color w:val="auto"/>
        </w:rPr>
      </w:pPr>
    </w:p>
    <w:p>
      <w:pPr>
        <w:ind w:right="1180"/>
        <w:spacing w:after="0" w:line="219" w:lineRule="auto"/>
        <w:rPr>
          <w:sz w:val="20"/>
          <w:szCs w:val="20"/>
          <w:color w:val="auto"/>
        </w:rPr>
      </w:pPr>
      <w:r>
        <w:rPr>
          <w:rFonts w:ascii="Arial" w:cs="Arial" w:eastAsia="Arial" w:hAnsi="Arial"/>
          <w:sz w:val="20"/>
          <w:szCs w:val="20"/>
          <w:u w:val="single" w:color="auto"/>
          <w:color w:val="1C2790"/>
        </w:rPr>
        <w:t>Patent Security Agreement, dated as of December 13, 2019, between Sterigenics U.S., LLC and Jefferies Finance LLC, as collateral agent</w:t>
      </w:r>
    </w:p>
    <w:p>
      <w:pPr>
        <w:spacing w:after="0" w:line="166" w:lineRule="exact"/>
        <w:rPr>
          <w:sz w:val="20"/>
          <w:szCs w:val="20"/>
          <w:color w:val="auto"/>
        </w:rPr>
      </w:pPr>
    </w:p>
    <w:p>
      <w:pPr>
        <w:ind w:right="960"/>
        <w:spacing w:after="0" w:line="219" w:lineRule="auto"/>
        <w:rPr>
          <w:sz w:val="20"/>
          <w:szCs w:val="20"/>
          <w:color w:val="auto"/>
        </w:rPr>
      </w:pPr>
      <w:r>
        <w:rPr>
          <w:rFonts w:ascii="Arial" w:cs="Arial" w:eastAsia="Arial" w:hAnsi="Arial"/>
          <w:sz w:val="20"/>
          <w:szCs w:val="20"/>
          <w:u w:val="single" w:color="auto"/>
          <w:color w:val="1C2790"/>
        </w:rPr>
        <w:t>Trademark Security Agreement, dated as of December 13, 2019, between Sterigenics U.S., LLC and Jefferies Finance LLC, as collateral agent</w:t>
      </w:r>
    </w:p>
    <w:p>
      <w:pPr>
        <w:spacing w:after="0" w:line="145" w:lineRule="exact"/>
        <w:rPr>
          <w:sz w:val="20"/>
          <w:szCs w:val="20"/>
          <w:color w:val="auto"/>
        </w:rPr>
      </w:pPr>
    </w:p>
    <w:p>
      <w:pPr>
        <w:ind w:right="960"/>
        <w:spacing w:after="0" w:line="231" w:lineRule="auto"/>
        <w:rPr>
          <w:sz w:val="20"/>
          <w:szCs w:val="20"/>
          <w:color w:val="auto"/>
        </w:rPr>
      </w:pPr>
      <w:r>
        <w:rPr>
          <w:rFonts w:ascii="Arial" w:cs="Arial" w:eastAsia="Arial" w:hAnsi="Arial"/>
          <w:sz w:val="19"/>
          <w:szCs w:val="19"/>
          <w:u w:val="single" w:color="auto"/>
          <w:color w:val="1C2790"/>
        </w:rPr>
        <w:t>Trademark Security Agreement, dated as of December 13, 2019, between Nelson Laboratories, LLC and Jefferies Finance LLC, as collateral agent</w:t>
      </w:r>
    </w:p>
    <w:p>
      <w:pPr>
        <w:spacing w:after="0" w:line="144" w:lineRule="exact"/>
        <w:rPr>
          <w:sz w:val="20"/>
          <w:szCs w:val="20"/>
          <w:color w:val="auto"/>
        </w:rPr>
      </w:pPr>
    </w:p>
    <w:p>
      <w:pPr>
        <w:ind w:right="960"/>
        <w:spacing w:after="0" w:line="219" w:lineRule="auto"/>
        <w:rPr>
          <w:sz w:val="20"/>
          <w:szCs w:val="20"/>
          <w:color w:val="auto"/>
        </w:rPr>
      </w:pPr>
      <w:r>
        <w:rPr>
          <w:rFonts w:ascii="Arial" w:cs="Arial" w:eastAsia="Arial" w:hAnsi="Arial"/>
          <w:sz w:val="20"/>
          <w:szCs w:val="20"/>
          <w:u w:val="single" w:color="auto"/>
          <w:color w:val="1C2790"/>
        </w:rPr>
        <w:t>Trademark Security Agreement, dated as of December 13, 2019, between Sotera Health LLC and Jefferies Finance LLC, as collateral agent</w:t>
      </w:r>
    </w:p>
    <w:p>
      <w:pPr>
        <w:spacing w:after="0" w:line="145" w:lineRule="exact"/>
        <w:rPr>
          <w:sz w:val="20"/>
          <w:szCs w:val="20"/>
          <w:color w:val="auto"/>
        </w:rPr>
      </w:pPr>
    </w:p>
    <w:p>
      <w:pPr>
        <w:ind w:right="1020"/>
        <w:spacing w:after="0" w:line="219" w:lineRule="auto"/>
        <w:rPr>
          <w:sz w:val="20"/>
          <w:szCs w:val="20"/>
          <w:color w:val="auto"/>
        </w:rPr>
      </w:pPr>
      <w:r>
        <w:rPr>
          <w:rFonts w:ascii="Arial" w:cs="Arial" w:eastAsia="Arial" w:hAnsi="Arial"/>
          <w:sz w:val="20"/>
          <w:szCs w:val="20"/>
          <w:u w:val="single" w:color="auto"/>
          <w:color w:val="1C2790"/>
        </w:rPr>
        <w:t>Copyright Security Agreement, dated as of December 13, 2019, among Jefferies Finance LLC and Nelson Laboratories, LLC, as collateral agent</w:t>
      </w:r>
    </w:p>
    <w:p>
      <w:pPr>
        <w:spacing w:after="0" w:line="125" w:lineRule="exact"/>
        <w:rPr>
          <w:sz w:val="20"/>
          <w:szCs w:val="20"/>
          <w:color w:val="auto"/>
        </w:rPr>
      </w:pPr>
    </w:p>
    <w:p>
      <w:pPr>
        <w:ind w:right="1160"/>
        <w:spacing w:after="0" w:line="222" w:lineRule="auto"/>
        <w:rPr>
          <w:sz w:val="20"/>
          <w:szCs w:val="20"/>
          <w:color w:val="auto"/>
        </w:rPr>
      </w:pPr>
      <w:r>
        <w:rPr>
          <w:rFonts w:ascii="Arial" w:cs="Arial" w:eastAsia="Arial" w:hAnsi="Arial"/>
          <w:sz w:val="19"/>
          <w:szCs w:val="19"/>
          <w:u w:val="single" w:color="auto"/>
          <w:color w:val="1C2790"/>
        </w:rPr>
        <w:t>First Lien Pari Passu Intercreditor Agreement, dated as of July 31, 2020, among Sotera Health Holdings, LLC, the Registrant, Jefferies Finance LLC as Collateral Agent and Authorized Representative, and Wilmington Trust, National Association as Additional First Lien Collateral Agent and Initial Authorized Representative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10.12</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r>
        <w:trPr>
          <w:trHeight w:val="1073"/>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10.13</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r>
        <w:trPr>
          <w:trHeight w:val="985"/>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10.14</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r>
        <w:trPr>
          <w:trHeight w:val="985"/>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10.15</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r>
        <w:trPr>
          <w:trHeight w:val="985"/>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10.16</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r>
        <w:trPr>
          <w:trHeight w:val="985"/>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10.17</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r>
        <w:trPr>
          <w:trHeight w:val="1470"/>
        </w:trPr>
        <w:tc>
          <w:tcPr>
            <w:tcW w:w="460" w:type="dxa"/>
            <w:vAlign w:val="bottom"/>
          </w:tcPr>
          <w:p>
            <w:pPr>
              <w:spacing w:after="0"/>
              <w:rPr>
                <w:sz w:val="20"/>
                <w:szCs w:val="20"/>
                <w:color w:val="auto"/>
              </w:rPr>
            </w:pPr>
            <w:r>
              <w:rPr>
                <w:rFonts w:ascii="Arial" w:cs="Arial" w:eastAsia="Arial" w:hAnsi="Arial"/>
                <w:sz w:val="20"/>
                <w:szCs w:val="20"/>
                <w:color w:val="auto"/>
              </w:rPr>
              <w:t>S-1</w:t>
            </w:r>
          </w:p>
        </w:tc>
        <w:tc>
          <w:tcPr>
            <w:tcW w:w="1240" w:type="dxa"/>
            <w:vAlign w:val="bottom"/>
          </w:tcPr>
          <w:p>
            <w:pPr>
              <w:jc w:val="right"/>
              <w:ind w:right="22"/>
              <w:spacing w:after="0"/>
              <w:rPr>
                <w:sz w:val="20"/>
                <w:szCs w:val="20"/>
                <w:color w:val="auto"/>
              </w:rPr>
            </w:pPr>
            <w:r>
              <w:rPr>
                <w:rFonts w:ascii="Arial" w:cs="Arial" w:eastAsia="Arial" w:hAnsi="Arial"/>
                <w:sz w:val="20"/>
                <w:szCs w:val="20"/>
                <w:color w:val="auto"/>
              </w:rPr>
              <w:t>333-249648</w:t>
            </w:r>
          </w:p>
        </w:tc>
        <w:tc>
          <w:tcPr>
            <w:tcW w:w="720" w:type="dxa"/>
            <w:vAlign w:val="bottom"/>
          </w:tcPr>
          <w:p>
            <w:pPr>
              <w:jc w:val="right"/>
              <w:ind w:right="42"/>
              <w:spacing w:after="0"/>
              <w:rPr>
                <w:sz w:val="20"/>
                <w:szCs w:val="20"/>
                <w:color w:val="auto"/>
              </w:rPr>
            </w:pPr>
            <w:r>
              <w:rPr>
                <w:rFonts w:ascii="Arial" w:cs="Arial" w:eastAsia="Arial" w:hAnsi="Arial"/>
                <w:sz w:val="20"/>
                <w:szCs w:val="20"/>
                <w:color w:val="auto"/>
              </w:rPr>
              <w:t>10.25</w:t>
            </w:r>
          </w:p>
        </w:tc>
        <w:tc>
          <w:tcPr>
            <w:tcW w:w="1060" w:type="dxa"/>
            <w:vAlign w:val="bottom"/>
          </w:tcPr>
          <w:p>
            <w:pPr>
              <w:jc w:val="right"/>
              <w:spacing w:after="0"/>
              <w:rPr>
                <w:sz w:val="20"/>
                <w:szCs w:val="20"/>
                <w:color w:val="auto"/>
              </w:rPr>
            </w:pPr>
            <w:r>
              <w:rPr>
                <w:rFonts w:ascii="Arial" w:cs="Arial" w:eastAsia="Arial" w:hAnsi="Arial"/>
                <w:sz w:val="20"/>
                <w:szCs w:val="20"/>
                <w:color w:val="auto"/>
              </w:rPr>
              <w:t>2020-10-23</w:t>
            </w:r>
          </w:p>
        </w:tc>
      </w:tr>
    </w:tbl>
    <w:p>
      <w:pPr>
        <w:spacing w:after="0" w:line="893" w:lineRule="exact"/>
        <w:rPr>
          <w:sz w:val="20"/>
          <w:szCs w:val="20"/>
          <w:color w:val="auto"/>
        </w:rPr>
      </w:pPr>
    </w:p>
    <w:p>
      <w:pPr>
        <w:sectPr>
          <w:pgSz w:w="11880" w:h="15480" w:orient="portrait"/>
          <w:cols w:equalWidth="0" w:num="3">
            <w:col w:w="580" w:space="720"/>
            <w:col w:w="4380" w:space="720"/>
            <w:col w:w="3600"/>
          </w:cols>
          <w:pgMar w:left="960" w:top="579" w:right="920"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10.24</w:t>
            </w:r>
          </w:p>
        </w:tc>
        <w:tc>
          <w:tcPr>
            <w:tcW w:w="3540" w:type="dxa"/>
            <w:vAlign w:val="bottom"/>
            <w:tcBorders>
              <w:bottom w:val="single" w:sz="8" w:color="1C2790"/>
            </w:tcBorders>
            <w:gridSpan w:val="12"/>
          </w:tcPr>
          <w:p>
            <w:pPr>
              <w:spacing w:after="0"/>
              <w:rPr>
                <w:sz w:val="20"/>
                <w:szCs w:val="20"/>
                <w:color w:val="auto"/>
              </w:rPr>
            </w:pPr>
            <w:r>
              <w:rPr>
                <w:rFonts w:ascii="Arial" w:cs="Arial" w:eastAsia="Arial" w:hAnsi="Arial"/>
                <w:sz w:val="20"/>
                <w:szCs w:val="20"/>
                <w:color w:val="1C2790"/>
                <w:w w:val="91"/>
              </w:rPr>
              <w:t>First Lien Collateral Agreement, dated as of</w:t>
            </w:r>
          </w:p>
        </w:tc>
      </w:tr>
      <w:tr>
        <w:trPr>
          <w:trHeight w:val="176"/>
        </w:trPr>
        <w:tc>
          <w:tcPr>
            <w:tcW w:w="1300" w:type="dxa"/>
            <w:vAlign w:val="bottom"/>
          </w:tcPr>
          <w:p>
            <w:pPr>
              <w:spacing w:after="0"/>
              <w:rPr>
                <w:sz w:val="15"/>
                <w:szCs w:val="15"/>
                <w:color w:val="auto"/>
              </w:rPr>
            </w:pPr>
          </w:p>
        </w:tc>
        <w:tc>
          <w:tcPr>
            <w:tcW w:w="3540" w:type="dxa"/>
            <w:vAlign w:val="bottom"/>
            <w:gridSpan w:val="12"/>
          </w:tcPr>
          <w:p>
            <w:pPr>
              <w:spacing w:after="0" w:line="176" w:lineRule="exact"/>
              <w:rPr>
                <w:sz w:val="20"/>
                <w:szCs w:val="20"/>
                <w:color w:val="auto"/>
              </w:rPr>
            </w:pPr>
            <w:r>
              <w:rPr>
                <w:rFonts w:ascii="Arial" w:cs="Arial" w:eastAsia="Arial" w:hAnsi="Arial"/>
                <w:sz w:val="20"/>
                <w:szCs w:val="20"/>
                <w:color w:val="1C2790"/>
                <w:w w:val="89"/>
              </w:rPr>
              <w:t>July 31, 2020, among the Registrant, Sotera</w:t>
            </w:r>
          </w:p>
        </w:tc>
      </w:tr>
      <w:tr>
        <w:trPr>
          <w:trHeight w:val="176"/>
        </w:trPr>
        <w:tc>
          <w:tcPr>
            <w:tcW w:w="1300" w:type="dxa"/>
            <w:vAlign w:val="bottom"/>
          </w:tcPr>
          <w:p>
            <w:pPr>
              <w:spacing w:after="0"/>
              <w:rPr>
                <w:sz w:val="15"/>
                <w:szCs w:val="15"/>
                <w:color w:val="auto"/>
              </w:rPr>
            </w:pPr>
          </w:p>
        </w:tc>
        <w:tc>
          <w:tcPr>
            <w:tcW w:w="3520" w:type="dxa"/>
            <w:vAlign w:val="bottom"/>
            <w:tcBorders>
              <w:top w:val="single" w:sz="8" w:color="1C2790"/>
            </w:tcBorders>
            <w:gridSpan w:val="11"/>
          </w:tcPr>
          <w:p>
            <w:pPr>
              <w:spacing w:after="0" w:line="176" w:lineRule="exact"/>
              <w:rPr>
                <w:sz w:val="20"/>
                <w:szCs w:val="20"/>
                <w:color w:val="auto"/>
              </w:rPr>
            </w:pPr>
            <w:r>
              <w:rPr>
                <w:rFonts w:ascii="Arial" w:cs="Arial" w:eastAsia="Arial" w:hAnsi="Arial"/>
                <w:sz w:val="20"/>
                <w:szCs w:val="20"/>
                <w:color w:val="1C2790"/>
                <w:w w:val="97"/>
              </w:rPr>
              <w:t>Health Holdings, LLC, the other grantors</w:t>
            </w:r>
          </w:p>
        </w:tc>
        <w:tc>
          <w:tcPr>
            <w:tcW w:w="20" w:type="dxa"/>
            <w:vAlign w:val="bottom"/>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2880" w:type="dxa"/>
            <w:vAlign w:val="bottom"/>
            <w:tcBorders>
              <w:top w:val="single" w:sz="8" w:color="1C2790"/>
              <w:bottom w:val="single" w:sz="8" w:color="1C2790"/>
            </w:tcBorders>
            <w:gridSpan w:val="4"/>
          </w:tcPr>
          <w:p>
            <w:pPr>
              <w:spacing w:after="0" w:line="176" w:lineRule="exact"/>
              <w:rPr>
                <w:sz w:val="20"/>
                <w:szCs w:val="20"/>
                <w:color w:val="auto"/>
              </w:rPr>
            </w:pPr>
            <w:r>
              <w:rPr>
                <w:rFonts w:ascii="Arial" w:cs="Arial" w:eastAsia="Arial" w:hAnsi="Arial"/>
                <w:sz w:val="20"/>
                <w:szCs w:val="20"/>
                <w:color w:val="1C2790"/>
                <w:w w:val="91"/>
              </w:rPr>
              <w:t>party thereto and Wilmington Trust,</w:t>
            </w:r>
          </w:p>
        </w:tc>
        <w:tc>
          <w:tcPr>
            <w:tcW w:w="400" w:type="dxa"/>
            <w:vAlign w:val="bottom"/>
            <w:tcBorders>
              <w:top w:val="single" w:sz="8" w:color="1C2790"/>
            </w:tcBorders>
            <w:gridSpan w:val="4"/>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540" w:type="dxa"/>
            <w:vAlign w:val="bottom"/>
            <w:gridSpan w:val="12"/>
          </w:tcPr>
          <w:p>
            <w:pPr>
              <w:spacing w:after="0" w:line="176" w:lineRule="exact"/>
              <w:rPr>
                <w:sz w:val="20"/>
                <w:szCs w:val="20"/>
                <w:color w:val="auto"/>
              </w:rPr>
            </w:pPr>
            <w:r>
              <w:rPr>
                <w:rFonts w:ascii="Arial" w:cs="Arial" w:eastAsia="Arial" w:hAnsi="Arial"/>
                <w:sz w:val="20"/>
                <w:szCs w:val="20"/>
                <w:color w:val="1C2790"/>
              </w:rPr>
              <w:t>National Association, as first lien notes</w:t>
            </w:r>
          </w:p>
        </w:tc>
      </w:tr>
      <w:tr>
        <w:trPr>
          <w:trHeight w:val="176"/>
        </w:trPr>
        <w:tc>
          <w:tcPr>
            <w:tcW w:w="1300" w:type="dxa"/>
            <w:vAlign w:val="bottom"/>
          </w:tcPr>
          <w:p>
            <w:pPr>
              <w:spacing w:after="0"/>
              <w:rPr>
                <w:sz w:val="15"/>
                <w:szCs w:val="15"/>
                <w:color w:val="auto"/>
              </w:rPr>
            </w:pPr>
          </w:p>
        </w:tc>
        <w:tc>
          <w:tcPr>
            <w:tcW w:w="1200" w:type="dxa"/>
            <w:vAlign w:val="bottom"/>
            <w:tcBorders>
              <w:top w:val="single" w:sz="8" w:color="1C2790"/>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6"/>
              </w:rPr>
              <w:t>collateral agent</w:t>
            </w:r>
          </w:p>
        </w:tc>
        <w:tc>
          <w:tcPr>
            <w:tcW w:w="1920" w:type="dxa"/>
            <w:vAlign w:val="bottom"/>
            <w:tcBorders>
              <w:top w:val="single" w:sz="8" w:color="1C2790"/>
            </w:tcBorders>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588"/>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10.25</w:t>
            </w:r>
          </w:p>
        </w:tc>
        <w:tc>
          <w:tcPr>
            <w:tcW w:w="3540" w:type="dxa"/>
            <w:vAlign w:val="bottom"/>
            <w:gridSpan w:val="12"/>
          </w:tcPr>
          <w:p>
            <w:pPr>
              <w:spacing w:after="0"/>
              <w:rPr>
                <w:sz w:val="20"/>
                <w:szCs w:val="20"/>
                <w:color w:val="auto"/>
              </w:rPr>
            </w:pPr>
            <w:r>
              <w:rPr>
                <w:rFonts w:ascii="Arial" w:cs="Arial" w:eastAsia="Arial" w:hAnsi="Arial"/>
                <w:sz w:val="20"/>
                <w:szCs w:val="20"/>
                <w:color w:val="1C2790"/>
                <w:w w:val="90"/>
              </w:rPr>
              <w:t>Patent Security Agreement, dated as of July</w:t>
            </w:r>
          </w:p>
        </w:tc>
      </w:tr>
      <w:tr>
        <w:trPr>
          <w:trHeight w:val="176"/>
        </w:trPr>
        <w:tc>
          <w:tcPr>
            <w:tcW w:w="1300" w:type="dxa"/>
            <w:vAlign w:val="bottom"/>
          </w:tcPr>
          <w:p>
            <w:pPr>
              <w:spacing w:after="0"/>
              <w:rPr>
                <w:sz w:val="15"/>
                <w:szCs w:val="15"/>
                <w:color w:val="auto"/>
              </w:rPr>
            </w:pPr>
          </w:p>
        </w:tc>
        <w:tc>
          <w:tcPr>
            <w:tcW w:w="3500" w:type="dxa"/>
            <w:vAlign w:val="bottom"/>
            <w:tcBorders>
              <w:top w:val="single" w:sz="8" w:color="1C2790"/>
            </w:tcBorders>
            <w:gridSpan w:val="10"/>
          </w:tcPr>
          <w:p>
            <w:pPr>
              <w:spacing w:after="0" w:line="176" w:lineRule="exact"/>
              <w:rPr>
                <w:sz w:val="20"/>
                <w:szCs w:val="20"/>
                <w:color w:val="auto"/>
              </w:rPr>
            </w:pPr>
            <w:r>
              <w:rPr>
                <w:rFonts w:ascii="Arial" w:cs="Arial" w:eastAsia="Arial" w:hAnsi="Arial"/>
                <w:sz w:val="20"/>
                <w:szCs w:val="20"/>
                <w:color w:val="1C2790"/>
                <w:w w:val="96"/>
              </w:rPr>
              <w:t>31, 2020, between Sterigenics U.S., LLC</w:t>
            </w:r>
          </w:p>
        </w:tc>
        <w:tc>
          <w:tcPr>
            <w:tcW w:w="40" w:type="dxa"/>
            <w:vAlign w:val="bottom"/>
            <w:gridSpan w:val="2"/>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3260" w:type="dxa"/>
            <w:vAlign w:val="bottom"/>
            <w:tcBorders>
              <w:top w:val="single" w:sz="8" w:color="1C2790"/>
            </w:tcBorders>
            <w:gridSpan w:val="7"/>
          </w:tcPr>
          <w:p>
            <w:pPr>
              <w:spacing w:after="0" w:line="176" w:lineRule="exact"/>
              <w:rPr>
                <w:sz w:val="20"/>
                <w:szCs w:val="20"/>
                <w:color w:val="auto"/>
              </w:rPr>
            </w:pPr>
            <w:r>
              <w:rPr>
                <w:rFonts w:ascii="Arial" w:cs="Arial" w:eastAsia="Arial" w:hAnsi="Arial"/>
                <w:sz w:val="20"/>
                <w:szCs w:val="20"/>
                <w:color w:val="1C2790"/>
              </w:rPr>
              <w:t>and Wilmington Trust, National</w:t>
            </w:r>
          </w:p>
        </w:tc>
        <w:tc>
          <w:tcPr>
            <w:tcW w:w="22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76"/>
        </w:trPr>
        <w:tc>
          <w:tcPr>
            <w:tcW w:w="1300" w:type="dxa"/>
            <w:vAlign w:val="bottom"/>
          </w:tcPr>
          <w:p>
            <w:pPr>
              <w:spacing w:after="0"/>
              <w:rPr>
                <w:sz w:val="15"/>
                <w:szCs w:val="15"/>
                <w:color w:val="auto"/>
              </w:rPr>
            </w:pPr>
          </w:p>
        </w:tc>
        <w:tc>
          <w:tcPr>
            <w:tcW w:w="2560" w:type="dxa"/>
            <w:vAlign w:val="bottom"/>
            <w:tcBorders>
              <w:top w:val="single" w:sz="8" w:color="1C2790"/>
            </w:tcBorders>
            <w:gridSpan w:val="3"/>
          </w:tcPr>
          <w:p>
            <w:pPr>
              <w:spacing w:after="0" w:line="176" w:lineRule="exact"/>
              <w:rPr>
                <w:sz w:val="20"/>
                <w:szCs w:val="20"/>
                <w:color w:val="auto"/>
              </w:rPr>
            </w:pPr>
            <w:r>
              <w:rPr>
                <w:rFonts w:ascii="Arial" w:cs="Arial" w:eastAsia="Arial" w:hAnsi="Arial"/>
                <w:sz w:val="20"/>
                <w:szCs w:val="20"/>
                <w:color w:val="1C2790"/>
                <w:w w:val="96"/>
              </w:rPr>
              <w:t>Association, as first lien notes</w:t>
            </w:r>
          </w:p>
        </w:tc>
        <w:tc>
          <w:tcPr>
            <w:tcW w:w="980" w:type="dxa"/>
            <w:vAlign w:val="bottom"/>
            <w:gridSpan w:val="9"/>
          </w:tcPr>
          <w:p>
            <w:pPr>
              <w:spacing w:after="0" w:line="176" w:lineRule="exact"/>
              <w:rPr>
                <w:sz w:val="20"/>
                <w:szCs w:val="20"/>
                <w:color w:val="auto"/>
              </w:rPr>
            </w:pPr>
            <w:r>
              <w:rPr>
                <w:rFonts w:ascii="Arial" w:cs="Arial" w:eastAsia="Arial" w:hAnsi="Arial"/>
                <w:sz w:val="20"/>
                <w:szCs w:val="20"/>
                <w:color w:val="1C2790"/>
              </w:rPr>
              <w:t>collateral</w:t>
            </w:r>
          </w:p>
        </w:tc>
      </w:tr>
      <w:tr>
        <w:trPr>
          <w:trHeight w:val="176"/>
        </w:trPr>
        <w:tc>
          <w:tcPr>
            <w:tcW w:w="1300" w:type="dxa"/>
            <w:vAlign w:val="bottom"/>
          </w:tcPr>
          <w:p>
            <w:pPr>
              <w:spacing w:after="0"/>
              <w:rPr>
                <w:sz w:val="15"/>
                <w:szCs w:val="15"/>
                <w:color w:val="auto"/>
              </w:rPr>
            </w:pPr>
          </w:p>
        </w:tc>
        <w:tc>
          <w:tcPr>
            <w:tcW w:w="3180" w:type="dxa"/>
            <w:vAlign w:val="bottom"/>
            <w:tcBorders>
              <w:top w:val="single" w:sz="8" w:color="1C2790"/>
            </w:tcBorders>
            <w:gridSpan w:val="6"/>
          </w:tcPr>
          <w:p>
            <w:pPr>
              <w:spacing w:after="0" w:line="176" w:lineRule="exact"/>
              <w:rPr>
                <w:sz w:val="20"/>
                <w:szCs w:val="20"/>
                <w:color w:val="auto"/>
              </w:rPr>
            </w:pPr>
            <w:r>
              <w:rPr>
                <w:rFonts w:ascii="Arial" w:cs="Arial" w:eastAsia="Arial" w:hAnsi="Arial"/>
                <w:sz w:val="20"/>
                <w:szCs w:val="20"/>
                <w:color w:val="1C2790"/>
              </w:rPr>
              <w:t>agent</w:t>
            </w:r>
          </w:p>
        </w:tc>
        <w:tc>
          <w:tcPr>
            <w:tcW w:w="30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1C2790"/>
          </w:tcPr>
          <w:p>
            <w:pPr>
              <w:spacing w:after="0" w:line="20" w:lineRule="exact"/>
              <w:rPr>
                <w:sz w:val="1"/>
                <w:szCs w:val="1"/>
                <w:color w:val="auto"/>
              </w:rPr>
            </w:pPr>
          </w:p>
        </w:tc>
        <w:tc>
          <w:tcPr>
            <w:tcW w:w="30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7"/>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10.26</w:t>
            </w:r>
          </w:p>
        </w:tc>
        <w:tc>
          <w:tcPr>
            <w:tcW w:w="3540" w:type="dxa"/>
            <w:vAlign w:val="bottom"/>
            <w:gridSpan w:val="12"/>
          </w:tcPr>
          <w:p>
            <w:pPr>
              <w:spacing w:after="0"/>
              <w:rPr>
                <w:sz w:val="20"/>
                <w:szCs w:val="20"/>
                <w:color w:val="auto"/>
              </w:rPr>
            </w:pPr>
            <w:r>
              <w:rPr>
                <w:rFonts w:ascii="Arial" w:cs="Arial" w:eastAsia="Arial" w:hAnsi="Arial"/>
                <w:sz w:val="20"/>
                <w:szCs w:val="20"/>
                <w:color w:val="1C2790"/>
                <w:w w:val="90"/>
              </w:rPr>
              <w:t>Trademark Security Agreement, dated as of</w:t>
            </w:r>
          </w:p>
        </w:tc>
      </w:tr>
      <w:tr>
        <w:trPr>
          <w:trHeight w:val="181"/>
        </w:trPr>
        <w:tc>
          <w:tcPr>
            <w:tcW w:w="1300" w:type="dxa"/>
            <w:vAlign w:val="bottom"/>
          </w:tcPr>
          <w:p>
            <w:pPr>
              <w:spacing w:after="0"/>
              <w:rPr>
                <w:sz w:val="15"/>
                <w:szCs w:val="15"/>
                <w:color w:val="auto"/>
              </w:rPr>
            </w:pPr>
          </w:p>
        </w:tc>
        <w:tc>
          <w:tcPr>
            <w:tcW w:w="3480" w:type="dxa"/>
            <w:vAlign w:val="bottom"/>
            <w:tcBorders>
              <w:top w:val="single" w:sz="8" w:color="1C2790"/>
            </w:tcBorders>
            <w:gridSpan w:val="9"/>
          </w:tcPr>
          <w:p>
            <w:pPr>
              <w:spacing w:after="0" w:line="181" w:lineRule="exact"/>
              <w:rPr>
                <w:sz w:val="20"/>
                <w:szCs w:val="20"/>
                <w:color w:val="auto"/>
              </w:rPr>
            </w:pPr>
            <w:r>
              <w:rPr>
                <w:rFonts w:ascii="Arial" w:cs="Arial" w:eastAsia="Arial" w:hAnsi="Arial"/>
                <w:sz w:val="20"/>
                <w:szCs w:val="20"/>
                <w:u w:val="single" w:color="auto"/>
                <w:color w:val="1C2790"/>
              </w:rPr>
              <w:t>July 31, 2020, between Sotera Health</w:t>
            </w:r>
          </w:p>
        </w:tc>
        <w:tc>
          <w:tcPr>
            <w:tcW w:w="60" w:type="dxa"/>
            <w:vAlign w:val="bottom"/>
            <w:gridSpan w:val="3"/>
          </w:tcPr>
          <w:p>
            <w:pPr>
              <w:spacing w:after="0"/>
              <w:rPr>
                <w:sz w:val="15"/>
                <w:szCs w:val="15"/>
                <w:color w:val="auto"/>
              </w:rPr>
            </w:pPr>
          </w:p>
        </w:tc>
      </w:tr>
    </w:tbl>
    <w:p>
      <w:pPr>
        <w:ind w:left="1300"/>
        <w:spacing w:after="0" w:line="204" w:lineRule="auto"/>
        <w:rPr>
          <w:sz w:val="20"/>
          <w:szCs w:val="20"/>
          <w:color w:val="auto"/>
        </w:rPr>
      </w:pPr>
      <w:r>
        <w:rPr>
          <w:rFonts w:ascii="Arial" w:cs="Arial" w:eastAsia="Arial" w:hAnsi="Arial"/>
          <w:sz w:val="20"/>
          <w:szCs w:val="20"/>
          <w:u w:val="single" w:color="auto"/>
          <w:color w:val="1C2790"/>
        </w:rPr>
        <w:t>Holdings LLC and Wilmington Trust,</w:t>
      </w:r>
    </w:p>
    <w:p>
      <w:pPr>
        <w:ind w:left="1300"/>
        <w:spacing w:after="0" w:line="205" w:lineRule="auto"/>
        <w:rPr>
          <w:sz w:val="20"/>
          <w:szCs w:val="20"/>
          <w:color w:val="auto"/>
        </w:rPr>
      </w:pPr>
      <w:r>
        <w:rPr>
          <w:rFonts w:ascii="Arial" w:cs="Arial" w:eastAsia="Arial" w:hAnsi="Arial"/>
          <w:sz w:val="20"/>
          <w:szCs w:val="20"/>
          <w:u w:val="single" w:color="auto"/>
          <w:color w:val="1C2790"/>
        </w:rPr>
        <w:t>National Association, as first lien notes</w:t>
      </w:r>
    </w:p>
    <w:p>
      <w:pPr>
        <w:ind w:left="1300"/>
        <w:spacing w:after="0"/>
        <w:rPr>
          <w:sz w:val="20"/>
          <w:szCs w:val="20"/>
          <w:color w:val="auto"/>
        </w:rPr>
      </w:pPr>
      <w:r>
        <w:rPr>
          <w:rFonts w:ascii="Arial" w:cs="Arial" w:eastAsia="Arial" w:hAnsi="Arial"/>
          <w:sz w:val="20"/>
          <w:szCs w:val="20"/>
          <w:u w:val="single" w:color="auto"/>
          <w:color w:val="1C2790"/>
        </w:rPr>
        <w:t>collateral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600" w:val="left"/>
          <w:tab w:leader="none" w:pos="1820" w:val="left"/>
          <w:tab w:leader="none" w:pos="254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10.26</w:t>
      </w:r>
      <w:r>
        <w:rPr>
          <w:sz w:val="20"/>
          <w:szCs w:val="20"/>
          <w:color w:val="auto"/>
        </w:rPr>
        <w:tab/>
      </w:r>
      <w:r>
        <w:rPr>
          <w:rFonts w:ascii="Arial" w:cs="Arial" w:eastAsia="Arial" w:hAnsi="Arial"/>
          <w:sz w:val="17"/>
          <w:szCs w:val="17"/>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600" w:val="left"/>
          <w:tab w:leader="none" w:pos="1820" w:val="left"/>
          <w:tab w:leader="none" w:pos="254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10.27</w:t>
      </w:r>
      <w:r>
        <w:rPr>
          <w:sz w:val="20"/>
          <w:szCs w:val="20"/>
          <w:color w:val="auto"/>
        </w:rPr>
        <w:tab/>
      </w:r>
      <w:r>
        <w:rPr>
          <w:rFonts w:ascii="Arial" w:cs="Arial" w:eastAsia="Arial" w:hAnsi="Arial"/>
          <w:sz w:val="17"/>
          <w:szCs w:val="17"/>
          <w:color w:val="auto"/>
        </w:rPr>
        <w:t>2020-10-23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600" w:val="left"/>
          <w:tab w:leader="none" w:pos="1820" w:val="left"/>
          <w:tab w:leader="none" w:pos="2540" w:val="left"/>
        </w:tabs>
        <w:rPr>
          <w:sz w:val="20"/>
          <w:szCs w:val="20"/>
          <w:color w:val="auto"/>
        </w:rPr>
      </w:pPr>
      <w:r>
        <w:rPr>
          <w:rFonts w:ascii="Arial" w:cs="Arial" w:eastAsia="Arial" w:hAnsi="Arial"/>
          <w:sz w:val="20"/>
          <w:szCs w:val="20"/>
          <w:color w:val="auto"/>
        </w:rPr>
        <w:t>S-1</w:t>
      </w:r>
      <w:r>
        <w:rPr>
          <w:sz w:val="20"/>
          <w:szCs w:val="20"/>
          <w:color w:val="auto"/>
        </w:rPr>
        <w:tab/>
      </w:r>
      <w:r>
        <w:rPr>
          <w:rFonts w:ascii="Arial" w:cs="Arial" w:eastAsia="Arial" w:hAnsi="Arial"/>
          <w:sz w:val="20"/>
          <w:szCs w:val="20"/>
          <w:color w:val="auto"/>
        </w:rPr>
        <w:t>333-249648</w:t>
        <w:tab/>
        <w:t>10.28</w:t>
      </w:r>
      <w:r>
        <w:rPr>
          <w:sz w:val="20"/>
          <w:szCs w:val="20"/>
          <w:color w:val="auto"/>
        </w:rPr>
        <w:tab/>
      </w:r>
      <w:r>
        <w:rPr>
          <w:rFonts w:ascii="Arial" w:cs="Arial" w:eastAsia="Arial" w:hAnsi="Arial"/>
          <w:sz w:val="17"/>
          <w:szCs w:val="17"/>
          <w:color w:val="auto"/>
        </w:rPr>
        <w:t>2020-10-23</w:t>
      </w:r>
    </w:p>
    <w:p>
      <w:pPr>
        <w:spacing w:after="0" w:line="525" w:lineRule="exact"/>
        <w:rPr>
          <w:sz w:val="20"/>
          <w:szCs w:val="20"/>
          <w:color w:val="auto"/>
        </w:rPr>
      </w:pPr>
    </w:p>
    <w:p>
      <w:pPr>
        <w:sectPr>
          <w:pgSz w:w="11880" w:h="15480" w:orient="portrait"/>
          <w:cols w:equalWidth="0" w:num="2">
            <w:col w:w="5680" w:space="720"/>
            <w:col w:w="3600"/>
          </w:cols>
          <w:pgMar w:left="960" w:top="57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10000"/>
          </w:cols>
          <w:pgMar w:left="960" w:top="579" w:right="920" w:bottom="0" w:gutter="0" w:footer="0" w:header="0"/>
          <w:type w:val="continuous"/>
        </w:sectPr>
      </w:pPr>
    </w:p>
    <w:bookmarkStart w:id="131" w:name="page132"/>
    <w:bookmarkEnd w:id="131"/>
    <w:p>
      <w:pPr>
        <w:ind w:left="6960"/>
        <w:spacing w:after="0"/>
        <w:rPr>
          <w:sz w:val="20"/>
          <w:szCs w:val="20"/>
          <w:color w:val="auto"/>
        </w:rPr>
      </w:pPr>
      <w:r>
        <w:rPr>
          <w:rFonts w:ascii="Arial" w:cs="Arial" w:eastAsia="Arial" w:hAnsi="Arial"/>
          <w:sz w:val="20"/>
          <w:szCs w:val="20"/>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-29845</wp:posOffset>
                </wp:positionH>
                <wp:positionV relativeFrom="paragraph">
                  <wp:posOffset>41275</wp:posOffset>
                </wp:positionV>
                <wp:extent cx="7461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99pt,3.25pt" to="56.4pt,3.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791210</wp:posOffset>
                </wp:positionH>
                <wp:positionV relativeFrom="paragraph">
                  <wp:posOffset>41275</wp:posOffset>
                </wp:positionV>
                <wp:extent cx="226822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8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pt,3.25pt" to="240.9pt,3.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3143250</wp:posOffset>
                </wp:positionH>
                <wp:positionV relativeFrom="paragraph">
                  <wp:posOffset>41275</wp:posOffset>
                </wp:positionV>
                <wp:extent cx="69088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3.25pt" to="301.9pt,3.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3917950</wp:posOffset>
                </wp:positionH>
                <wp:positionV relativeFrom="paragraph">
                  <wp:posOffset>41275</wp:posOffset>
                </wp:positionV>
                <wp:extent cx="243649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64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5pt,3.25pt" to="500.35pt,3.25pt" o:allowincell="f" strokecolor="#000000" strokeweight="1pt"/>
            </w:pict>
          </mc:Fallback>
        </mc:AlternateContent>
      </w:r>
    </w:p>
    <w:p>
      <w:pPr>
        <w:spacing w:after="0" w:line="35" w:lineRule="exact"/>
        <w:rPr>
          <w:sz w:val="20"/>
          <w:szCs w:val="20"/>
          <w:color w:val="auto"/>
        </w:rPr>
      </w:pPr>
    </w:p>
    <w:p>
      <w:pPr>
        <w:jc w:val="center"/>
        <w:ind w:left="1020"/>
        <w:spacing w:after="0"/>
        <w:rPr>
          <w:sz w:val="20"/>
          <w:szCs w:val="20"/>
          <w:color w:val="auto"/>
        </w:rPr>
      </w:pPr>
      <w:r>
        <w:rPr>
          <w:rFonts w:ascii="Arial" w:cs="Arial" w:eastAsia="Arial" w:hAnsi="Arial"/>
          <w:sz w:val="20"/>
          <w:szCs w:val="20"/>
          <w:b w:val="1"/>
          <w:bCs w:val="1"/>
          <w:color w:val="auto"/>
        </w:rPr>
        <w:t>Filed/</w:t>
      </w:r>
    </w:p>
    <w:p>
      <w:pPr>
        <w:jc w:val="center"/>
        <w:ind w:left="1020"/>
        <w:spacing w:after="0" w:line="204" w:lineRule="auto"/>
        <w:rPr>
          <w:sz w:val="20"/>
          <w:szCs w:val="20"/>
          <w:color w:val="auto"/>
        </w:rPr>
      </w:pPr>
      <w:r>
        <w:rPr>
          <w:rFonts w:ascii="Arial" w:cs="Arial" w:eastAsia="Arial" w:hAnsi="Arial"/>
          <w:sz w:val="20"/>
          <w:szCs w:val="20"/>
          <w:b w:val="1"/>
          <w:bCs w:val="1"/>
          <w:color w:val="auto"/>
        </w:rPr>
        <w:t>Furnished</w:t>
      </w:r>
    </w:p>
    <w:p>
      <w:pPr>
        <w:spacing w:after="0" w:line="1" w:lineRule="exact"/>
        <w:rPr>
          <w:sz w:val="20"/>
          <w:szCs w:val="20"/>
          <w:color w:val="auto"/>
        </w:rPr>
      </w:pPr>
    </w:p>
    <w:p>
      <w:pPr>
        <w:ind w:firstLine="82"/>
        <w:spacing w:after="0"/>
        <w:rPr>
          <w:sz w:val="20"/>
          <w:szCs w:val="20"/>
          <w:color w:val="auto"/>
        </w:rPr>
      </w:pPr>
      <w:r>
        <w:rPr>
          <w:rFonts w:ascii="Arial" w:cs="Arial" w:eastAsia="Arial" w:hAnsi="Arial"/>
          <w:sz w:val="20"/>
          <w:szCs w:val="20"/>
          <w:b w:val="1"/>
          <w:bCs w:val="1"/>
          <w:color w:val="auto"/>
        </w:rPr>
        <w:t xml:space="preserve">Exhibit No Description of Exhibits Herewith Form File No. Exhibit Filing Date </w:t>
      </w:r>
      <w:r>
        <w:rPr>
          <w:rFonts w:ascii="Arial" w:cs="Arial" w:eastAsia="Arial" w:hAnsi="Arial"/>
          <w:sz w:val="20"/>
          <w:szCs w:val="20"/>
          <w:color w:val="auto"/>
        </w:rPr>
        <w:t>10.27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-29845</wp:posOffset>
                </wp:positionH>
                <wp:positionV relativeFrom="paragraph">
                  <wp:posOffset>10160</wp:posOffset>
                </wp:positionV>
                <wp:extent cx="7461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1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99pt,0.8pt" to="56.4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791210</wp:posOffset>
                </wp:positionH>
                <wp:positionV relativeFrom="paragraph">
                  <wp:posOffset>10160</wp:posOffset>
                </wp:positionV>
                <wp:extent cx="226822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8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pt,0.8pt" to="240.9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3143250</wp:posOffset>
                </wp:positionH>
                <wp:positionV relativeFrom="paragraph">
                  <wp:posOffset>10160</wp:posOffset>
                </wp:positionV>
                <wp:extent cx="69088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0.8pt" to="301.9pt,0.8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3917950</wp:posOffset>
                </wp:positionH>
                <wp:positionV relativeFrom="paragraph">
                  <wp:posOffset>10160</wp:posOffset>
                </wp:positionV>
                <wp:extent cx="243649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64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8.5pt,0.8pt" to="500.35pt,0.8pt" o:allowincell="f" strokecolor="#000000" strokeweight="1pt"/>
            </w:pict>
          </mc:Fallback>
        </mc:AlternateConten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1C2790"/>
        </w:rPr>
        <w:t>Copyright Security Agreement, dated as of</w:t>
      </w:r>
    </w:p>
    <w:p>
      <w:pPr>
        <w:ind w:left="1300"/>
        <w:spacing w:after="0"/>
        <w:rPr>
          <w:sz w:val="20"/>
          <w:szCs w:val="20"/>
          <w:color w:val="auto"/>
        </w:rPr>
      </w:pPr>
      <w:r>
        <w:rPr>
          <w:rFonts w:ascii="Arial" w:cs="Arial" w:eastAsia="Arial" w:hAnsi="Arial"/>
          <w:sz w:val="30"/>
          <w:szCs w:val="30"/>
          <w:u w:val="single" w:color="auto"/>
          <w:color w:val="1C2790"/>
          <w:vertAlign w:val="superscript"/>
        </w:rPr>
        <w:t>July 31, 2020, between Nelson</w:t>
      </w:r>
      <w:r>
        <w:rPr>
          <w:rFonts w:ascii="Arial" w:cs="Arial" w:eastAsia="Arial" w:hAnsi="Arial"/>
          <w:sz w:val="16"/>
          <w:szCs w:val="16"/>
          <w:color w:val="auto"/>
        </w:rPr>
        <w:t xml:space="preserve"> S-1 333-249648 10.29 2020-10-23 </w:t>
      </w:r>
      <w:r>
        <w:rPr>
          <w:rFonts w:ascii="Arial" w:cs="Arial" w:eastAsia="Arial" w:hAnsi="Arial"/>
          <w:sz w:val="16"/>
          <w:szCs w:val="16"/>
          <w:u w:val="single" w:color="auto"/>
          <w:color w:val="1C2790"/>
        </w:rPr>
        <w:t>Laboratories, LLC and Wilmington Trust,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1C2790"/>
        </w:rPr>
        <w:t>National Association, as first lien notes</w:t>
      </w:r>
    </w:p>
    <w:p>
      <w:pPr>
        <w:ind w:left="1300"/>
        <w:spacing w:after="0"/>
        <w:rPr>
          <w:sz w:val="20"/>
          <w:szCs w:val="20"/>
          <w:color w:val="auto"/>
        </w:rPr>
      </w:pPr>
      <w:r>
        <w:rPr>
          <w:rFonts w:ascii="Arial" w:cs="Arial" w:eastAsia="Arial" w:hAnsi="Arial"/>
          <w:sz w:val="20"/>
          <w:szCs w:val="20"/>
          <w:u w:val="single" w:color="auto"/>
          <w:color w:val="1C2790"/>
        </w:rPr>
        <w:t>collateral agent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10.28†</w:t>
      </w:r>
    </w:p>
    <w:p>
      <w:pPr>
        <w:ind w:left="1300"/>
        <w:spacing w:after="0" w:line="204" w:lineRule="auto"/>
        <w:rPr>
          <w:sz w:val="20"/>
          <w:szCs w:val="20"/>
          <w:color w:val="auto"/>
        </w:rPr>
      </w:pPr>
      <w:r>
        <w:rPr>
          <w:rFonts w:ascii="Arial" w:cs="Arial" w:eastAsia="Arial" w:hAnsi="Arial"/>
          <w:sz w:val="20"/>
          <w:szCs w:val="20"/>
          <w:u w:val="single" w:color="auto"/>
          <w:color w:val="1C2790"/>
        </w:rPr>
        <w:t>Restated Supply Agreement, dated as of</w:t>
      </w:r>
    </w:p>
    <w:p>
      <w:pPr>
        <w:ind w:left="1300"/>
        <w:spacing w:after="0" w:line="205" w:lineRule="auto"/>
        <w:rPr>
          <w:sz w:val="20"/>
          <w:szCs w:val="20"/>
          <w:color w:val="auto"/>
        </w:rPr>
      </w:pPr>
      <w:r>
        <w:rPr>
          <w:rFonts w:ascii="Arial" w:cs="Arial" w:eastAsia="Arial" w:hAnsi="Arial"/>
          <w:sz w:val="20"/>
          <w:szCs w:val="20"/>
          <w:u w:val="single" w:color="auto"/>
          <w:color w:val="1C2790"/>
        </w:rPr>
        <w:t>October 6, 2020, between Balchem</w:t>
      </w:r>
    </w:p>
    <w:p>
      <w:pPr>
        <w:ind w:left="1300"/>
        <w:spacing w:after="0" w:line="204" w:lineRule="auto"/>
        <w:rPr>
          <w:sz w:val="20"/>
          <w:szCs w:val="20"/>
          <w:color w:val="auto"/>
        </w:rPr>
      </w:pPr>
      <w:r>
        <w:rPr>
          <w:rFonts w:ascii="Arial" w:cs="Arial" w:eastAsia="Arial" w:hAnsi="Arial"/>
          <w:sz w:val="20"/>
          <w:szCs w:val="20"/>
          <w:u w:val="single" w:color="auto"/>
          <w:color w:val="1C2790"/>
        </w:rPr>
        <w:t>Corporation and Sterigenics U.S., LLC,</w:t>
      </w:r>
      <w:r>
        <w:rPr>
          <w:rFonts w:ascii="Arial" w:cs="Arial" w:eastAsia="Arial" w:hAnsi="Arial"/>
          <w:sz w:val="20"/>
          <w:szCs w:val="20"/>
          <w:color w:val="1C2790"/>
        </w:rPr>
        <w:t xml:space="preserve"> </w:t>
      </w:r>
      <w:r>
        <w:rPr>
          <w:rFonts w:ascii="Arial" w:cs="Arial" w:eastAsia="Arial" w:hAnsi="Arial"/>
          <w:sz w:val="20"/>
          <w:szCs w:val="20"/>
          <w:color w:val="000000"/>
        </w:rPr>
        <w:t>S-1/A 333-249648 10.30 2020-11-18</w:t>
      </w:r>
      <w:r>
        <w:rPr>
          <w:rFonts w:ascii="Arial" w:cs="Arial" w:eastAsia="Arial" w:hAnsi="Arial"/>
          <w:sz w:val="20"/>
          <w:szCs w:val="20"/>
          <w:color w:val="1C2790"/>
        </w:rPr>
        <w:t xml:space="preserve"> </w:t>
      </w:r>
      <w:r>
        <w:rPr>
          <w:rFonts w:ascii="Arial" w:cs="Arial" w:eastAsia="Arial" w:hAnsi="Arial"/>
          <w:sz w:val="20"/>
          <w:szCs w:val="20"/>
          <w:u w:val="single" w:color="auto"/>
          <w:color w:val="1C2790"/>
        </w:rPr>
        <w:t>Sterigenics S. De R.L. De C.V., Sterigenics</w:t>
      </w:r>
    </w:p>
    <w:p>
      <w:pPr>
        <w:ind w:left="1300"/>
        <w:spacing w:after="0" w:line="205" w:lineRule="auto"/>
        <w:rPr>
          <w:sz w:val="20"/>
          <w:szCs w:val="20"/>
          <w:color w:val="auto"/>
        </w:rPr>
      </w:pPr>
      <w:r>
        <w:rPr>
          <w:rFonts w:ascii="Arial" w:cs="Arial" w:eastAsia="Arial" w:hAnsi="Arial"/>
          <w:sz w:val="20"/>
          <w:szCs w:val="20"/>
          <w:u w:val="single" w:color="auto"/>
          <w:color w:val="1C2790"/>
        </w:rPr>
        <w:t>Costa Rica S.R.L. and Sterigenics EO</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1C2790"/>
        </w:rPr>
        <w:t>Canada, Inc.</w:t>
      </w:r>
    </w:p>
    <w:p>
      <w:pPr>
        <w:sectPr>
          <w:pgSz w:w="11880" w:h="15480" w:orient="portrait"/>
          <w:cols w:equalWidth="0" w:num="1">
            <w:col w:w="9880"/>
          </w:cols>
          <w:pgMar w:left="960" w:top="579" w:right="1040" w:bottom="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20"/>
                <w:szCs w:val="20"/>
                <w:color w:val="auto"/>
              </w:rPr>
              <w:t>10.29+</w:t>
            </w:r>
          </w:p>
        </w:tc>
        <w:tc>
          <w:tcPr>
            <w:tcW w:w="3480" w:type="dxa"/>
            <w:vAlign w:val="bottom"/>
            <w:gridSpan w:val="26"/>
          </w:tcPr>
          <w:p>
            <w:pPr>
              <w:spacing w:after="0"/>
              <w:rPr>
                <w:sz w:val="20"/>
                <w:szCs w:val="20"/>
                <w:color w:val="auto"/>
              </w:rPr>
            </w:pPr>
            <w:r>
              <w:rPr>
                <w:rFonts w:ascii="Arial" w:cs="Arial" w:eastAsia="Arial" w:hAnsi="Arial"/>
                <w:sz w:val="20"/>
                <w:szCs w:val="20"/>
                <w:color w:val="1C2790"/>
                <w:w w:val="95"/>
              </w:rPr>
              <w:t>Form of Restricted Stock Agreement and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1480" w:type="dxa"/>
            <w:vAlign w:val="bottom"/>
            <w:tcBorders>
              <w:top w:val="single" w:sz="8" w:color="1C2790"/>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9"/>
              </w:rPr>
              <w:t>Acknowledgement</w:t>
            </w:r>
          </w:p>
        </w:tc>
        <w:tc>
          <w:tcPr>
            <w:tcW w:w="1840" w:type="dxa"/>
            <w:vAlign w:val="bottom"/>
            <w:tcBorders>
              <w:top w:val="single" w:sz="8" w:color="1C2790"/>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1300" w:type="dxa"/>
            <w:vAlign w:val="bottom"/>
          </w:tcPr>
          <w:p>
            <w:pPr>
              <w:spacing w:after="0"/>
              <w:rPr>
                <w:sz w:val="20"/>
                <w:szCs w:val="20"/>
                <w:color w:val="auto"/>
              </w:rPr>
            </w:pPr>
            <w:r>
              <w:rPr>
                <w:rFonts w:ascii="Arial" w:cs="Arial" w:eastAsia="Arial" w:hAnsi="Arial"/>
                <w:sz w:val="20"/>
                <w:szCs w:val="20"/>
                <w:color w:val="auto"/>
              </w:rPr>
              <w:t>10.30+</w:t>
            </w:r>
          </w:p>
        </w:tc>
        <w:tc>
          <w:tcPr>
            <w:tcW w:w="3480" w:type="dxa"/>
            <w:vAlign w:val="bottom"/>
            <w:gridSpan w:val="26"/>
          </w:tcPr>
          <w:p>
            <w:pPr>
              <w:spacing w:after="0"/>
              <w:rPr>
                <w:sz w:val="20"/>
                <w:szCs w:val="20"/>
                <w:color w:val="auto"/>
              </w:rPr>
            </w:pPr>
            <w:r>
              <w:rPr>
                <w:rFonts w:ascii="Arial" w:cs="Arial" w:eastAsia="Arial" w:hAnsi="Arial"/>
                <w:sz w:val="20"/>
                <w:szCs w:val="20"/>
                <w:color w:val="1C2790"/>
              </w:rPr>
              <w:t>Non-Employee Director Compensation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50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9"/>
              </w:rPr>
              <w:t>Policy</w:t>
            </w:r>
          </w:p>
        </w:tc>
        <w:tc>
          <w:tcPr>
            <w:tcW w:w="2620" w:type="dxa"/>
            <w:vAlign w:val="bottom"/>
            <w:tcBorders>
              <w:top w:val="single" w:sz="8" w:color="1C2790"/>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10.31+</w:t>
            </w:r>
          </w:p>
        </w:tc>
        <w:tc>
          <w:tcPr>
            <w:tcW w:w="3480" w:type="dxa"/>
            <w:vAlign w:val="bottom"/>
            <w:gridSpan w:val="26"/>
          </w:tcPr>
          <w:p>
            <w:pPr>
              <w:spacing w:after="0"/>
              <w:rPr>
                <w:sz w:val="20"/>
                <w:szCs w:val="20"/>
                <w:color w:val="auto"/>
              </w:rPr>
            </w:pPr>
            <w:r>
              <w:rPr>
                <w:rFonts w:ascii="Arial" w:cs="Arial" w:eastAsia="Arial" w:hAnsi="Arial"/>
                <w:sz w:val="20"/>
                <w:szCs w:val="20"/>
                <w:color w:val="1C2790"/>
                <w:w w:val="95"/>
              </w:rPr>
              <w:t>Employment Agreement by and between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80" w:type="dxa"/>
            <w:vAlign w:val="bottom"/>
            <w:tcBorders>
              <w:top w:val="single" w:sz="8" w:color="1C2790"/>
            </w:tcBorders>
            <w:gridSpan w:val="17"/>
          </w:tcPr>
          <w:p>
            <w:pPr>
              <w:spacing w:after="0" w:line="176" w:lineRule="exact"/>
              <w:rPr>
                <w:sz w:val="20"/>
                <w:szCs w:val="20"/>
                <w:color w:val="auto"/>
              </w:rPr>
            </w:pPr>
            <w:r>
              <w:rPr>
                <w:rFonts w:ascii="Arial" w:cs="Arial" w:eastAsia="Arial" w:hAnsi="Arial"/>
                <w:sz w:val="20"/>
                <w:szCs w:val="20"/>
                <w:color w:val="1C2790"/>
                <w:w w:val="91"/>
              </w:rPr>
              <w:t>Sotera Health LLC and Michael P. Rutz,</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40" w:type="dxa"/>
            <w:vAlign w:val="bottom"/>
            <w:tcBorders>
              <w:top w:val="single" w:sz="8" w:color="1C2790"/>
            </w:tcBorders>
            <w:gridSpan w:val="15"/>
          </w:tcPr>
          <w:p>
            <w:pPr>
              <w:spacing w:after="0" w:line="176" w:lineRule="exact"/>
              <w:rPr>
                <w:sz w:val="20"/>
                <w:szCs w:val="20"/>
                <w:color w:val="auto"/>
              </w:rPr>
            </w:pPr>
            <w:r>
              <w:rPr>
                <w:rFonts w:ascii="Arial" w:cs="Arial" w:eastAsia="Arial" w:hAnsi="Arial"/>
                <w:sz w:val="20"/>
                <w:szCs w:val="20"/>
                <w:color w:val="1C2790"/>
              </w:rPr>
              <w:t>dated as of May 21, 2020</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20"/>
                <w:szCs w:val="20"/>
                <w:color w:val="auto"/>
              </w:rPr>
              <w:t>10.32</w:t>
            </w:r>
          </w:p>
        </w:tc>
        <w:tc>
          <w:tcPr>
            <w:tcW w:w="1980" w:type="dxa"/>
            <w:vAlign w:val="bottom"/>
            <w:gridSpan w:val="3"/>
            <w:shd w:val="clear" w:color="auto" w:fill="1C279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00" w:type="dxa"/>
            <w:vAlign w:val="bottom"/>
            <w:vMerge w:val="continue"/>
          </w:tcPr>
          <w:p>
            <w:pPr>
              <w:spacing w:after="0"/>
              <w:rPr>
                <w:sz w:val="24"/>
                <w:szCs w:val="24"/>
                <w:color w:val="auto"/>
              </w:rPr>
            </w:pPr>
          </w:p>
        </w:tc>
        <w:tc>
          <w:tcPr>
            <w:tcW w:w="3480" w:type="dxa"/>
            <w:vAlign w:val="bottom"/>
            <w:gridSpan w:val="26"/>
          </w:tcPr>
          <w:p>
            <w:pPr>
              <w:spacing w:after="0"/>
              <w:rPr>
                <w:sz w:val="20"/>
                <w:szCs w:val="20"/>
                <w:color w:val="auto"/>
              </w:rPr>
            </w:pPr>
            <w:r>
              <w:rPr>
                <w:rFonts w:ascii="Arial" w:cs="Arial" w:eastAsia="Arial" w:hAnsi="Arial"/>
                <w:sz w:val="20"/>
                <w:szCs w:val="20"/>
                <w:color w:val="1C2790"/>
              </w:rPr>
              <w:t>Incremental Facility Amendment to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40" w:type="dxa"/>
            <w:vAlign w:val="bottom"/>
            <w:tcBorders>
              <w:top w:val="single" w:sz="8" w:color="1C2790"/>
            </w:tcBorders>
            <w:gridSpan w:val="11"/>
          </w:tcPr>
          <w:p>
            <w:pPr>
              <w:spacing w:after="0" w:line="176" w:lineRule="exact"/>
              <w:rPr>
                <w:sz w:val="20"/>
                <w:szCs w:val="20"/>
                <w:color w:val="auto"/>
              </w:rPr>
            </w:pPr>
            <w:r>
              <w:rPr>
                <w:rFonts w:ascii="Arial" w:cs="Arial" w:eastAsia="Arial" w:hAnsi="Arial"/>
                <w:sz w:val="20"/>
                <w:szCs w:val="20"/>
                <w:color w:val="1C2790"/>
                <w:w w:val="98"/>
              </w:rPr>
              <w:t>2019 Credit Agreement, dated as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840" w:type="dxa"/>
            <w:vAlign w:val="bottom"/>
            <w:tcBorders>
              <w:top w:val="single" w:sz="8" w:color="1C2790"/>
            </w:tcBorders>
            <w:gridSpan w:val="7"/>
          </w:tcPr>
          <w:p>
            <w:pPr>
              <w:spacing w:after="0" w:line="176" w:lineRule="exact"/>
              <w:rPr>
                <w:sz w:val="20"/>
                <w:szCs w:val="20"/>
                <w:color w:val="auto"/>
              </w:rPr>
            </w:pPr>
            <w:r>
              <w:rPr>
                <w:rFonts w:ascii="Arial" w:cs="Arial" w:eastAsia="Arial" w:hAnsi="Arial"/>
                <w:sz w:val="20"/>
                <w:szCs w:val="20"/>
                <w:color w:val="1C2790"/>
                <w:w w:val="90"/>
              </w:rPr>
              <w:t>December 17, 2020, among Sotera</w:t>
            </w:r>
          </w:p>
        </w:tc>
        <w:tc>
          <w:tcPr>
            <w:tcW w:w="640" w:type="dxa"/>
            <w:vAlign w:val="bottom"/>
            <w:gridSpan w:val="19"/>
          </w:tcPr>
          <w:p>
            <w:pPr>
              <w:spacing w:after="0" w:line="176" w:lineRule="exact"/>
              <w:rPr>
                <w:sz w:val="20"/>
                <w:szCs w:val="20"/>
                <w:color w:val="auto"/>
              </w:rPr>
            </w:pPr>
            <w:r>
              <w:rPr>
                <w:rFonts w:ascii="Arial" w:cs="Arial" w:eastAsia="Arial" w:hAnsi="Arial"/>
                <w:sz w:val="20"/>
                <w:szCs w:val="20"/>
                <w:color w:val="1C2790"/>
              </w:rPr>
              <w:t>Health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80" w:type="dxa"/>
            <w:vAlign w:val="bottom"/>
            <w:tcBorders>
              <w:top w:val="single" w:sz="8" w:color="1C2790"/>
            </w:tcBorders>
            <w:gridSpan w:val="22"/>
          </w:tcPr>
          <w:p>
            <w:pPr>
              <w:spacing w:after="0" w:line="176" w:lineRule="exact"/>
              <w:rPr>
                <w:sz w:val="20"/>
                <w:szCs w:val="20"/>
                <w:color w:val="auto"/>
              </w:rPr>
            </w:pPr>
            <w:r>
              <w:rPr>
                <w:rFonts w:ascii="Arial" w:cs="Arial" w:eastAsia="Arial" w:hAnsi="Arial"/>
                <w:sz w:val="20"/>
                <w:szCs w:val="20"/>
                <w:color w:val="1C2790"/>
                <w:w w:val="94"/>
              </w:rPr>
              <w:t>Company, Sotera Health Holdings, LLC,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80" w:type="dxa"/>
            <w:vAlign w:val="bottom"/>
            <w:tcBorders>
              <w:top w:val="single" w:sz="8" w:color="1C2790"/>
              <w:bottom w:val="single" w:sz="8" w:color="1C2790"/>
            </w:tcBorders>
            <w:gridSpan w:val="13"/>
          </w:tcPr>
          <w:p>
            <w:pPr>
              <w:spacing w:after="0" w:line="176" w:lineRule="exact"/>
              <w:rPr>
                <w:sz w:val="20"/>
                <w:szCs w:val="20"/>
                <w:color w:val="auto"/>
              </w:rPr>
            </w:pPr>
            <w:r>
              <w:rPr>
                <w:rFonts w:ascii="Arial" w:cs="Arial" w:eastAsia="Arial" w:hAnsi="Arial"/>
                <w:sz w:val="20"/>
                <w:szCs w:val="20"/>
                <w:color w:val="1C2790"/>
                <w:w w:val="91"/>
              </w:rPr>
              <w:t>the Incremental Amendment Revolving</w:t>
            </w:r>
          </w:p>
        </w:tc>
        <w:tc>
          <w:tcPr>
            <w:tcW w:w="120" w:type="dxa"/>
            <w:vAlign w:val="bottom"/>
            <w:tcBorders>
              <w:top w:val="single" w:sz="8" w:color="1C2790"/>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80" w:type="dxa"/>
            <w:vAlign w:val="bottom"/>
            <w:tcBorders>
              <w:bottom w:val="single" w:sz="8" w:color="1C2790"/>
            </w:tcBorders>
            <w:gridSpan w:val="26"/>
          </w:tcPr>
          <w:p>
            <w:pPr>
              <w:spacing w:after="0" w:line="176" w:lineRule="exact"/>
              <w:rPr>
                <w:sz w:val="20"/>
                <w:szCs w:val="20"/>
                <w:color w:val="auto"/>
              </w:rPr>
            </w:pPr>
            <w:r>
              <w:rPr>
                <w:rFonts w:ascii="Arial" w:cs="Arial" w:eastAsia="Arial" w:hAnsi="Arial"/>
                <w:sz w:val="20"/>
                <w:szCs w:val="20"/>
                <w:color w:val="1C2790"/>
                <w:w w:val="90"/>
              </w:rPr>
              <w:t>Lends party thereto, Jefferies Finance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80" w:type="dxa"/>
            <w:vAlign w:val="bottom"/>
            <w:gridSpan w:val="26"/>
          </w:tcPr>
          <w:p>
            <w:pPr>
              <w:spacing w:after="0" w:line="176" w:lineRule="exact"/>
              <w:rPr>
                <w:sz w:val="20"/>
                <w:szCs w:val="20"/>
                <w:color w:val="auto"/>
              </w:rPr>
            </w:pPr>
            <w:r>
              <w:rPr>
                <w:rFonts w:ascii="Arial" w:cs="Arial" w:eastAsia="Arial" w:hAnsi="Arial"/>
                <w:sz w:val="20"/>
                <w:szCs w:val="20"/>
                <w:color w:val="1C2790"/>
                <w:w w:val="98"/>
              </w:rPr>
              <w:t>as First Lien Administrative Agent, each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20" w:type="dxa"/>
            <w:vAlign w:val="bottom"/>
            <w:tcBorders>
              <w:top w:val="single" w:sz="8" w:color="1C2790"/>
              <w:bottom w:val="single" w:sz="8" w:color="1C2790"/>
            </w:tcBorders>
            <w:gridSpan w:val="14"/>
          </w:tcPr>
          <w:p>
            <w:pPr>
              <w:spacing w:after="0" w:line="176" w:lineRule="exact"/>
              <w:rPr>
                <w:sz w:val="20"/>
                <w:szCs w:val="20"/>
                <w:color w:val="auto"/>
              </w:rPr>
            </w:pPr>
            <w:r>
              <w:rPr>
                <w:rFonts w:ascii="Arial" w:cs="Arial" w:eastAsia="Arial" w:hAnsi="Arial"/>
                <w:sz w:val="20"/>
                <w:szCs w:val="20"/>
                <w:color w:val="1C2790"/>
                <w:w w:val="88"/>
              </w:rPr>
              <w:t>Issuing Bank and the Other Loan Parties</w:t>
            </w:r>
          </w:p>
        </w:tc>
        <w:tc>
          <w:tcPr>
            <w:tcW w:w="20" w:type="dxa"/>
            <w:vAlign w:val="bottom"/>
            <w:tcBorders>
              <w:top w:val="single" w:sz="8" w:color="1C2790"/>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10.33</w:t>
            </w:r>
          </w:p>
        </w:tc>
        <w:tc>
          <w:tcPr>
            <w:tcW w:w="3480" w:type="dxa"/>
            <w:vAlign w:val="bottom"/>
            <w:gridSpan w:val="26"/>
          </w:tcPr>
          <w:p>
            <w:pPr>
              <w:spacing w:after="0"/>
              <w:rPr>
                <w:sz w:val="20"/>
                <w:szCs w:val="20"/>
                <w:color w:val="auto"/>
              </w:rPr>
            </w:pPr>
            <w:r>
              <w:rPr>
                <w:rFonts w:ascii="Arial" w:cs="Arial" w:eastAsia="Arial" w:hAnsi="Arial"/>
                <w:sz w:val="20"/>
                <w:szCs w:val="20"/>
                <w:color w:val="1C2790"/>
                <w:w w:val="95"/>
              </w:rPr>
              <w:t>Refinancing Amendment to the First Lien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60" w:type="dxa"/>
            <w:vAlign w:val="bottom"/>
            <w:tcBorders>
              <w:top w:val="single" w:sz="8" w:color="1C2790"/>
              <w:bottom w:val="single" w:sz="8" w:color="1C2790"/>
            </w:tcBorders>
            <w:gridSpan w:val="21"/>
          </w:tcPr>
          <w:p>
            <w:pPr>
              <w:spacing w:after="0" w:line="176" w:lineRule="exact"/>
              <w:rPr>
                <w:sz w:val="20"/>
                <w:szCs w:val="20"/>
                <w:color w:val="auto"/>
              </w:rPr>
            </w:pPr>
            <w:r>
              <w:rPr>
                <w:rFonts w:ascii="Arial" w:cs="Arial" w:eastAsia="Arial" w:hAnsi="Arial"/>
                <w:sz w:val="20"/>
                <w:szCs w:val="20"/>
                <w:color w:val="1C2790"/>
                <w:w w:val="84"/>
              </w:rPr>
              <w:t>2019 Credit Agreement, dated as of January</w:t>
            </w:r>
          </w:p>
        </w:tc>
        <w:tc>
          <w:tcPr>
            <w:tcW w:w="40" w:type="dxa"/>
            <w:vAlign w:val="bottom"/>
            <w:tcBorders>
              <w:bottom w:val="single" w:sz="8" w:color="1C2790"/>
            </w:tcBorders>
            <w:gridSpan w:val="2"/>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4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80" w:type="dxa"/>
            <w:vAlign w:val="bottom"/>
            <w:gridSpan w:val="26"/>
          </w:tcPr>
          <w:p>
            <w:pPr>
              <w:spacing w:after="0" w:line="176" w:lineRule="exact"/>
              <w:rPr>
                <w:sz w:val="20"/>
                <w:szCs w:val="20"/>
                <w:color w:val="auto"/>
              </w:rPr>
            </w:pPr>
            <w:r>
              <w:rPr>
                <w:rFonts w:ascii="Arial" w:cs="Arial" w:eastAsia="Arial" w:hAnsi="Arial"/>
                <w:sz w:val="20"/>
                <w:szCs w:val="20"/>
                <w:color w:val="1C2790"/>
                <w:w w:val="92"/>
              </w:rPr>
              <w:t>20, 2021, among Sotera Health Company,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00" w:type="dxa"/>
            <w:vAlign w:val="bottom"/>
            <w:tcBorders>
              <w:top w:val="single" w:sz="8" w:color="1C2790"/>
            </w:tcBorders>
            <w:gridSpan w:val="23"/>
          </w:tcPr>
          <w:p>
            <w:pPr>
              <w:spacing w:after="0" w:line="176" w:lineRule="exact"/>
              <w:rPr>
                <w:sz w:val="20"/>
                <w:szCs w:val="20"/>
                <w:color w:val="auto"/>
              </w:rPr>
            </w:pPr>
            <w:r>
              <w:rPr>
                <w:rFonts w:ascii="Arial" w:cs="Arial" w:eastAsia="Arial" w:hAnsi="Arial"/>
                <w:sz w:val="20"/>
                <w:szCs w:val="20"/>
                <w:color w:val="1C2790"/>
              </w:rPr>
              <w:t>Sotera Health Holdings, LLC, the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680" w:type="dxa"/>
            <w:vAlign w:val="bottom"/>
            <w:tcBorders>
              <w:top w:val="single" w:sz="8" w:color="1C2790"/>
              <w:bottom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86"/>
              </w:rPr>
              <w:t>Refinancing Lenders Party thereto,</w:t>
            </w:r>
          </w:p>
        </w:tc>
        <w:tc>
          <w:tcPr>
            <w:tcW w:w="400" w:type="dxa"/>
            <w:vAlign w:val="bottom"/>
            <w:tcBorders>
              <w:bottom w:val="single" w:sz="8" w:color="1C2790"/>
            </w:tcBorders>
            <w:gridSpan w:val="3"/>
          </w:tcPr>
          <w:p>
            <w:pPr>
              <w:ind w:left="100"/>
              <w:spacing w:after="0" w:line="176" w:lineRule="exact"/>
              <w:rPr>
                <w:sz w:val="20"/>
                <w:szCs w:val="20"/>
                <w:color w:val="auto"/>
              </w:rPr>
            </w:pPr>
            <w:r>
              <w:rPr>
                <w:rFonts w:ascii="Arial" w:cs="Arial" w:eastAsia="Arial" w:hAnsi="Arial"/>
                <w:sz w:val="20"/>
                <w:szCs w:val="20"/>
                <w:color w:val="1C2790"/>
              </w:rPr>
              <w:t>the</w:t>
            </w:r>
          </w:p>
        </w:tc>
        <w:tc>
          <w:tcPr>
            <w:tcW w:w="40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80" w:type="dxa"/>
            <w:vAlign w:val="bottom"/>
            <w:gridSpan w:val="26"/>
          </w:tcPr>
          <w:p>
            <w:pPr>
              <w:spacing w:after="0" w:line="176" w:lineRule="exact"/>
              <w:rPr>
                <w:sz w:val="20"/>
                <w:szCs w:val="20"/>
                <w:color w:val="auto"/>
              </w:rPr>
            </w:pPr>
            <w:r>
              <w:rPr>
                <w:rFonts w:ascii="Arial" w:cs="Arial" w:eastAsia="Arial" w:hAnsi="Arial"/>
                <w:sz w:val="20"/>
                <w:szCs w:val="20"/>
                <w:color w:val="1C2790"/>
                <w:w w:val="96"/>
              </w:rPr>
              <w:t>Revolving Lenders party to the First Lien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40" w:type="dxa"/>
            <w:vAlign w:val="bottom"/>
            <w:tcBorders>
              <w:top w:val="single" w:sz="8" w:color="1C2790"/>
            </w:tcBorders>
            <w:gridSpan w:val="20"/>
          </w:tcPr>
          <w:p>
            <w:pPr>
              <w:spacing w:after="0" w:line="176" w:lineRule="exact"/>
              <w:rPr>
                <w:sz w:val="20"/>
                <w:szCs w:val="20"/>
                <w:color w:val="auto"/>
              </w:rPr>
            </w:pPr>
            <w:r>
              <w:rPr>
                <w:rFonts w:ascii="Arial" w:cs="Arial" w:eastAsia="Arial" w:hAnsi="Arial"/>
                <w:sz w:val="20"/>
                <w:szCs w:val="20"/>
                <w:color w:val="1C2790"/>
                <w:w w:val="93"/>
              </w:rPr>
              <w:t>Credit Agreement and Jefferies Finance</w:t>
            </w: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80" w:type="dxa"/>
            <w:vAlign w:val="bottom"/>
            <w:tcBorders>
              <w:top w:val="single" w:sz="8" w:color="1C2790"/>
              <w:bottom w:val="single" w:sz="8" w:color="1C2790"/>
            </w:tcBorders>
            <w:gridSpan w:val="13"/>
          </w:tcPr>
          <w:p>
            <w:pPr>
              <w:spacing w:after="0" w:line="176" w:lineRule="exact"/>
              <w:rPr>
                <w:sz w:val="20"/>
                <w:szCs w:val="20"/>
                <w:color w:val="auto"/>
              </w:rPr>
            </w:pPr>
            <w:r>
              <w:rPr>
                <w:rFonts w:ascii="Arial" w:cs="Arial" w:eastAsia="Arial" w:hAnsi="Arial"/>
                <w:sz w:val="20"/>
                <w:szCs w:val="20"/>
                <w:color w:val="1C2790"/>
                <w:w w:val="91"/>
              </w:rPr>
              <w:t>LLC, as First Lien Administrative Agent</w:t>
            </w:r>
          </w:p>
        </w:tc>
        <w:tc>
          <w:tcPr>
            <w:tcW w:w="80" w:type="dxa"/>
            <w:vAlign w:val="bottom"/>
            <w:tcBorders>
              <w:bottom w:val="single" w:sz="8" w:color="1C2790"/>
            </w:tcBorders>
            <w:gridSpan w:val="3"/>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460" w:type="dxa"/>
            <w:vAlign w:val="bottom"/>
            <w:tcBorders>
              <w:bottom w:val="single" w:sz="8" w:color="1C2790"/>
            </w:tcBorders>
            <w:gridSpan w:val="5"/>
          </w:tcPr>
          <w:p>
            <w:pPr>
              <w:spacing w:after="0" w:line="176" w:lineRule="exact"/>
              <w:rPr>
                <w:sz w:val="20"/>
                <w:szCs w:val="20"/>
                <w:color w:val="auto"/>
              </w:rPr>
            </w:pPr>
            <w:r>
              <w:rPr>
                <w:rFonts w:ascii="Arial" w:cs="Arial" w:eastAsia="Arial" w:hAnsi="Arial"/>
                <w:sz w:val="20"/>
                <w:szCs w:val="20"/>
                <w:color w:val="1C2790"/>
                <w:w w:val="90"/>
              </w:rPr>
              <w:t>and First Lien Collateral Agent</w:t>
            </w:r>
          </w:p>
        </w:tc>
        <w:tc>
          <w:tcPr>
            <w:tcW w:w="800" w:type="dxa"/>
            <w:vAlign w:val="bottom"/>
            <w:gridSpan w:val="11"/>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0"/>
                <w:szCs w:val="20"/>
                <w:color w:val="auto"/>
              </w:rPr>
            </w:pPr>
            <w:r>
              <w:rPr>
                <w:rFonts w:ascii="Arial" w:cs="Arial" w:eastAsia="Arial" w:hAnsi="Arial"/>
                <w:sz w:val="20"/>
                <w:szCs w:val="20"/>
                <w:color w:val="auto"/>
              </w:rPr>
              <w:t>10.34</w:t>
            </w:r>
          </w:p>
        </w:tc>
        <w:tc>
          <w:tcPr>
            <w:tcW w:w="3160" w:type="dxa"/>
            <w:vAlign w:val="bottom"/>
            <w:tcBorders>
              <w:bottom w:val="single" w:sz="8" w:color="1C2790"/>
            </w:tcBorders>
            <w:gridSpan w:val="12"/>
          </w:tcPr>
          <w:p>
            <w:pPr>
              <w:spacing w:after="0"/>
              <w:rPr>
                <w:sz w:val="20"/>
                <w:szCs w:val="20"/>
                <w:color w:val="auto"/>
              </w:rPr>
            </w:pPr>
            <w:r>
              <w:rPr>
                <w:rFonts w:ascii="Arial" w:cs="Arial" w:eastAsia="Arial" w:hAnsi="Arial"/>
                <w:sz w:val="20"/>
                <w:szCs w:val="20"/>
                <w:color w:val="1C2790"/>
                <w:w w:val="92"/>
              </w:rPr>
              <w:t>Revolving Facilities Amendment to the</w:t>
            </w:r>
          </w:p>
        </w:tc>
        <w:tc>
          <w:tcPr>
            <w:tcW w:w="32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80" w:type="dxa"/>
            <w:vAlign w:val="bottom"/>
            <w:gridSpan w:val="26"/>
          </w:tcPr>
          <w:p>
            <w:pPr>
              <w:spacing w:after="0" w:line="176" w:lineRule="exact"/>
              <w:rPr>
                <w:sz w:val="20"/>
                <w:szCs w:val="20"/>
                <w:color w:val="auto"/>
              </w:rPr>
            </w:pPr>
            <w:r>
              <w:rPr>
                <w:rFonts w:ascii="Arial" w:cs="Arial" w:eastAsia="Arial" w:hAnsi="Arial"/>
                <w:sz w:val="20"/>
                <w:szCs w:val="20"/>
                <w:color w:val="1C2790"/>
                <w:w w:val="91"/>
              </w:rPr>
              <w:t>2019 Credit Agreement, dated as of March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20" w:type="dxa"/>
            <w:vAlign w:val="bottom"/>
            <w:tcBorders>
              <w:top w:val="single" w:sz="8" w:color="1C2790"/>
            </w:tcBorders>
            <w:gridSpan w:val="24"/>
          </w:tcPr>
          <w:p>
            <w:pPr>
              <w:spacing w:after="0" w:line="176" w:lineRule="exact"/>
              <w:rPr>
                <w:sz w:val="20"/>
                <w:szCs w:val="20"/>
                <w:color w:val="auto"/>
              </w:rPr>
            </w:pPr>
            <w:r>
              <w:rPr>
                <w:rFonts w:ascii="Arial" w:cs="Arial" w:eastAsia="Arial" w:hAnsi="Arial"/>
                <w:sz w:val="20"/>
                <w:szCs w:val="20"/>
                <w:color w:val="1C2790"/>
                <w:w w:val="90"/>
              </w:rPr>
              <w:t>26, 2021, among Sotera Health Company,</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00" w:type="dxa"/>
            <w:vAlign w:val="bottom"/>
            <w:tcBorders>
              <w:top w:val="single" w:sz="8" w:color="1C2790"/>
            </w:tcBorders>
            <w:gridSpan w:val="23"/>
          </w:tcPr>
          <w:p>
            <w:pPr>
              <w:spacing w:after="0" w:line="176" w:lineRule="exact"/>
              <w:rPr>
                <w:sz w:val="20"/>
                <w:szCs w:val="20"/>
                <w:color w:val="auto"/>
              </w:rPr>
            </w:pPr>
            <w:r>
              <w:rPr>
                <w:rFonts w:ascii="Arial" w:cs="Arial" w:eastAsia="Arial" w:hAnsi="Arial"/>
                <w:sz w:val="20"/>
                <w:szCs w:val="20"/>
                <w:color w:val="1C2790"/>
              </w:rPr>
              <w:t>Sotera Health Holdings, LLC, the</w:t>
            </w: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680" w:type="dxa"/>
            <w:vAlign w:val="bottom"/>
            <w:tcBorders>
              <w:top w:val="single" w:sz="8" w:color="1C2790"/>
              <w:bottom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86"/>
              </w:rPr>
              <w:t>Refinancing Lenders Party thereto,</w:t>
            </w:r>
          </w:p>
        </w:tc>
        <w:tc>
          <w:tcPr>
            <w:tcW w:w="400" w:type="dxa"/>
            <w:vAlign w:val="bottom"/>
            <w:tcBorders>
              <w:bottom w:val="single" w:sz="8" w:color="1C2790"/>
            </w:tcBorders>
            <w:gridSpan w:val="3"/>
          </w:tcPr>
          <w:p>
            <w:pPr>
              <w:ind w:left="100"/>
              <w:spacing w:after="0" w:line="176" w:lineRule="exact"/>
              <w:rPr>
                <w:sz w:val="20"/>
                <w:szCs w:val="20"/>
                <w:color w:val="auto"/>
              </w:rPr>
            </w:pPr>
            <w:r>
              <w:rPr>
                <w:rFonts w:ascii="Arial" w:cs="Arial" w:eastAsia="Arial" w:hAnsi="Arial"/>
                <w:sz w:val="20"/>
                <w:szCs w:val="20"/>
                <w:color w:val="1C2790"/>
              </w:rPr>
              <w:t>the</w:t>
            </w:r>
          </w:p>
        </w:tc>
        <w:tc>
          <w:tcPr>
            <w:tcW w:w="40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80" w:type="dxa"/>
            <w:vAlign w:val="bottom"/>
            <w:gridSpan w:val="26"/>
          </w:tcPr>
          <w:p>
            <w:pPr>
              <w:spacing w:after="0" w:line="176" w:lineRule="exact"/>
              <w:rPr>
                <w:sz w:val="20"/>
                <w:szCs w:val="20"/>
                <w:color w:val="auto"/>
              </w:rPr>
            </w:pPr>
            <w:r>
              <w:rPr>
                <w:rFonts w:ascii="Arial" w:cs="Arial" w:eastAsia="Arial" w:hAnsi="Arial"/>
                <w:sz w:val="20"/>
                <w:szCs w:val="20"/>
                <w:color w:val="1C2790"/>
                <w:w w:val="96"/>
              </w:rPr>
              <w:t>Revolving Lenders party to the First Lien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40" w:type="dxa"/>
            <w:vAlign w:val="bottom"/>
            <w:tcBorders>
              <w:top w:val="single" w:sz="8" w:color="1C2790"/>
            </w:tcBorders>
            <w:gridSpan w:val="20"/>
          </w:tcPr>
          <w:p>
            <w:pPr>
              <w:spacing w:after="0" w:line="176" w:lineRule="exact"/>
              <w:rPr>
                <w:sz w:val="20"/>
                <w:szCs w:val="20"/>
                <w:color w:val="auto"/>
              </w:rPr>
            </w:pPr>
            <w:r>
              <w:rPr>
                <w:rFonts w:ascii="Arial" w:cs="Arial" w:eastAsia="Arial" w:hAnsi="Arial"/>
                <w:sz w:val="20"/>
                <w:szCs w:val="20"/>
                <w:color w:val="1C2790"/>
                <w:w w:val="93"/>
              </w:rPr>
              <w:t>Credit Agreement and Jefferies Finance</w:t>
            </w: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80" w:type="dxa"/>
            <w:vAlign w:val="bottom"/>
            <w:tcBorders>
              <w:top w:val="single" w:sz="8" w:color="1C2790"/>
            </w:tcBorders>
            <w:gridSpan w:val="13"/>
          </w:tcPr>
          <w:p>
            <w:pPr>
              <w:spacing w:after="0" w:line="176" w:lineRule="exact"/>
              <w:rPr>
                <w:sz w:val="20"/>
                <w:szCs w:val="20"/>
                <w:color w:val="auto"/>
              </w:rPr>
            </w:pPr>
            <w:r>
              <w:rPr>
                <w:rFonts w:ascii="Arial" w:cs="Arial" w:eastAsia="Arial" w:hAnsi="Arial"/>
                <w:sz w:val="20"/>
                <w:szCs w:val="20"/>
                <w:color w:val="1C2790"/>
                <w:w w:val="91"/>
              </w:rPr>
              <w:t>LLC, as First Lien Administrative Agent</w:t>
            </w:r>
          </w:p>
        </w:tc>
        <w:tc>
          <w:tcPr>
            <w:tcW w:w="2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60" w:type="dxa"/>
            <w:vAlign w:val="bottom"/>
            <w:tcBorders>
              <w:top w:val="single" w:sz="8" w:color="1C2790"/>
            </w:tcBorders>
            <w:gridSpan w:val="16"/>
          </w:tcPr>
          <w:p>
            <w:pPr>
              <w:spacing w:after="0" w:line="176" w:lineRule="exact"/>
              <w:rPr>
                <w:sz w:val="20"/>
                <w:szCs w:val="20"/>
                <w:color w:val="auto"/>
              </w:rPr>
            </w:pPr>
            <w:r>
              <w:rPr>
                <w:rFonts w:ascii="Arial" w:cs="Arial" w:eastAsia="Arial" w:hAnsi="Arial"/>
                <w:sz w:val="20"/>
                <w:szCs w:val="20"/>
                <w:color w:val="1C2790"/>
              </w:rPr>
              <w:t>and First Lien Collateral Agent</w:t>
            </w:r>
          </w:p>
        </w:tc>
        <w:tc>
          <w:tcPr>
            <w:tcW w:w="2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20"/>
                <w:szCs w:val="20"/>
                <w:color w:val="auto"/>
              </w:rPr>
              <w:t>10.35</w:t>
            </w:r>
          </w:p>
        </w:tc>
        <w:tc>
          <w:tcPr>
            <w:tcW w:w="2440" w:type="dxa"/>
            <w:vAlign w:val="bottom"/>
            <w:gridSpan w:val="4"/>
            <w:shd w:val="clear" w:color="auto" w:fill="1C279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00" w:type="dxa"/>
            <w:vAlign w:val="bottom"/>
            <w:vMerge w:val="continue"/>
          </w:tcPr>
          <w:p>
            <w:pPr>
              <w:spacing w:after="0"/>
              <w:rPr>
                <w:sz w:val="24"/>
                <w:szCs w:val="24"/>
                <w:color w:val="auto"/>
              </w:rPr>
            </w:pPr>
          </w:p>
        </w:tc>
        <w:tc>
          <w:tcPr>
            <w:tcW w:w="3480" w:type="dxa"/>
            <w:vAlign w:val="bottom"/>
            <w:gridSpan w:val="26"/>
          </w:tcPr>
          <w:p>
            <w:pPr>
              <w:spacing w:after="0"/>
              <w:rPr>
                <w:sz w:val="20"/>
                <w:szCs w:val="20"/>
                <w:color w:val="auto"/>
              </w:rPr>
            </w:pPr>
            <w:r>
              <w:rPr>
                <w:rFonts w:ascii="Arial" w:cs="Arial" w:eastAsia="Arial" w:hAnsi="Arial"/>
                <w:sz w:val="20"/>
                <w:szCs w:val="20"/>
                <w:color w:val="1C2790"/>
              </w:rPr>
              <w:t>Amendment to First Lien 2019 Credit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020" w:type="dxa"/>
            <w:vAlign w:val="bottom"/>
            <w:tcBorders>
              <w:top w:val="single" w:sz="8" w:color="1C2790"/>
              <w:bottom w:val="single" w:sz="8" w:color="1C2790"/>
            </w:tcBorders>
            <w:gridSpan w:val="8"/>
          </w:tcPr>
          <w:p>
            <w:pPr>
              <w:spacing w:after="0" w:line="176" w:lineRule="exact"/>
              <w:rPr>
                <w:sz w:val="20"/>
                <w:szCs w:val="20"/>
                <w:color w:val="auto"/>
              </w:rPr>
            </w:pPr>
            <w:r>
              <w:rPr>
                <w:rFonts w:ascii="Arial" w:cs="Arial" w:eastAsia="Arial" w:hAnsi="Arial"/>
                <w:sz w:val="20"/>
                <w:szCs w:val="20"/>
                <w:color w:val="1C2790"/>
                <w:w w:val="88"/>
              </w:rPr>
              <w:t>Agreement, dated as of December 23,</w:t>
            </w:r>
          </w:p>
        </w:tc>
        <w:tc>
          <w:tcPr>
            <w:tcW w:w="440" w:type="dxa"/>
            <w:vAlign w:val="bottom"/>
            <w:tcBorders>
              <w:bottom w:val="single" w:sz="8" w:color="1C2790"/>
            </w:tcBorders>
            <w:gridSpan w:val="17"/>
          </w:tcPr>
          <w:p>
            <w:pPr>
              <w:jc w:val="right"/>
              <w:ind w:right="60"/>
              <w:spacing w:after="0" w:line="176" w:lineRule="exact"/>
              <w:rPr>
                <w:sz w:val="20"/>
                <w:szCs w:val="20"/>
                <w:color w:val="auto"/>
              </w:rPr>
            </w:pPr>
            <w:r>
              <w:rPr>
                <w:rFonts w:ascii="Arial" w:cs="Arial" w:eastAsia="Arial" w:hAnsi="Arial"/>
                <w:sz w:val="20"/>
                <w:szCs w:val="20"/>
                <w:color w:val="1C2790"/>
                <w:w w:val="80"/>
              </w:rPr>
              <w:t>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Pr>
          <w:p>
            <w:pPr>
              <w:spacing w:after="0"/>
              <w:rPr>
                <w:sz w:val="15"/>
                <w:szCs w:val="15"/>
                <w:color w:val="auto"/>
              </w:rPr>
            </w:pPr>
          </w:p>
        </w:tc>
        <w:tc>
          <w:tcPr>
            <w:tcW w:w="3460" w:type="dxa"/>
            <w:vAlign w:val="bottom"/>
            <w:gridSpan w:val="25"/>
          </w:tcPr>
          <w:p>
            <w:pPr>
              <w:spacing w:after="0" w:line="181" w:lineRule="exact"/>
              <w:rPr>
                <w:sz w:val="20"/>
                <w:szCs w:val="20"/>
                <w:color w:val="auto"/>
              </w:rPr>
            </w:pPr>
            <w:r>
              <w:rPr>
                <w:rFonts w:ascii="Arial" w:cs="Arial" w:eastAsia="Arial" w:hAnsi="Arial"/>
                <w:sz w:val="20"/>
                <w:szCs w:val="20"/>
                <w:u w:val="single" w:color="auto"/>
                <w:color w:val="1C2790"/>
                <w:w w:val="97"/>
              </w:rPr>
              <w:t>by and among Sotera Health Company,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00" w:right="1000"/>
        <w:spacing w:after="0" w:line="214" w:lineRule="auto"/>
        <w:rPr>
          <w:sz w:val="20"/>
          <w:szCs w:val="20"/>
          <w:color w:val="auto"/>
        </w:rPr>
      </w:pPr>
      <w:r>
        <w:rPr>
          <w:rFonts w:ascii="Arial" w:cs="Arial" w:eastAsia="Arial" w:hAnsi="Arial"/>
          <w:sz w:val="20"/>
          <w:szCs w:val="20"/>
          <w:u w:val="single" w:color="auto"/>
          <w:color w:val="1C2790"/>
        </w:rPr>
        <w:t>Sotera Health Holdings, LLC, and JPMorgan Chase Bank, N.A. as First Lien Administrative Agent and First Lien Collateral Agent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tabs>
          <w:tab w:leader="none" w:pos="680" w:val="left"/>
          <w:tab w:leader="none" w:pos="1900" w:val="left"/>
          <w:tab w:leader="none" w:pos="2620" w:val="left"/>
        </w:tabs>
        <w:rPr>
          <w:sz w:val="20"/>
          <w:szCs w:val="20"/>
          <w:color w:val="auto"/>
        </w:rPr>
      </w:pPr>
      <w:r>
        <w:rPr>
          <w:rFonts w:ascii="Arial" w:cs="Arial" w:eastAsia="Arial" w:hAnsi="Arial"/>
          <w:sz w:val="20"/>
          <w:szCs w:val="20"/>
          <w:color w:val="auto"/>
        </w:rPr>
        <w:t>S-1/A</w:t>
        <w:tab/>
        <w:t>333-249648</w:t>
        <w:tab/>
        <w:t>10.31</w:t>
      </w:r>
      <w:r>
        <w:rPr>
          <w:sz w:val="20"/>
          <w:szCs w:val="20"/>
          <w:color w:val="auto"/>
        </w:rPr>
        <w:tab/>
      </w:r>
      <w:r>
        <w:rPr>
          <w:rFonts w:ascii="Arial" w:cs="Arial" w:eastAsia="Arial" w:hAnsi="Arial"/>
          <w:sz w:val="17"/>
          <w:szCs w:val="17"/>
          <w:color w:val="auto"/>
        </w:rPr>
        <w:t>2020-11-12</w:t>
      </w:r>
    </w:p>
    <w:p>
      <w:pPr>
        <w:spacing w:after="0" w:line="343" w:lineRule="exact"/>
        <w:rPr>
          <w:sz w:val="20"/>
          <w:szCs w:val="20"/>
          <w:color w:val="auto"/>
        </w:rPr>
      </w:pPr>
    </w:p>
    <w:p>
      <w:pPr>
        <w:spacing w:after="0"/>
        <w:tabs>
          <w:tab w:leader="none" w:pos="680" w:val="left"/>
          <w:tab w:leader="none" w:pos="1900" w:val="left"/>
          <w:tab w:leader="none" w:pos="2620" w:val="left"/>
        </w:tabs>
        <w:rPr>
          <w:sz w:val="20"/>
          <w:szCs w:val="20"/>
          <w:color w:val="auto"/>
        </w:rPr>
      </w:pPr>
      <w:r>
        <w:rPr>
          <w:rFonts w:ascii="Arial" w:cs="Arial" w:eastAsia="Arial" w:hAnsi="Arial"/>
          <w:sz w:val="20"/>
          <w:szCs w:val="20"/>
          <w:color w:val="auto"/>
        </w:rPr>
        <w:t>S-1/A</w:t>
        <w:tab/>
        <w:t>333-249648</w:t>
        <w:tab/>
        <w:t>10.32</w:t>
      </w:r>
      <w:r>
        <w:rPr>
          <w:sz w:val="20"/>
          <w:szCs w:val="20"/>
          <w:color w:val="auto"/>
        </w:rPr>
        <w:tab/>
      </w:r>
      <w:r>
        <w:rPr>
          <w:rFonts w:ascii="Arial" w:cs="Arial" w:eastAsia="Arial" w:hAnsi="Arial"/>
          <w:sz w:val="17"/>
          <w:szCs w:val="17"/>
          <w:color w:val="auto"/>
        </w:rPr>
        <w:t>2020-11-12</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740" w:val="left"/>
          <w:tab w:leader="none" w:pos="1900" w:val="left"/>
          <w:tab w:leader="none" w:pos="26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10.26</w:t>
      </w:r>
      <w:r>
        <w:rPr>
          <w:sz w:val="20"/>
          <w:szCs w:val="20"/>
          <w:color w:val="auto"/>
        </w:rPr>
        <w:tab/>
      </w:r>
      <w:r>
        <w:rPr>
          <w:rFonts w:ascii="Arial" w:cs="Arial" w:eastAsia="Arial" w:hAnsi="Arial"/>
          <w:sz w:val="17"/>
          <w:szCs w:val="17"/>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740" w:val="left"/>
          <w:tab w:leader="none" w:pos="1900" w:val="left"/>
          <w:tab w:leader="none" w:pos="26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10.27</w:t>
      </w:r>
      <w:r>
        <w:rPr>
          <w:sz w:val="20"/>
          <w:szCs w:val="20"/>
          <w:color w:val="auto"/>
        </w:rPr>
        <w:tab/>
      </w:r>
      <w:r>
        <w:rPr>
          <w:rFonts w:ascii="Arial" w:cs="Arial" w:eastAsia="Arial" w:hAnsi="Arial"/>
          <w:sz w:val="17"/>
          <w:szCs w:val="17"/>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740" w:val="left"/>
          <w:tab w:leader="none" w:pos="1900" w:val="left"/>
          <w:tab w:leader="none" w:pos="26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10.28</w:t>
      </w:r>
      <w:r>
        <w:rPr>
          <w:sz w:val="20"/>
          <w:szCs w:val="20"/>
          <w:color w:val="auto"/>
        </w:rPr>
        <w:tab/>
      </w:r>
      <w:r>
        <w:rPr>
          <w:rFonts w:ascii="Arial" w:cs="Arial" w:eastAsia="Arial" w:hAnsi="Arial"/>
          <w:sz w:val="17"/>
          <w:szCs w:val="17"/>
          <w:color w:val="auto"/>
        </w:rPr>
        <w:t>2021-03-09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740" w:val="left"/>
          <w:tab w:leader="none" w:pos="1940" w:val="left"/>
          <w:tab w:leader="none" w:pos="262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w:t>
      </w:r>
      <w:r>
        <w:rPr>
          <w:sz w:val="20"/>
          <w:szCs w:val="20"/>
          <w:color w:val="auto"/>
        </w:rPr>
        <w:tab/>
      </w:r>
      <w:r>
        <w:rPr>
          <w:rFonts w:ascii="Arial" w:cs="Arial" w:eastAsia="Arial" w:hAnsi="Arial"/>
          <w:sz w:val="17"/>
          <w:szCs w:val="17"/>
          <w:color w:val="auto"/>
        </w:rPr>
        <w:t>2021-05-13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740" w:val="left"/>
          <w:tab w:leader="none" w:pos="1900" w:val="left"/>
          <w:tab w:leader="none" w:pos="26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10.31</w:t>
      </w:r>
      <w:r>
        <w:rPr>
          <w:sz w:val="20"/>
          <w:szCs w:val="20"/>
          <w:color w:val="auto"/>
        </w:rPr>
        <w:tab/>
      </w:r>
      <w:r>
        <w:rPr>
          <w:rFonts w:ascii="Arial" w:cs="Arial" w:eastAsia="Arial" w:hAnsi="Arial"/>
          <w:sz w:val="17"/>
          <w:szCs w:val="17"/>
          <w:color w:val="auto"/>
        </w:rPr>
        <w:t>2022-03-01</w:t>
      </w:r>
    </w:p>
    <w:p>
      <w:pPr>
        <w:spacing w:after="0" w:line="822" w:lineRule="exact"/>
        <w:rPr>
          <w:sz w:val="20"/>
          <w:szCs w:val="20"/>
          <w:color w:val="auto"/>
        </w:rPr>
      </w:pPr>
    </w:p>
    <w:p>
      <w:pPr>
        <w:sectPr>
          <w:pgSz w:w="11880" w:h="15480" w:orient="portrait"/>
          <w:cols w:equalWidth="0" w:num="2">
            <w:col w:w="5600" w:space="720"/>
            <w:col w:w="3560"/>
          </w:cols>
          <w:pgMar w:left="960" w:top="579" w:right="10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9880"/>
          </w:cols>
          <w:pgMar w:left="960" w:top="579" w:right="1040"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59"/>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20" w:type="dxa"/>
            <w:vAlign w:val="bottom"/>
            <w:gridSpan w:val="3"/>
          </w:tcPr>
          <w:p>
            <w:pPr>
              <w:ind w:left="8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rPr>
              <w:t>Exhibit No</w:t>
            </w:r>
          </w:p>
        </w:tc>
        <w:tc>
          <w:tcPr>
            <w:tcW w:w="34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Description of Exhibits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Furnished</w:t>
            </w:r>
          </w:p>
        </w:tc>
        <w:tc>
          <w:tcPr>
            <w:tcW w:w="14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File No.</w:t>
            </w:r>
          </w:p>
        </w:tc>
        <w:tc>
          <w:tcPr>
            <w:tcW w:w="8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1140" w:type="dxa"/>
            <w:vAlign w:val="bottom"/>
            <w:vMerge w:val="restart"/>
          </w:tcPr>
          <w:p>
            <w:pPr>
              <w:ind w:left="100"/>
              <w:spacing w:after="0"/>
              <w:rPr>
                <w:sz w:val="20"/>
                <w:szCs w:val="20"/>
                <w:color w:val="auto"/>
              </w:rPr>
            </w:pPr>
            <w:r>
              <w:rPr>
                <w:rFonts w:ascii="Arial" w:cs="Arial" w:eastAsia="Arial" w:hAnsi="Arial"/>
                <w:sz w:val="20"/>
                <w:szCs w:val="20"/>
                <w:b w:val="1"/>
                <w:bCs w:val="1"/>
                <w:color w:val="auto"/>
                <w:w w:val="99"/>
              </w:rPr>
              <w:t>Filing Date</w:t>
            </w:r>
          </w:p>
        </w:tc>
        <w:tc>
          <w:tcPr>
            <w:tcW w:w="0" w:type="dxa"/>
            <w:vAlign w:val="bottom"/>
          </w:tcPr>
          <w:p>
            <w:pPr>
              <w:spacing w:after="0"/>
              <w:rPr>
                <w:sz w:val="1"/>
                <w:szCs w:val="1"/>
                <w:color w:val="auto"/>
              </w:rPr>
            </w:pPr>
          </w:p>
        </w:tc>
      </w:tr>
      <w:tr>
        <w:trPr>
          <w:trHeight w:val="258"/>
        </w:trPr>
        <w:tc>
          <w:tcPr>
            <w:tcW w:w="1340" w:type="dxa"/>
            <w:vAlign w:val="bottom"/>
            <w:gridSpan w:val="3"/>
            <w:vMerge w:val="continue"/>
          </w:tcPr>
          <w:p>
            <w:pPr>
              <w:spacing w:after="0"/>
              <w:rPr>
                <w:sz w:val="22"/>
                <w:szCs w:val="22"/>
                <w:color w:val="auto"/>
              </w:rPr>
            </w:pPr>
          </w:p>
        </w:tc>
        <w:tc>
          <w:tcPr>
            <w:tcW w:w="346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0"/>
                <w:szCs w:val="20"/>
                <w:b w:val="1"/>
                <w:bCs w:val="1"/>
                <w:color w:val="auto"/>
                <w:w w:val="92"/>
              </w:rPr>
              <w:t>Herewith</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jc w:val="right"/>
              <w:ind w:right="582"/>
              <w:spacing w:after="0" w:line="194" w:lineRule="exact"/>
              <w:rPr>
                <w:sz w:val="20"/>
                <w:szCs w:val="20"/>
                <w:color w:val="auto"/>
              </w:rPr>
            </w:pPr>
            <w:r>
              <w:rPr>
                <w:rFonts w:ascii="Arial" w:cs="Arial" w:eastAsia="Arial" w:hAnsi="Arial"/>
                <w:sz w:val="20"/>
                <w:szCs w:val="20"/>
                <w:color w:val="auto"/>
                <w:w w:val="91"/>
              </w:rPr>
              <w:t>10.36</w:t>
            </w: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020" w:type="dxa"/>
            <w:vAlign w:val="bottom"/>
            <w:tcBorders>
              <w:top w:val="single" w:sz="8" w:color="auto"/>
              <w:bottom w:val="single" w:sz="8" w:color="1C2790"/>
            </w:tcBorders>
          </w:tcPr>
          <w:p>
            <w:pPr>
              <w:spacing w:after="0" w:line="194" w:lineRule="exact"/>
              <w:rPr>
                <w:sz w:val="20"/>
                <w:szCs w:val="20"/>
                <w:color w:val="auto"/>
              </w:rPr>
            </w:pPr>
            <w:r>
              <w:rPr>
                <w:rFonts w:ascii="Arial" w:cs="Arial" w:eastAsia="Arial" w:hAnsi="Arial"/>
                <w:sz w:val="20"/>
                <w:szCs w:val="20"/>
                <w:color w:val="1C2790"/>
                <w:w w:val="91"/>
              </w:rPr>
              <w:t>Amendment to First Lien 2019 Credit</w:t>
            </w:r>
          </w:p>
        </w:tc>
        <w:tc>
          <w:tcPr>
            <w:tcW w:w="440" w:type="dxa"/>
            <w:vAlign w:val="bottom"/>
            <w:tcBorders>
              <w:top w:val="single" w:sz="8" w:color="auto"/>
            </w:tcBorders>
            <w:gridSpan w:val="2"/>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tcBorders>
              <w:bottom w:val="single" w:sz="8" w:color="1C2790"/>
            </w:tcBorders>
            <w:gridSpan w:val="3"/>
          </w:tcPr>
          <w:p>
            <w:pPr>
              <w:spacing w:after="0" w:line="176" w:lineRule="exact"/>
              <w:rPr>
                <w:sz w:val="20"/>
                <w:szCs w:val="20"/>
                <w:color w:val="auto"/>
              </w:rPr>
            </w:pPr>
            <w:r>
              <w:rPr>
                <w:rFonts w:ascii="Arial" w:cs="Arial" w:eastAsia="Arial" w:hAnsi="Arial"/>
                <w:sz w:val="20"/>
                <w:szCs w:val="20"/>
                <w:color w:val="1C2790"/>
                <w:w w:val="89"/>
              </w:rPr>
              <w:t>Agreement, dated as of March 24, 2022, by</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tcBorders>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7"/>
              </w:rPr>
              <w:t>and among Sotera Health Company, Sotera</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20"/>
                <w:szCs w:val="20"/>
                <w:color w:val="auto"/>
                <w:w w:val="94"/>
              </w:rPr>
              <w:t>10-K</w:t>
            </w:r>
          </w:p>
        </w:tc>
        <w:tc>
          <w:tcPr>
            <w:tcW w:w="1160" w:type="dxa"/>
            <w:vAlign w:val="bottom"/>
          </w:tcPr>
          <w:p>
            <w:pPr>
              <w:jc w:val="right"/>
              <w:ind w:right="22"/>
              <w:spacing w:after="0" w:line="176" w:lineRule="exact"/>
              <w:rPr>
                <w:sz w:val="20"/>
                <w:szCs w:val="20"/>
                <w:color w:val="auto"/>
              </w:rPr>
            </w:pPr>
            <w:r>
              <w:rPr>
                <w:rFonts w:ascii="Arial" w:cs="Arial" w:eastAsia="Arial" w:hAnsi="Arial"/>
                <w:sz w:val="20"/>
                <w:szCs w:val="20"/>
                <w:color w:val="auto"/>
              </w:rPr>
              <w:t>001-39729</w:t>
            </w:r>
          </w:p>
        </w:tc>
        <w:tc>
          <w:tcPr>
            <w:tcW w:w="820" w:type="dxa"/>
            <w:vAlign w:val="bottom"/>
          </w:tcPr>
          <w:p>
            <w:pPr>
              <w:jc w:val="right"/>
              <w:ind w:right="82"/>
              <w:spacing w:after="0" w:line="176" w:lineRule="exact"/>
              <w:rPr>
                <w:sz w:val="20"/>
                <w:szCs w:val="20"/>
                <w:color w:val="auto"/>
              </w:rPr>
            </w:pPr>
            <w:r>
              <w:rPr>
                <w:rFonts w:ascii="Arial" w:cs="Arial" w:eastAsia="Arial" w:hAnsi="Arial"/>
                <w:sz w:val="20"/>
                <w:szCs w:val="20"/>
                <w:color w:val="auto"/>
              </w:rPr>
              <w:t>10.37</w:t>
            </w:r>
          </w:p>
        </w:tc>
        <w:tc>
          <w:tcPr>
            <w:tcW w:w="1140" w:type="dxa"/>
            <w:vAlign w:val="bottom"/>
          </w:tcPr>
          <w:p>
            <w:pPr>
              <w:ind w:left="100"/>
              <w:spacing w:after="0" w:line="176" w:lineRule="exact"/>
              <w:rPr>
                <w:sz w:val="20"/>
                <w:szCs w:val="20"/>
                <w:color w:val="auto"/>
              </w:rPr>
            </w:pPr>
            <w:r>
              <w:rPr>
                <w:rFonts w:ascii="Arial" w:cs="Arial" w:eastAsia="Arial" w:hAnsi="Arial"/>
                <w:sz w:val="20"/>
                <w:szCs w:val="20"/>
                <w:color w:val="auto"/>
                <w:w w:val="99"/>
              </w:rPr>
              <w:t>2023-02-28</w:t>
            </w:r>
          </w:p>
        </w:tc>
        <w:tc>
          <w:tcPr>
            <w:tcW w:w="0" w:type="dxa"/>
            <w:vAlign w:val="bottom"/>
          </w:tcPr>
          <w:p>
            <w:pPr>
              <w:spacing w:after="0"/>
              <w:rPr>
                <w:sz w:val="1"/>
                <w:szCs w:val="1"/>
                <w:color w:val="auto"/>
              </w:rPr>
            </w:pPr>
          </w:p>
        </w:tc>
      </w:tr>
    </w:tbl>
    <w:p>
      <w:pPr>
        <w:ind w:left="1340"/>
        <w:spacing w:after="0" w:line="199" w:lineRule="auto"/>
        <w:rPr>
          <w:sz w:val="20"/>
          <w:szCs w:val="20"/>
          <w:color w:val="auto"/>
        </w:rPr>
      </w:pPr>
      <w:r>
        <w:rPr>
          <w:rFonts w:ascii="Arial" w:cs="Arial" w:eastAsia="Arial" w:hAnsi="Arial"/>
          <w:sz w:val="20"/>
          <w:szCs w:val="20"/>
          <w:u w:val="single" w:color="auto"/>
          <w:color w:val="1C2790"/>
        </w:rPr>
        <w:t>Health Holdings, LLC, and JPMorgan</w:t>
      </w:r>
    </w:p>
    <w:p>
      <w:pPr>
        <w:ind w:left="1340"/>
        <w:spacing w:after="0" w:line="205" w:lineRule="auto"/>
        <w:rPr>
          <w:sz w:val="20"/>
          <w:szCs w:val="20"/>
          <w:color w:val="auto"/>
        </w:rPr>
      </w:pPr>
      <w:r>
        <w:rPr>
          <w:rFonts w:ascii="Arial" w:cs="Arial" w:eastAsia="Arial" w:hAnsi="Arial"/>
          <w:sz w:val="20"/>
          <w:szCs w:val="20"/>
          <w:u w:val="single" w:color="auto"/>
          <w:color w:val="1C2790"/>
        </w:rPr>
        <w:t>Chase Bank, N.A. as First Lien</w:t>
      </w:r>
    </w:p>
    <w:p>
      <w:pPr>
        <w:ind w:left="1340"/>
        <w:spacing w:after="0"/>
        <w:rPr>
          <w:sz w:val="20"/>
          <w:szCs w:val="20"/>
          <w:color w:val="auto"/>
        </w:rPr>
      </w:pPr>
      <w:r>
        <w:rPr>
          <w:rFonts w:ascii="Arial" w:cs="Arial" w:eastAsia="Arial" w:hAnsi="Arial"/>
          <w:sz w:val="20"/>
          <w:szCs w:val="20"/>
          <w:u w:val="single" w:color="auto"/>
          <w:color w:val="1C2790"/>
        </w:rPr>
        <w:t>Administrative Agent</w:t>
      </w:r>
    </w:p>
    <w:p>
      <w:pPr>
        <w:sectPr>
          <w:pgSz w:w="11880" w:h="15480" w:orient="portrait"/>
          <w:cols w:equalWidth="0" w:num="1">
            <w:col w:w="10040"/>
          </w:cols>
          <w:pgMar w:left="920" w:top="579" w:right="920" w:bottom="0" w:gutter="0" w:footer="0" w:header="0"/>
        </w:sectPr>
      </w:pP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10.37</w:t>
            </w:r>
          </w:p>
        </w:tc>
        <w:tc>
          <w:tcPr>
            <w:tcW w:w="2800" w:type="dxa"/>
            <w:vAlign w:val="bottom"/>
            <w:tcBorders>
              <w:bottom w:val="single" w:sz="8" w:color="1C2790"/>
            </w:tcBorders>
            <w:gridSpan w:val="8"/>
          </w:tcPr>
          <w:p>
            <w:pPr>
              <w:spacing w:after="0"/>
              <w:rPr>
                <w:sz w:val="20"/>
                <w:szCs w:val="20"/>
                <w:color w:val="auto"/>
              </w:rPr>
            </w:pPr>
            <w:r>
              <w:rPr>
                <w:rFonts w:ascii="Arial" w:cs="Arial" w:eastAsia="Arial" w:hAnsi="Arial"/>
                <w:sz w:val="20"/>
                <w:szCs w:val="20"/>
                <w:color w:val="1C2790"/>
                <w:w w:val="89"/>
              </w:rPr>
              <w:t>2023 Credit Agreement dated as of</w:t>
            </w:r>
          </w:p>
        </w:tc>
        <w:tc>
          <w:tcPr>
            <w:tcW w:w="78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7"/>
              </w:rPr>
              <w:t>February 23, 2023 among the Registrant,</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80" w:type="dxa"/>
            <w:vAlign w:val="bottom"/>
            <w:tcBorders>
              <w:top w:val="single" w:sz="8" w:color="1C2790"/>
              <w:bottom w:val="single" w:sz="8" w:color="1C2790"/>
            </w:tcBorders>
            <w:gridSpan w:val="18"/>
          </w:tcPr>
          <w:p>
            <w:pPr>
              <w:spacing w:after="0" w:line="176" w:lineRule="exact"/>
              <w:rPr>
                <w:sz w:val="20"/>
                <w:szCs w:val="20"/>
                <w:color w:val="auto"/>
              </w:rPr>
            </w:pPr>
            <w:r>
              <w:rPr>
                <w:rFonts w:ascii="Arial" w:cs="Arial" w:eastAsia="Arial" w:hAnsi="Arial"/>
                <w:sz w:val="20"/>
                <w:szCs w:val="20"/>
                <w:color w:val="1C2790"/>
                <w:w w:val="88"/>
              </w:rPr>
              <w:t>Sotera Health Holdings, LLC, the Lenders</w:t>
            </w: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00" w:type="dxa"/>
            <w:vAlign w:val="bottom"/>
            <w:gridSpan w:val="25"/>
          </w:tcPr>
          <w:p>
            <w:pPr>
              <w:spacing w:after="0" w:line="176" w:lineRule="exact"/>
              <w:rPr>
                <w:sz w:val="20"/>
                <w:szCs w:val="20"/>
                <w:color w:val="auto"/>
              </w:rPr>
            </w:pPr>
            <w:r>
              <w:rPr>
                <w:rFonts w:ascii="Arial" w:cs="Arial" w:eastAsia="Arial" w:hAnsi="Arial"/>
                <w:sz w:val="20"/>
                <w:szCs w:val="20"/>
                <w:color w:val="1C2790"/>
                <w:w w:val="91"/>
              </w:rPr>
              <w:t>party thereto and JPMorgan Chase Bank,</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00" w:type="dxa"/>
            <w:vAlign w:val="bottom"/>
            <w:tcBorders>
              <w:top w:val="single" w:sz="8" w:color="1C2790"/>
            </w:tcBorders>
            <w:gridSpan w:val="19"/>
          </w:tcPr>
          <w:p>
            <w:pPr>
              <w:spacing w:after="0" w:line="176" w:lineRule="exact"/>
              <w:rPr>
                <w:sz w:val="20"/>
                <w:szCs w:val="20"/>
                <w:color w:val="auto"/>
              </w:rPr>
            </w:pPr>
            <w:r>
              <w:rPr>
                <w:rFonts w:ascii="Arial" w:cs="Arial" w:eastAsia="Arial" w:hAnsi="Arial"/>
                <w:sz w:val="20"/>
                <w:szCs w:val="20"/>
                <w:color w:val="1C2790"/>
                <w:w w:val="94"/>
              </w:rPr>
              <w:t>N.A., as First Lien Administrative Agent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60" w:type="dxa"/>
            <w:vAlign w:val="bottom"/>
            <w:tcBorders>
              <w:top w:val="single" w:sz="8" w:color="1C2790"/>
            </w:tcBorders>
            <w:gridSpan w:val="17"/>
          </w:tcPr>
          <w:p>
            <w:pPr>
              <w:spacing w:after="0" w:line="176" w:lineRule="exact"/>
              <w:rPr>
                <w:sz w:val="20"/>
                <w:szCs w:val="20"/>
                <w:color w:val="auto"/>
              </w:rPr>
            </w:pPr>
            <w:r>
              <w:rPr>
                <w:rFonts w:ascii="Arial" w:cs="Arial" w:eastAsia="Arial" w:hAnsi="Arial"/>
                <w:sz w:val="20"/>
                <w:szCs w:val="20"/>
                <w:color w:val="1C2790"/>
              </w:rPr>
              <w:t>and First Lien Collateral Agent</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62"/>
              <w:spacing w:after="0"/>
              <w:rPr>
                <w:sz w:val="20"/>
                <w:szCs w:val="20"/>
                <w:color w:val="auto"/>
              </w:rPr>
            </w:pPr>
            <w:r>
              <w:rPr>
                <w:rFonts w:ascii="Arial" w:cs="Arial" w:eastAsia="Arial" w:hAnsi="Arial"/>
                <w:sz w:val="20"/>
                <w:szCs w:val="20"/>
                <w:color w:val="auto"/>
                <w:w w:val="83"/>
              </w:rPr>
              <w:t>10.38</w:t>
            </w:r>
          </w:p>
        </w:tc>
        <w:tc>
          <w:tcPr>
            <w:tcW w:w="480" w:type="dxa"/>
            <w:vAlign w:val="bottom"/>
            <w:shd w:val="clear" w:color="auto" w:fill="1C2790"/>
          </w:tcPr>
          <w:p>
            <w:pPr>
              <w:spacing w:after="0" w:line="20" w:lineRule="exact"/>
              <w:rPr>
                <w:sz w:val="1"/>
                <w:szCs w:val="1"/>
                <w:color w:val="auto"/>
              </w:rPr>
            </w:pPr>
          </w:p>
        </w:tc>
        <w:tc>
          <w:tcPr>
            <w:tcW w:w="1400" w:type="dxa"/>
            <w:vAlign w:val="bottom"/>
            <w:shd w:val="clear" w:color="auto" w:fill="1C2790"/>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200" w:type="dxa"/>
            <w:vAlign w:val="bottom"/>
            <w:tcBorders>
              <w:left w:val="single" w:sz="8" w:color="1C279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300" w:type="dxa"/>
            <w:vAlign w:val="bottom"/>
            <w:vMerge w:val="continue"/>
          </w:tcPr>
          <w:p>
            <w:pPr>
              <w:spacing w:after="0"/>
              <w:rPr>
                <w:sz w:val="24"/>
                <w:szCs w:val="24"/>
                <w:color w:val="auto"/>
              </w:rPr>
            </w:pPr>
          </w:p>
        </w:tc>
        <w:tc>
          <w:tcPr>
            <w:tcW w:w="3580" w:type="dxa"/>
            <w:vAlign w:val="bottom"/>
            <w:tcBorders>
              <w:bottom w:val="single" w:sz="8" w:color="1C2790"/>
            </w:tcBorders>
            <w:gridSpan w:val="34"/>
          </w:tcPr>
          <w:p>
            <w:pPr>
              <w:spacing w:after="0"/>
              <w:rPr>
                <w:sz w:val="20"/>
                <w:szCs w:val="20"/>
                <w:color w:val="auto"/>
              </w:rPr>
            </w:pPr>
            <w:r>
              <w:rPr>
                <w:rFonts w:ascii="Arial" w:cs="Arial" w:eastAsia="Arial" w:hAnsi="Arial"/>
                <w:sz w:val="20"/>
                <w:szCs w:val="20"/>
                <w:color w:val="1C2790"/>
                <w:w w:val="91"/>
              </w:rPr>
              <w:t>First Lien Guarantee Agreement dated as of</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5"/>
              </w:rPr>
              <w:t>February 23, 2023, among the Registrant,</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60" w:type="dxa"/>
            <w:vAlign w:val="bottom"/>
            <w:tcBorders>
              <w:top w:val="single" w:sz="8" w:color="1C2790"/>
            </w:tcBorders>
            <w:gridSpan w:val="22"/>
          </w:tcPr>
          <w:p>
            <w:pPr>
              <w:spacing w:after="0" w:line="176" w:lineRule="exact"/>
              <w:rPr>
                <w:sz w:val="20"/>
                <w:szCs w:val="20"/>
                <w:color w:val="auto"/>
              </w:rPr>
            </w:pPr>
            <w:r>
              <w:rPr>
                <w:rFonts w:ascii="Arial" w:cs="Arial" w:eastAsia="Arial" w:hAnsi="Arial"/>
                <w:sz w:val="20"/>
                <w:szCs w:val="20"/>
                <w:color w:val="1C2790"/>
                <w:w w:val="97"/>
              </w:rPr>
              <w:t>Sotera Health Holdings, LLC, the other</w:t>
            </w:r>
          </w:p>
        </w:tc>
        <w:tc>
          <w:tcPr>
            <w:tcW w:w="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00" w:type="dxa"/>
            <w:vAlign w:val="bottom"/>
            <w:tcBorders>
              <w:top w:val="single" w:sz="8" w:color="1C2790"/>
              <w:bottom w:val="single" w:sz="8" w:color="1C2790"/>
            </w:tcBorders>
            <w:gridSpan w:val="11"/>
          </w:tcPr>
          <w:p>
            <w:pPr>
              <w:spacing w:after="0" w:line="176" w:lineRule="exact"/>
              <w:rPr>
                <w:sz w:val="20"/>
                <w:szCs w:val="20"/>
                <w:color w:val="auto"/>
              </w:rPr>
            </w:pPr>
            <w:r>
              <w:rPr>
                <w:rFonts w:ascii="Arial" w:cs="Arial" w:eastAsia="Arial" w:hAnsi="Arial"/>
                <w:sz w:val="20"/>
                <w:szCs w:val="20"/>
                <w:color w:val="1C2790"/>
                <w:w w:val="88"/>
              </w:rPr>
              <w:t>guarantors party thereto and JPMorgan</w:t>
            </w:r>
          </w:p>
        </w:tc>
        <w:tc>
          <w:tcPr>
            <w:tcW w:w="60" w:type="dxa"/>
            <w:vAlign w:val="bottom"/>
            <w:tcBorders>
              <w:top w:val="single" w:sz="8" w:color="1C2790"/>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6"/>
              </w:rPr>
              <w:t>Chase Bank, N.A., as First Lien Collateral</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48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7"/>
              </w:rPr>
              <w:t>Agent</w:t>
            </w:r>
          </w:p>
        </w:tc>
        <w:tc>
          <w:tcPr>
            <w:tcW w:w="2900" w:type="dxa"/>
            <w:vAlign w:val="bottom"/>
            <w:tcBorders>
              <w:top w:val="single" w:sz="8" w:color="1C2790"/>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10.39</w:t>
            </w:r>
          </w:p>
        </w:tc>
        <w:tc>
          <w:tcPr>
            <w:tcW w:w="3580" w:type="dxa"/>
            <w:vAlign w:val="bottom"/>
            <w:gridSpan w:val="34"/>
          </w:tcPr>
          <w:p>
            <w:pPr>
              <w:spacing w:after="0"/>
              <w:rPr>
                <w:sz w:val="20"/>
                <w:szCs w:val="20"/>
                <w:color w:val="auto"/>
              </w:rPr>
            </w:pPr>
            <w:r>
              <w:rPr>
                <w:rFonts w:ascii="Arial" w:cs="Arial" w:eastAsia="Arial" w:hAnsi="Arial"/>
                <w:sz w:val="20"/>
                <w:szCs w:val="20"/>
                <w:color w:val="1C2790"/>
                <w:w w:val="93"/>
              </w:rPr>
              <w:t>First Lien Collateral Agreement dated as of</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00" w:type="dxa"/>
            <w:vAlign w:val="bottom"/>
            <w:tcBorders>
              <w:top w:val="single" w:sz="8" w:color="1C2790"/>
            </w:tcBorders>
            <w:gridSpan w:val="30"/>
          </w:tcPr>
          <w:p>
            <w:pPr>
              <w:spacing w:after="0" w:line="176" w:lineRule="exact"/>
              <w:rPr>
                <w:sz w:val="20"/>
                <w:szCs w:val="20"/>
                <w:color w:val="auto"/>
              </w:rPr>
            </w:pPr>
            <w:r>
              <w:rPr>
                <w:rFonts w:ascii="Arial" w:cs="Arial" w:eastAsia="Arial" w:hAnsi="Arial"/>
                <w:sz w:val="20"/>
                <w:szCs w:val="20"/>
                <w:color w:val="1C2790"/>
                <w:w w:val="93"/>
              </w:rPr>
              <w:t>February 23, 2023, among the Registrant,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60" w:type="dxa"/>
            <w:vAlign w:val="bottom"/>
            <w:tcBorders>
              <w:top w:val="single" w:sz="8" w:color="1C2790"/>
              <w:bottom w:val="single" w:sz="8" w:color="1C2790"/>
            </w:tcBorders>
            <w:gridSpan w:val="13"/>
          </w:tcPr>
          <w:p>
            <w:pPr>
              <w:spacing w:after="0" w:line="176" w:lineRule="exact"/>
              <w:rPr>
                <w:sz w:val="20"/>
                <w:szCs w:val="20"/>
                <w:color w:val="auto"/>
              </w:rPr>
            </w:pPr>
            <w:r>
              <w:rPr>
                <w:rFonts w:ascii="Arial" w:cs="Arial" w:eastAsia="Arial" w:hAnsi="Arial"/>
                <w:sz w:val="20"/>
                <w:szCs w:val="20"/>
                <w:color w:val="1C2790"/>
                <w:w w:val="91"/>
              </w:rPr>
              <w:t>Sotera Health Holdings, LLC, the other</w:t>
            </w:r>
          </w:p>
        </w:tc>
        <w:tc>
          <w:tcPr>
            <w:tcW w:w="200" w:type="dxa"/>
            <w:vAlign w:val="bottom"/>
            <w:tcBorders>
              <w:top w:val="single" w:sz="8" w:color="1C2790"/>
            </w:tcBorders>
            <w:gridSpan w:val="9"/>
          </w:tcPr>
          <w:p>
            <w:pPr>
              <w:spacing w:after="0"/>
              <w:rPr>
                <w:sz w:val="15"/>
                <w:szCs w:val="15"/>
                <w:color w:val="auto"/>
              </w:rPr>
            </w:pPr>
          </w:p>
        </w:tc>
        <w:tc>
          <w:tcPr>
            <w:tcW w:w="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1"/>
              </w:rPr>
              <w:t>grantors party thereto and JPMorgan Chase</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60" w:type="dxa"/>
            <w:vAlign w:val="bottom"/>
            <w:tcBorders>
              <w:top w:val="single" w:sz="8" w:color="1C2790"/>
              <w:bottom w:val="single" w:sz="8" w:color="1C2790"/>
            </w:tcBorders>
            <w:gridSpan w:val="23"/>
          </w:tcPr>
          <w:p>
            <w:pPr>
              <w:spacing w:after="0" w:line="176" w:lineRule="exact"/>
              <w:rPr>
                <w:sz w:val="20"/>
                <w:szCs w:val="20"/>
                <w:color w:val="auto"/>
              </w:rPr>
            </w:pPr>
            <w:r>
              <w:rPr>
                <w:rFonts w:ascii="Arial" w:cs="Arial" w:eastAsia="Arial" w:hAnsi="Arial"/>
                <w:sz w:val="20"/>
                <w:szCs w:val="20"/>
                <w:color w:val="1C2790"/>
                <w:w w:val="91"/>
              </w:rPr>
              <w:t>Bank, N.A., as First Lien Collateral Agent</w:t>
            </w:r>
          </w:p>
        </w:tc>
        <w:tc>
          <w:tcPr>
            <w:tcW w:w="120" w:type="dxa"/>
            <w:vAlign w:val="bottom"/>
            <w:tcBorders>
              <w:top w:val="single" w:sz="8" w:color="1C2790"/>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1300" w:type="dxa"/>
            <w:vAlign w:val="bottom"/>
          </w:tcPr>
          <w:p>
            <w:pPr>
              <w:jc w:val="right"/>
              <w:ind w:right="762"/>
              <w:spacing w:after="0"/>
              <w:rPr>
                <w:sz w:val="20"/>
                <w:szCs w:val="20"/>
                <w:color w:val="auto"/>
              </w:rPr>
            </w:pPr>
            <w:r>
              <w:rPr>
                <w:rFonts w:ascii="Arial" w:cs="Arial" w:eastAsia="Arial" w:hAnsi="Arial"/>
                <w:sz w:val="20"/>
                <w:szCs w:val="20"/>
                <w:color w:val="auto"/>
                <w:w w:val="83"/>
              </w:rPr>
              <w:t>10.40</w:t>
            </w:r>
          </w:p>
        </w:tc>
        <w:tc>
          <w:tcPr>
            <w:tcW w:w="2700" w:type="dxa"/>
            <w:vAlign w:val="bottom"/>
            <w:tcBorders>
              <w:bottom w:val="single" w:sz="8" w:color="1C2790"/>
            </w:tcBorders>
            <w:gridSpan w:val="5"/>
          </w:tcPr>
          <w:p>
            <w:pPr>
              <w:spacing w:after="0"/>
              <w:rPr>
                <w:sz w:val="20"/>
                <w:szCs w:val="20"/>
                <w:color w:val="auto"/>
              </w:rPr>
            </w:pPr>
            <w:r>
              <w:rPr>
                <w:rFonts w:ascii="Arial" w:cs="Arial" w:eastAsia="Arial" w:hAnsi="Arial"/>
                <w:sz w:val="20"/>
                <w:szCs w:val="20"/>
                <w:color w:val="1C2790"/>
                <w:w w:val="90"/>
              </w:rPr>
              <w:t>First Lien Pari Passu Intercreditor</w:t>
            </w:r>
          </w:p>
        </w:tc>
        <w:tc>
          <w:tcPr>
            <w:tcW w:w="88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4"/>
              </w:rPr>
              <w:t>Agreement dated as of February 23, 2023,</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60" w:type="dxa"/>
            <w:vAlign w:val="bottom"/>
            <w:tcBorders>
              <w:top w:val="single" w:sz="8" w:color="1C2790"/>
            </w:tcBorders>
            <w:gridSpan w:val="23"/>
          </w:tcPr>
          <w:p>
            <w:pPr>
              <w:spacing w:after="0" w:line="176" w:lineRule="exact"/>
              <w:rPr>
                <w:sz w:val="20"/>
                <w:szCs w:val="20"/>
                <w:color w:val="auto"/>
              </w:rPr>
            </w:pPr>
            <w:r>
              <w:rPr>
                <w:rFonts w:ascii="Arial" w:cs="Arial" w:eastAsia="Arial" w:hAnsi="Arial"/>
                <w:sz w:val="20"/>
                <w:szCs w:val="20"/>
                <w:color w:val="1C2790"/>
                <w:w w:val="93"/>
              </w:rPr>
              <w:t>among Sotera Health Holdings, LLC, the</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320" w:type="dxa"/>
            <w:vAlign w:val="bottom"/>
            <w:tcBorders>
              <w:top w:val="single" w:sz="8" w:color="1C2790"/>
              <w:bottom w:val="single" w:sz="8" w:color="1C2790"/>
            </w:tcBorders>
            <w:gridSpan w:val="20"/>
          </w:tcPr>
          <w:p>
            <w:pPr>
              <w:spacing w:after="0" w:line="176" w:lineRule="exact"/>
              <w:rPr>
                <w:sz w:val="20"/>
                <w:szCs w:val="20"/>
                <w:color w:val="auto"/>
              </w:rPr>
            </w:pPr>
            <w:r>
              <w:rPr>
                <w:rFonts w:ascii="Arial" w:cs="Arial" w:eastAsia="Arial" w:hAnsi="Arial"/>
                <w:sz w:val="20"/>
                <w:szCs w:val="20"/>
                <w:color w:val="1C2790"/>
                <w:w w:val="87"/>
              </w:rPr>
              <w:t>Registrant, the other grantors party thereto</w:t>
            </w:r>
          </w:p>
        </w:tc>
        <w:tc>
          <w:tcPr>
            <w:tcW w:w="20" w:type="dxa"/>
            <w:vAlign w:val="bottom"/>
            <w:tcBorders>
              <w:bottom w:val="single" w:sz="8" w:color="1C2790"/>
            </w:tcBorders>
          </w:tcPr>
          <w:p>
            <w:pPr>
              <w:spacing w:after="0"/>
              <w:rPr>
                <w:sz w:val="15"/>
                <w:szCs w:val="15"/>
                <w:color w:val="auto"/>
              </w:rPr>
            </w:pPr>
          </w:p>
        </w:tc>
        <w:tc>
          <w:tcPr>
            <w:tcW w:w="80" w:type="dxa"/>
            <w:vAlign w:val="bottom"/>
            <w:tcBorders>
              <w:bottom w:val="single" w:sz="8" w:color="1C279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20" w:type="dxa"/>
            <w:vAlign w:val="bottom"/>
            <w:gridSpan w:val="26"/>
          </w:tcPr>
          <w:p>
            <w:pPr>
              <w:spacing w:after="0" w:line="176" w:lineRule="exact"/>
              <w:rPr>
                <w:sz w:val="20"/>
                <w:szCs w:val="20"/>
                <w:color w:val="auto"/>
              </w:rPr>
            </w:pPr>
            <w:r>
              <w:rPr>
                <w:rFonts w:ascii="Arial" w:cs="Arial" w:eastAsia="Arial" w:hAnsi="Arial"/>
                <w:sz w:val="20"/>
                <w:szCs w:val="20"/>
                <w:color w:val="1C2790"/>
              </w:rPr>
              <w:t>and JPMorgan Chase Bank, N.A.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62"/>
              <w:spacing w:after="0"/>
              <w:rPr>
                <w:sz w:val="20"/>
                <w:szCs w:val="20"/>
                <w:color w:val="auto"/>
              </w:rPr>
            </w:pPr>
            <w:r>
              <w:rPr>
                <w:rFonts w:ascii="Arial" w:cs="Arial" w:eastAsia="Arial" w:hAnsi="Arial"/>
                <w:sz w:val="20"/>
                <w:szCs w:val="20"/>
                <w:color w:val="auto"/>
                <w:w w:val="83"/>
              </w:rPr>
              <w:t>10.41</w:t>
            </w:r>
          </w:p>
        </w:tc>
        <w:tc>
          <w:tcPr>
            <w:tcW w:w="1880" w:type="dxa"/>
            <w:vAlign w:val="bottom"/>
            <w:gridSpan w:val="2"/>
            <w:shd w:val="clear" w:color="auto" w:fill="1C2790"/>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200" w:type="dxa"/>
            <w:vAlign w:val="bottom"/>
            <w:tcBorders>
              <w:left w:val="single" w:sz="8" w:color="1C2790"/>
            </w:tcBorders>
            <w:shd w:val="clear" w:color="auto" w:fill="1C279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00" w:type="dxa"/>
            <w:vAlign w:val="bottom"/>
            <w:vMerge w:val="continue"/>
          </w:tcPr>
          <w:p>
            <w:pPr>
              <w:spacing w:after="0"/>
              <w:rPr>
                <w:sz w:val="24"/>
                <w:szCs w:val="24"/>
                <w:color w:val="auto"/>
              </w:rPr>
            </w:pPr>
          </w:p>
        </w:tc>
        <w:tc>
          <w:tcPr>
            <w:tcW w:w="3580" w:type="dxa"/>
            <w:vAlign w:val="bottom"/>
            <w:gridSpan w:val="34"/>
          </w:tcPr>
          <w:p>
            <w:pPr>
              <w:spacing w:after="0"/>
              <w:rPr>
                <w:sz w:val="20"/>
                <w:szCs w:val="20"/>
                <w:color w:val="auto"/>
              </w:rPr>
            </w:pPr>
            <w:r>
              <w:rPr>
                <w:rFonts w:ascii="Arial" w:cs="Arial" w:eastAsia="Arial" w:hAnsi="Arial"/>
                <w:sz w:val="20"/>
                <w:szCs w:val="20"/>
                <w:color w:val="1C2790"/>
                <w:w w:val="94"/>
              </w:rPr>
              <w:t>Copyright Security Agreement, dated as of</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40" w:type="dxa"/>
            <w:vAlign w:val="bottom"/>
            <w:tcBorders>
              <w:top w:val="single" w:sz="8" w:color="1C2790"/>
            </w:tcBorders>
            <w:gridSpan w:val="27"/>
          </w:tcPr>
          <w:p>
            <w:pPr>
              <w:spacing w:after="0" w:line="176" w:lineRule="exact"/>
              <w:rPr>
                <w:sz w:val="20"/>
                <w:szCs w:val="20"/>
                <w:color w:val="auto"/>
              </w:rPr>
            </w:pPr>
            <w:r>
              <w:rPr>
                <w:rFonts w:ascii="Arial" w:cs="Arial" w:eastAsia="Arial" w:hAnsi="Arial"/>
                <w:sz w:val="20"/>
                <w:szCs w:val="20"/>
                <w:color w:val="1C2790"/>
              </w:rPr>
              <w:t>February 23, 2023, among Nelson</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720" w:type="dxa"/>
            <w:vAlign w:val="bottom"/>
            <w:tcBorders>
              <w:top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91"/>
              </w:rPr>
              <w:t>Laboratories, LLC and JPMorgan</w:t>
            </w:r>
          </w:p>
        </w:tc>
        <w:tc>
          <w:tcPr>
            <w:tcW w:w="860" w:type="dxa"/>
            <w:vAlign w:val="bottom"/>
            <w:gridSpan w:val="28"/>
          </w:tcPr>
          <w:p>
            <w:pPr>
              <w:spacing w:after="0" w:line="176" w:lineRule="exact"/>
              <w:rPr>
                <w:sz w:val="20"/>
                <w:szCs w:val="20"/>
                <w:color w:val="auto"/>
              </w:rPr>
            </w:pPr>
            <w:r>
              <w:rPr>
                <w:rFonts w:ascii="Arial" w:cs="Arial" w:eastAsia="Arial" w:hAnsi="Arial"/>
                <w:sz w:val="20"/>
                <w:szCs w:val="20"/>
                <w:color w:val="1C2790"/>
              </w:rPr>
              <w:t>Chase</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20" w:type="dxa"/>
            <w:vAlign w:val="bottom"/>
            <w:tcBorders>
              <w:top w:val="single" w:sz="8" w:color="1C2790"/>
            </w:tcBorders>
            <w:gridSpan w:val="15"/>
          </w:tcPr>
          <w:p>
            <w:pPr>
              <w:spacing w:after="0" w:line="176" w:lineRule="exact"/>
              <w:rPr>
                <w:sz w:val="20"/>
                <w:szCs w:val="20"/>
                <w:color w:val="auto"/>
              </w:rPr>
            </w:pPr>
            <w:r>
              <w:rPr>
                <w:rFonts w:ascii="Arial" w:cs="Arial" w:eastAsia="Arial" w:hAnsi="Arial"/>
                <w:sz w:val="20"/>
                <w:szCs w:val="20"/>
                <w:color w:val="1C2790"/>
              </w:rPr>
              <w:t>Bank, N.A., as collateral agent</w:t>
            </w: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62"/>
              <w:spacing w:after="0"/>
              <w:rPr>
                <w:sz w:val="20"/>
                <w:szCs w:val="20"/>
                <w:color w:val="auto"/>
              </w:rPr>
            </w:pPr>
            <w:r>
              <w:rPr>
                <w:rFonts w:ascii="Arial" w:cs="Arial" w:eastAsia="Arial" w:hAnsi="Arial"/>
                <w:sz w:val="20"/>
                <w:szCs w:val="20"/>
                <w:color w:val="auto"/>
                <w:w w:val="83"/>
              </w:rPr>
              <w:t>10.42</w:t>
            </w:r>
          </w:p>
        </w:tc>
        <w:tc>
          <w:tcPr>
            <w:tcW w:w="1880" w:type="dxa"/>
            <w:vAlign w:val="bottom"/>
            <w:gridSpan w:val="2"/>
            <w:shd w:val="clear" w:color="auto" w:fill="1C2790"/>
          </w:tcPr>
          <w:p>
            <w:pPr>
              <w:spacing w:after="0" w:line="20" w:lineRule="exact"/>
              <w:rPr>
                <w:sz w:val="1"/>
                <w:szCs w:val="1"/>
                <w:color w:val="auto"/>
              </w:rPr>
            </w:pPr>
          </w:p>
        </w:tc>
        <w:tc>
          <w:tcPr>
            <w:tcW w:w="520" w:type="dxa"/>
            <w:vAlign w:val="bottom"/>
            <w:shd w:val="clear" w:color="auto" w:fill="1C279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00" w:type="dxa"/>
            <w:vAlign w:val="bottom"/>
            <w:vMerge w:val="continue"/>
          </w:tcPr>
          <w:p>
            <w:pPr>
              <w:spacing w:after="0"/>
              <w:rPr>
                <w:sz w:val="24"/>
                <w:szCs w:val="24"/>
                <w:color w:val="auto"/>
              </w:rPr>
            </w:pPr>
          </w:p>
        </w:tc>
        <w:tc>
          <w:tcPr>
            <w:tcW w:w="3580" w:type="dxa"/>
            <w:vAlign w:val="bottom"/>
            <w:gridSpan w:val="34"/>
          </w:tcPr>
          <w:p>
            <w:pPr>
              <w:spacing w:after="0"/>
              <w:rPr>
                <w:sz w:val="20"/>
                <w:szCs w:val="20"/>
                <w:color w:val="auto"/>
              </w:rPr>
            </w:pPr>
            <w:r>
              <w:rPr>
                <w:rFonts w:ascii="Arial" w:cs="Arial" w:eastAsia="Arial" w:hAnsi="Arial"/>
                <w:sz w:val="20"/>
                <w:szCs w:val="20"/>
                <w:color w:val="1C2790"/>
                <w:w w:val="91"/>
              </w:rPr>
              <w:t>Trademark Security Agreement, dated as of</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40" w:type="dxa"/>
            <w:vAlign w:val="bottom"/>
            <w:tcBorders>
              <w:top w:val="single" w:sz="8" w:color="1C2790"/>
            </w:tcBorders>
            <w:gridSpan w:val="32"/>
          </w:tcPr>
          <w:p>
            <w:pPr>
              <w:spacing w:after="0" w:line="176" w:lineRule="exact"/>
              <w:rPr>
                <w:sz w:val="20"/>
                <w:szCs w:val="20"/>
                <w:color w:val="auto"/>
              </w:rPr>
            </w:pPr>
            <w:r>
              <w:rPr>
                <w:rFonts w:ascii="Arial" w:cs="Arial" w:eastAsia="Arial" w:hAnsi="Arial"/>
                <w:sz w:val="20"/>
                <w:szCs w:val="20"/>
                <w:color w:val="1C2790"/>
              </w:rPr>
              <w:t>February 23, 2023, among Nelson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720" w:type="dxa"/>
            <w:vAlign w:val="bottom"/>
            <w:tcBorders>
              <w:top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93"/>
              </w:rPr>
              <w:t>Laboratories Bozeman, LLC and</w:t>
            </w:r>
          </w:p>
        </w:tc>
        <w:tc>
          <w:tcPr>
            <w:tcW w:w="860" w:type="dxa"/>
            <w:vAlign w:val="bottom"/>
            <w:gridSpan w:val="28"/>
          </w:tcPr>
          <w:p>
            <w:pPr>
              <w:spacing w:after="0" w:line="176" w:lineRule="exact"/>
              <w:rPr>
                <w:sz w:val="20"/>
                <w:szCs w:val="20"/>
                <w:color w:val="auto"/>
              </w:rPr>
            </w:pPr>
            <w:r>
              <w:rPr>
                <w:rFonts w:ascii="Arial" w:cs="Arial" w:eastAsia="Arial" w:hAnsi="Arial"/>
                <w:sz w:val="20"/>
                <w:szCs w:val="20"/>
                <w:color w:val="1C2790"/>
                <w:w w:val="92"/>
              </w:rPr>
              <w:t>JPMorgan</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60" w:type="dxa"/>
            <w:vAlign w:val="bottom"/>
            <w:tcBorders>
              <w:top w:val="single" w:sz="8" w:color="1C2790"/>
            </w:tcBorders>
            <w:gridSpan w:val="33"/>
          </w:tcPr>
          <w:p>
            <w:pPr>
              <w:spacing w:after="0" w:line="176" w:lineRule="exact"/>
              <w:rPr>
                <w:sz w:val="20"/>
                <w:szCs w:val="20"/>
                <w:color w:val="auto"/>
              </w:rPr>
            </w:pPr>
            <w:r>
              <w:rPr>
                <w:rFonts w:ascii="Arial" w:cs="Arial" w:eastAsia="Arial" w:hAnsi="Arial"/>
                <w:sz w:val="20"/>
                <w:szCs w:val="20"/>
                <w:color w:val="1C2790"/>
              </w:rPr>
              <w:t>Chase Bank, N.A., as collateral agent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62"/>
              <w:spacing w:after="0"/>
              <w:rPr>
                <w:sz w:val="20"/>
                <w:szCs w:val="20"/>
                <w:color w:val="auto"/>
              </w:rPr>
            </w:pPr>
            <w:r>
              <w:rPr>
                <w:rFonts w:ascii="Arial" w:cs="Arial" w:eastAsia="Arial" w:hAnsi="Arial"/>
                <w:sz w:val="20"/>
                <w:szCs w:val="20"/>
                <w:color w:val="auto"/>
                <w:w w:val="83"/>
              </w:rPr>
              <w:t>10.43</w:t>
            </w:r>
          </w:p>
        </w:tc>
        <w:tc>
          <w:tcPr>
            <w:tcW w:w="1880" w:type="dxa"/>
            <w:vAlign w:val="bottom"/>
            <w:gridSpan w:val="2"/>
            <w:shd w:val="clear" w:color="auto" w:fill="1C2790"/>
          </w:tcPr>
          <w:p>
            <w:pPr>
              <w:spacing w:after="0" w:line="20" w:lineRule="exact"/>
              <w:rPr>
                <w:sz w:val="1"/>
                <w:szCs w:val="1"/>
                <w:color w:val="auto"/>
              </w:rPr>
            </w:pPr>
          </w:p>
        </w:tc>
        <w:tc>
          <w:tcPr>
            <w:tcW w:w="880" w:type="dxa"/>
            <w:vAlign w:val="bottom"/>
            <w:gridSpan w:val="5"/>
            <w:shd w:val="clear" w:color="auto" w:fill="1C2790"/>
          </w:tcPr>
          <w:p>
            <w:pPr>
              <w:spacing w:after="0" w:line="20" w:lineRule="exact"/>
              <w:rPr>
                <w:sz w:val="1"/>
                <w:szCs w:val="1"/>
                <w:color w:val="auto"/>
              </w:rPr>
            </w:pPr>
          </w:p>
        </w:tc>
        <w:tc>
          <w:tcPr>
            <w:tcW w:w="160" w:type="dxa"/>
            <w:vAlign w:val="bottom"/>
            <w:gridSpan w:val="2"/>
            <w:shd w:val="clear" w:color="auto" w:fill="1C279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300" w:type="dxa"/>
            <w:vAlign w:val="bottom"/>
            <w:vMerge w:val="continue"/>
          </w:tcPr>
          <w:p>
            <w:pPr>
              <w:spacing w:after="0"/>
              <w:rPr>
                <w:sz w:val="24"/>
                <w:szCs w:val="24"/>
                <w:color w:val="auto"/>
              </w:rPr>
            </w:pPr>
          </w:p>
        </w:tc>
        <w:tc>
          <w:tcPr>
            <w:tcW w:w="3580" w:type="dxa"/>
            <w:vAlign w:val="bottom"/>
            <w:gridSpan w:val="34"/>
          </w:tcPr>
          <w:p>
            <w:pPr>
              <w:spacing w:after="0"/>
              <w:rPr>
                <w:sz w:val="20"/>
                <w:szCs w:val="20"/>
                <w:color w:val="auto"/>
              </w:rPr>
            </w:pPr>
            <w:r>
              <w:rPr>
                <w:rFonts w:ascii="Arial" w:cs="Arial" w:eastAsia="Arial" w:hAnsi="Arial"/>
                <w:sz w:val="20"/>
                <w:szCs w:val="20"/>
                <w:color w:val="1C2790"/>
                <w:w w:val="91"/>
              </w:rPr>
              <w:t>Trademark Security Agreement, dated as of</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040" w:type="dxa"/>
            <w:vAlign w:val="bottom"/>
            <w:tcBorders>
              <w:top w:val="single" w:sz="8" w:color="1C2790"/>
              <w:bottom w:val="single" w:sz="8" w:color="1C2790"/>
            </w:tcBorders>
            <w:gridSpan w:val="10"/>
          </w:tcPr>
          <w:p>
            <w:pPr>
              <w:spacing w:after="0" w:line="176" w:lineRule="exact"/>
              <w:rPr>
                <w:sz w:val="20"/>
                <w:szCs w:val="20"/>
                <w:color w:val="auto"/>
              </w:rPr>
            </w:pPr>
            <w:r>
              <w:rPr>
                <w:rFonts w:ascii="Arial" w:cs="Arial" w:eastAsia="Arial" w:hAnsi="Arial"/>
                <w:sz w:val="20"/>
                <w:szCs w:val="20"/>
                <w:color w:val="1C2790"/>
                <w:w w:val="89"/>
              </w:rPr>
              <w:t>February 23, 2023, among Regulatory</w:t>
            </w:r>
          </w:p>
        </w:tc>
        <w:tc>
          <w:tcPr>
            <w:tcW w:w="500" w:type="dxa"/>
            <w:vAlign w:val="bottom"/>
            <w:tcBorders>
              <w:top w:val="single" w:sz="8" w:color="1C2790"/>
            </w:tcBorders>
            <w:gridSpan w:val="2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3"/>
              </w:rPr>
              <w:t>Compliance Associates Inc. and JPMorgan</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460" w:type="dxa"/>
            <w:vAlign w:val="bottom"/>
            <w:tcBorders>
              <w:top w:val="single" w:sz="8" w:color="1C2790"/>
            </w:tcBorders>
            <w:gridSpan w:val="28"/>
          </w:tcPr>
          <w:p>
            <w:pPr>
              <w:spacing w:after="0" w:line="176" w:lineRule="exact"/>
              <w:rPr>
                <w:sz w:val="20"/>
                <w:szCs w:val="20"/>
                <w:color w:val="auto"/>
              </w:rPr>
            </w:pPr>
            <w:r>
              <w:rPr>
                <w:rFonts w:ascii="Arial" w:cs="Arial" w:eastAsia="Arial" w:hAnsi="Arial"/>
                <w:sz w:val="20"/>
                <w:szCs w:val="20"/>
                <w:color w:val="1C2790"/>
              </w:rPr>
              <w:t>Chase Bank, N.A., as collateral agent</w:t>
            </w: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62"/>
              <w:spacing w:after="0"/>
              <w:rPr>
                <w:sz w:val="20"/>
                <w:szCs w:val="20"/>
                <w:color w:val="auto"/>
              </w:rPr>
            </w:pPr>
            <w:r>
              <w:rPr>
                <w:rFonts w:ascii="Arial" w:cs="Arial" w:eastAsia="Arial" w:hAnsi="Arial"/>
                <w:sz w:val="20"/>
                <w:szCs w:val="20"/>
                <w:color w:val="auto"/>
                <w:w w:val="83"/>
              </w:rPr>
              <w:t>10.44</w:t>
            </w:r>
          </w:p>
        </w:tc>
        <w:tc>
          <w:tcPr>
            <w:tcW w:w="1880" w:type="dxa"/>
            <w:vAlign w:val="bottom"/>
            <w:gridSpan w:val="2"/>
            <w:shd w:val="clear" w:color="auto" w:fill="1C2790"/>
          </w:tcPr>
          <w:p>
            <w:pPr>
              <w:spacing w:after="0" w:line="20" w:lineRule="exact"/>
              <w:rPr>
                <w:sz w:val="1"/>
                <w:szCs w:val="1"/>
                <w:color w:val="auto"/>
              </w:rPr>
            </w:pPr>
          </w:p>
        </w:tc>
        <w:tc>
          <w:tcPr>
            <w:tcW w:w="880" w:type="dxa"/>
            <w:vAlign w:val="bottom"/>
            <w:gridSpan w:val="5"/>
            <w:shd w:val="clear" w:color="auto" w:fill="1C2790"/>
          </w:tcPr>
          <w:p>
            <w:pPr>
              <w:spacing w:after="0" w:line="20" w:lineRule="exact"/>
              <w:rPr>
                <w:sz w:val="1"/>
                <w:szCs w:val="1"/>
                <w:color w:val="auto"/>
              </w:rPr>
            </w:pPr>
          </w:p>
        </w:tc>
        <w:tc>
          <w:tcPr>
            <w:tcW w:w="160" w:type="dxa"/>
            <w:vAlign w:val="bottom"/>
            <w:gridSpan w:val="2"/>
            <w:shd w:val="clear" w:color="auto" w:fill="1C279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300" w:type="dxa"/>
            <w:vAlign w:val="bottom"/>
            <w:vMerge w:val="continue"/>
          </w:tcPr>
          <w:p>
            <w:pPr>
              <w:spacing w:after="0"/>
              <w:rPr>
                <w:sz w:val="24"/>
                <w:szCs w:val="24"/>
                <w:color w:val="auto"/>
              </w:rPr>
            </w:pPr>
          </w:p>
        </w:tc>
        <w:tc>
          <w:tcPr>
            <w:tcW w:w="3580" w:type="dxa"/>
            <w:vAlign w:val="bottom"/>
            <w:gridSpan w:val="34"/>
          </w:tcPr>
          <w:p>
            <w:pPr>
              <w:spacing w:after="0"/>
              <w:rPr>
                <w:sz w:val="20"/>
                <w:szCs w:val="20"/>
                <w:color w:val="auto"/>
              </w:rPr>
            </w:pPr>
            <w:r>
              <w:rPr>
                <w:rFonts w:ascii="Arial" w:cs="Arial" w:eastAsia="Arial" w:hAnsi="Arial"/>
                <w:sz w:val="20"/>
                <w:szCs w:val="20"/>
                <w:color w:val="1C2790"/>
                <w:w w:val="91"/>
              </w:rPr>
              <w:t>Trademark Security Agreement, dated as of</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240" w:type="dxa"/>
            <w:vAlign w:val="bottom"/>
            <w:tcBorders>
              <w:top w:val="single" w:sz="8" w:color="1C2790"/>
              <w:bottom w:val="single" w:sz="8" w:color="1C2790"/>
            </w:tcBorders>
            <w:gridSpan w:val="16"/>
          </w:tcPr>
          <w:p>
            <w:pPr>
              <w:spacing w:after="0" w:line="176" w:lineRule="exact"/>
              <w:rPr>
                <w:sz w:val="20"/>
                <w:szCs w:val="20"/>
                <w:color w:val="auto"/>
              </w:rPr>
            </w:pPr>
            <w:r>
              <w:rPr>
                <w:rFonts w:ascii="Arial" w:cs="Arial" w:eastAsia="Arial" w:hAnsi="Arial"/>
                <w:sz w:val="20"/>
                <w:szCs w:val="20"/>
                <w:color w:val="1C2790"/>
                <w:w w:val="88"/>
              </w:rPr>
              <w:t>February 23, 2023, among Sotera Health</w:t>
            </w:r>
          </w:p>
        </w:tc>
        <w:tc>
          <w:tcPr>
            <w:tcW w:w="300" w:type="dxa"/>
            <w:vAlign w:val="bottom"/>
            <w:tcBorders>
              <w:top w:val="single" w:sz="8" w:color="1C2790"/>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80" w:type="dxa"/>
            <w:vAlign w:val="bottom"/>
            <w:gridSpan w:val="34"/>
          </w:tcPr>
          <w:p>
            <w:pPr>
              <w:spacing w:after="0" w:line="176" w:lineRule="exact"/>
              <w:rPr>
                <w:sz w:val="20"/>
                <w:szCs w:val="20"/>
                <w:color w:val="auto"/>
              </w:rPr>
            </w:pPr>
            <w:r>
              <w:rPr>
                <w:rFonts w:ascii="Arial" w:cs="Arial" w:eastAsia="Arial" w:hAnsi="Arial"/>
                <w:sz w:val="20"/>
                <w:szCs w:val="20"/>
                <w:color w:val="1C2790"/>
                <w:w w:val="93"/>
              </w:rPr>
              <w:t>Holdings, LLC and JPMorgan Chase Bank,</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520" w:type="dxa"/>
            <w:vAlign w:val="bottom"/>
            <w:tcBorders>
              <w:top w:val="single" w:sz="8" w:color="1C2790"/>
            </w:tcBorders>
            <w:gridSpan w:val="31"/>
          </w:tcPr>
          <w:p>
            <w:pPr>
              <w:spacing w:after="0" w:line="176" w:lineRule="exact"/>
              <w:rPr>
                <w:sz w:val="20"/>
                <w:szCs w:val="20"/>
                <w:color w:val="auto"/>
              </w:rPr>
            </w:pPr>
            <w:r>
              <w:rPr>
                <w:rFonts w:ascii="Arial" w:cs="Arial" w:eastAsia="Arial" w:hAnsi="Arial"/>
                <w:sz w:val="20"/>
                <w:szCs w:val="20"/>
                <w:color w:val="1C2790"/>
              </w:rPr>
              <w:t>N.A., as collateral agent</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jc w:val="right"/>
              <w:ind w:right="762"/>
              <w:spacing w:after="0"/>
              <w:rPr>
                <w:sz w:val="20"/>
                <w:szCs w:val="20"/>
                <w:color w:val="auto"/>
              </w:rPr>
            </w:pPr>
            <w:r>
              <w:rPr>
                <w:rFonts w:ascii="Arial" w:cs="Arial" w:eastAsia="Arial" w:hAnsi="Arial"/>
                <w:sz w:val="20"/>
                <w:szCs w:val="20"/>
                <w:color w:val="auto"/>
                <w:w w:val="83"/>
              </w:rPr>
              <w:t>10.45</w:t>
            </w:r>
          </w:p>
        </w:tc>
        <w:tc>
          <w:tcPr>
            <w:tcW w:w="1880" w:type="dxa"/>
            <w:vAlign w:val="bottom"/>
            <w:gridSpan w:val="2"/>
            <w:shd w:val="clear" w:color="auto" w:fill="1C2790"/>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300" w:type="dxa"/>
            <w:vAlign w:val="bottom"/>
            <w:vMerge w:val="continue"/>
          </w:tcPr>
          <w:p>
            <w:pPr>
              <w:spacing w:after="0"/>
              <w:rPr>
                <w:sz w:val="24"/>
                <w:szCs w:val="24"/>
                <w:color w:val="auto"/>
              </w:rPr>
            </w:pPr>
          </w:p>
        </w:tc>
        <w:tc>
          <w:tcPr>
            <w:tcW w:w="3580" w:type="dxa"/>
            <w:vAlign w:val="bottom"/>
            <w:gridSpan w:val="34"/>
          </w:tcPr>
          <w:p>
            <w:pPr>
              <w:spacing w:after="0"/>
              <w:rPr>
                <w:sz w:val="20"/>
                <w:szCs w:val="20"/>
                <w:color w:val="auto"/>
              </w:rPr>
            </w:pPr>
            <w:r>
              <w:rPr>
                <w:rFonts w:ascii="Arial" w:cs="Arial" w:eastAsia="Arial" w:hAnsi="Arial"/>
                <w:sz w:val="20"/>
                <w:szCs w:val="20"/>
                <w:color w:val="1C2790"/>
              </w:rPr>
              <w:t>Incremental Facility Amendment No. 2,</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80" w:type="dxa"/>
            <w:vAlign w:val="bottom"/>
            <w:tcBorders>
              <w:top w:val="single" w:sz="8" w:color="1C2790"/>
            </w:tcBorders>
            <w:gridSpan w:val="14"/>
          </w:tcPr>
          <w:p>
            <w:pPr>
              <w:spacing w:after="0" w:line="176" w:lineRule="exact"/>
              <w:rPr>
                <w:sz w:val="20"/>
                <w:szCs w:val="20"/>
                <w:color w:val="auto"/>
              </w:rPr>
            </w:pPr>
            <w:r>
              <w:rPr>
                <w:rFonts w:ascii="Arial" w:cs="Arial" w:eastAsia="Arial" w:hAnsi="Arial"/>
                <w:sz w:val="20"/>
                <w:szCs w:val="20"/>
                <w:color w:val="1C2790"/>
                <w:w w:val="90"/>
              </w:rPr>
              <w:t>dated as of March 21, 2023, to the First</w:t>
            </w:r>
          </w:p>
        </w:tc>
        <w:tc>
          <w:tcPr>
            <w:tcW w:w="160" w:type="dxa"/>
            <w:vAlign w:val="bottom"/>
            <w:gridSpan w:val="7"/>
          </w:tcPr>
          <w:p>
            <w:pPr>
              <w:spacing w:after="0"/>
              <w:rPr>
                <w:sz w:val="15"/>
                <w:szCs w:val="15"/>
                <w:color w:val="auto"/>
              </w:rPr>
            </w:pPr>
          </w:p>
        </w:tc>
        <w:tc>
          <w:tcPr>
            <w:tcW w:w="2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3140" w:type="dxa"/>
            <w:vAlign w:val="bottom"/>
            <w:tcBorders>
              <w:top w:val="single" w:sz="8" w:color="1C2790"/>
            </w:tcBorders>
            <w:gridSpan w:val="12"/>
          </w:tcPr>
          <w:p>
            <w:pPr>
              <w:spacing w:after="0" w:line="176" w:lineRule="exact"/>
              <w:rPr>
                <w:sz w:val="20"/>
                <w:szCs w:val="20"/>
                <w:color w:val="auto"/>
              </w:rPr>
            </w:pPr>
            <w:r>
              <w:rPr>
                <w:rFonts w:ascii="Arial" w:cs="Arial" w:eastAsia="Arial" w:hAnsi="Arial"/>
                <w:sz w:val="20"/>
                <w:szCs w:val="20"/>
                <w:color w:val="1C2790"/>
              </w:rPr>
              <w:t>Lien Credit Agreement dated as of</w:t>
            </w:r>
          </w:p>
        </w:tc>
        <w:tc>
          <w:tcPr>
            <w:tcW w:w="200" w:type="dxa"/>
            <w:vAlign w:val="bottom"/>
            <w:gridSpan w:val="9"/>
          </w:tcPr>
          <w:p>
            <w:pPr>
              <w:spacing w:after="0"/>
              <w:rPr>
                <w:sz w:val="15"/>
                <w:szCs w:val="15"/>
                <w:color w:val="auto"/>
              </w:rPr>
            </w:pPr>
          </w:p>
        </w:tc>
        <w:tc>
          <w:tcPr>
            <w:tcW w:w="2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760" w:type="dxa"/>
            <w:vAlign w:val="bottom"/>
            <w:tcBorders>
              <w:top w:val="single" w:sz="8" w:color="1C2790"/>
            </w:tcBorders>
            <w:gridSpan w:val="7"/>
          </w:tcPr>
          <w:p>
            <w:pPr>
              <w:spacing w:after="0" w:line="176" w:lineRule="exact"/>
              <w:rPr>
                <w:sz w:val="20"/>
                <w:szCs w:val="20"/>
                <w:color w:val="auto"/>
              </w:rPr>
            </w:pPr>
            <w:r>
              <w:rPr>
                <w:rFonts w:ascii="Arial" w:cs="Arial" w:eastAsia="Arial" w:hAnsi="Arial"/>
                <w:sz w:val="20"/>
                <w:szCs w:val="20"/>
                <w:color w:val="1C2790"/>
                <w:w w:val="88"/>
              </w:rPr>
              <w:t>December 13, 2019 by and among</w:t>
            </w:r>
          </w:p>
        </w:tc>
        <w:tc>
          <w:tcPr>
            <w:tcW w:w="820" w:type="dxa"/>
            <w:vAlign w:val="bottom"/>
            <w:gridSpan w:val="27"/>
          </w:tcPr>
          <w:p>
            <w:pPr>
              <w:spacing w:after="0" w:line="176" w:lineRule="exact"/>
              <w:rPr>
                <w:sz w:val="20"/>
                <w:szCs w:val="20"/>
                <w:color w:val="auto"/>
              </w:rPr>
            </w:pPr>
            <w:r>
              <w:rPr>
                <w:rFonts w:ascii="Arial" w:cs="Arial" w:eastAsia="Arial" w:hAnsi="Arial"/>
                <w:sz w:val="20"/>
                <w:szCs w:val="20"/>
                <w:color w:val="1C2790"/>
              </w:rPr>
              <w:t>Sotera</w:t>
            </w:r>
          </w:p>
        </w:tc>
        <w:tc>
          <w:tcPr>
            <w:tcW w:w="0" w:type="dxa"/>
            <w:vAlign w:val="bottom"/>
          </w:tcPr>
          <w:p>
            <w:pPr>
              <w:spacing w:after="0"/>
              <w:rPr>
                <w:sz w:val="1"/>
                <w:szCs w:val="1"/>
                <w:color w:val="auto"/>
              </w:rPr>
            </w:pPr>
          </w:p>
        </w:tc>
      </w:tr>
      <w:tr>
        <w:trPr>
          <w:trHeight w:val="181"/>
        </w:trPr>
        <w:tc>
          <w:tcPr>
            <w:tcW w:w="1300" w:type="dxa"/>
            <w:vAlign w:val="bottom"/>
          </w:tcPr>
          <w:p>
            <w:pPr>
              <w:spacing w:after="0"/>
              <w:rPr>
                <w:sz w:val="15"/>
                <w:szCs w:val="15"/>
                <w:color w:val="auto"/>
              </w:rPr>
            </w:pPr>
          </w:p>
        </w:tc>
        <w:tc>
          <w:tcPr>
            <w:tcW w:w="3340" w:type="dxa"/>
            <w:vAlign w:val="bottom"/>
            <w:tcBorders>
              <w:top w:val="single" w:sz="8" w:color="1C2790"/>
            </w:tcBorders>
            <w:gridSpan w:val="21"/>
          </w:tcPr>
          <w:p>
            <w:pPr>
              <w:spacing w:after="0" w:line="181" w:lineRule="exact"/>
              <w:rPr>
                <w:sz w:val="20"/>
                <w:szCs w:val="20"/>
                <w:color w:val="auto"/>
              </w:rPr>
            </w:pPr>
            <w:r>
              <w:rPr>
                <w:rFonts w:ascii="Arial" w:cs="Arial" w:eastAsia="Arial" w:hAnsi="Arial"/>
                <w:sz w:val="20"/>
                <w:szCs w:val="20"/>
                <w:u w:val="single" w:color="auto"/>
                <w:color w:val="1C2790"/>
                <w:w w:val="89"/>
              </w:rPr>
              <w:t>Health Company, Sotera Health Holdings,</w:t>
            </w:r>
          </w:p>
        </w:tc>
        <w:tc>
          <w:tcPr>
            <w:tcW w:w="2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bl>
    <w:p>
      <w:pPr>
        <w:ind w:left="1340" w:right="920"/>
        <w:spacing w:after="0" w:line="255" w:lineRule="auto"/>
        <w:rPr>
          <w:sz w:val="20"/>
          <w:szCs w:val="20"/>
          <w:color w:val="auto"/>
        </w:rPr>
      </w:pPr>
      <w:r>
        <w:rPr>
          <w:rFonts w:ascii="Arial" w:cs="Arial" w:eastAsia="Arial" w:hAnsi="Arial"/>
          <w:sz w:val="17"/>
          <w:szCs w:val="17"/>
          <w:u w:val="single" w:color="auto"/>
          <w:color w:val="1C2790"/>
        </w:rPr>
        <w:t>LLC, certain subsidiaries of Sotera Health Company, JPMorgan Chase Bank, N.A., as First Lien Administrative Agent and the lenders and issuing banks party thereto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10.38</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10.39</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10.40</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10.41</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10.42</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10.43</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10.44</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720" w:val="left"/>
          <w:tab w:leader="none" w:pos="1880" w:val="left"/>
          <w:tab w:leader="none" w:pos="26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10.45</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720" w:val="left"/>
          <w:tab w:leader="none" w:pos="1920" w:val="left"/>
          <w:tab w:leader="none" w:pos="260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7"/>
          <w:szCs w:val="17"/>
          <w:color w:val="auto"/>
        </w:rPr>
        <w:t>2023-03-22</w:t>
      </w:r>
    </w:p>
    <w:p>
      <w:pPr>
        <w:spacing w:after="0" w:line="1024" w:lineRule="exact"/>
        <w:rPr>
          <w:sz w:val="20"/>
          <w:szCs w:val="20"/>
          <w:color w:val="auto"/>
        </w:rPr>
      </w:pPr>
    </w:p>
    <w:p>
      <w:pPr>
        <w:sectPr>
          <w:pgSz w:w="11880" w:h="15480" w:orient="portrait"/>
          <w:cols w:equalWidth="0" w:num="2">
            <w:col w:w="5660" w:space="720"/>
            <w:col w:w="3660"/>
          </w:cols>
          <w:pgMar w:left="920" w:top="579"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10040"/>
          </w:cols>
          <w:pgMar w:left="920" w:top="579" w:right="920" w:bottom="0" w:gutter="0" w:footer="0" w:header="0"/>
          <w:type w:val="continuous"/>
        </w:sectPr>
      </w:pPr>
    </w:p>
    <w:bookmarkStart w:id="133" w:name="page134"/>
    <w:bookmarkEnd w:id="133"/>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579120</wp:posOffset>
                </wp:positionH>
                <wp:positionV relativeFrom="page">
                  <wp:posOffset>555625</wp:posOffset>
                </wp:positionV>
                <wp:extent cx="74676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67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6pt,43.75pt" to="104.4pt,43.7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1400810</wp:posOffset>
                </wp:positionH>
                <wp:positionV relativeFrom="page">
                  <wp:posOffset>555625</wp:posOffset>
                </wp:positionV>
                <wp:extent cx="226822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82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10.3pt,43.75pt" to="288.9pt,43.75pt" o:allowincell="f" strokecolor="#000000" strokeweight="1pt">
                <w10:wrap anchorx="page" anchory="page"/>
              </v:line>
            </w:pict>
          </mc:Fallback>
        </mc:AlternateConten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340" w:type="dxa"/>
            <w:vAlign w:val="bottom"/>
            <w:gridSpan w:val="3"/>
          </w:tcPr>
          <w:p>
            <w:pPr>
              <w:ind w:left="120"/>
              <w:spacing w:after="0"/>
              <w:rPr>
                <w:sz w:val="20"/>
                <w:szCs w:val="20"/>
                <w:color w:val="auto"/>
              </w:rPr>
            </w:pPr>
            <w:r>
              <w:rPr>
                <w:rFonts w:ascii="Arial" w:cs="Arial" w:eastAsia="Arial" w:hAnsi="Arial"/>
                <w:sz w:val="20"/>
                <w:szCs w:val="20"/>
                <w:b w:val="1"/>
                <w:bCs w:val="1"/>
                <w:color w:val="auto"/>
              </w:rPr>
              <w:t>Exhibit No</w:t>
            </w:r>
          </w:p>
        </w:tc>
        <w:tc>
          <w:tcPr>
            <w:tcW w:w="3480" w:type="dxa"/>
            <w:vAlign w:val="bottom"/>
            <w:gridSpan w:val="39"/>
          </w:tcPr>
          <w:p>
            <w:pPr>
              <w:spacing w:after="0"/>
              <w:rPr>
                <w:sz w:val="20"/>
                <w:szCs w:val="20"/>
                <w:color w:val="auto"/>
              </w:rPr>
            </w:pPr>
            <w:r>
              <w:rPr>
                <w:rFonts w:ascii="Arial" w:cs="Arial" w:eastAsia="Arial" w:hAnsi="Arial"/>
                <w:sz w:val="20"/>
                <w:szCs w:val="20"/>
                <w:b w:val="1"/>
                <w:bCs w:val="1"/>
                <w:color w:val="auto"/>
              </w:rPr>
              <w:t>Description of Exhibits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ind w:left="40"/>
              <w:spacing w:after="0" w:line="194" w:lineRule="exact"/>
              <w:rPr>
                <w:sz w:val="20"/>
                <w:szCs w:val="20"/>
                <w:color w:val="auto"/>
              </w:rPr>
            </w:pPr>
            <w:r>
              <w:rPr>
                <w:rFonts w:ascii="Arial" w:cs="Arial" w:eastAsia="Arial" w:hAnsi="Arial"/>
                <w:sz w:val="20"/>
                <w:szCs w:val="20"/>
                <w:color w:val="auto"/>
              </w:rPr>
              <w:t>10.46</w:t>
            </w: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20" w:type="dxa"/>
            <w:vAlign w:val="bottom"/>
            <w:tcBorders>
              <w:top w:val="single" w:sz="8" w:color="auto"/>
              <w:bottom w:val="single" w:sz="8" w:color="1C2790"/>
            </w:tcBorders>
            <w:gridSpan w:val="35"/>
          </w:tcPr>
          <w:p>
            <w:pPr>
              <w:spacing w:after="0" w:line="194" w:lineRule="exact"/>
              <w:rPr>
                <w:sz w:val="20"/>
                <w:szCs w:val="20"/>
                <w:color w:val="auto"/>
              </w:rPr>
            </w:pPr>
            <w:r>
              <w:rPr>
                <w:rFonts w:ascii="Arial" w:cs="Arial" w:eastAsia="Arial" w:hAnsi="Arial"/>
                <w:sz w:val="20"/>
                <w:szCs w:val="20"/>
                <w:color w:val="1C2790"/>
                <w:w w:val="89"/>
              </w:rPr>
              <w:t>Amendment, dated as of June 22, 2023, to</w:t>
            </w:r>
          </w:p>
        </w:tc>
        <w:tc>
          <w:tcPr>
            <w:tcW w:w="60" w:type="dxa"/>
            <w:vAlign w:val="bottom"/>
            <w:tcBorders>
              <w:top w:val="single" w:sz="8" w:color="auto"/>
            </w:tcBorders>
            <w:gridSpan w:val="4"/>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tcBorders>
              <w:bottom w:val="single" w:sz="8" w:color="1C2790"/>
            </w:tcBorders>
            <w:gridSpan w:val="39"/>
          </w:tcPr>
          <w:p>
            <w:pPr>
              <w:spacing w:after="0" w:line="176" w:lineRule="exact"/>
              <w:rPr>
                <w:sz w:val="20"/>
                <w:szCs w:val="20"/>
                <w:color w:val="auto"/>
              </w:rPr>
            </w:pPr>
            <w:r>
              <w:rPr>
                <w:rFonts w:ascii="Arial" w:cs="Arial" w:eastAsia="Arial" w:hAnsi="Arial"/>
                <w:sz w:val="20"/>
                <w:szCs w:val="20"/>
                <w:color w:val="1C2790"/>
                <w:w w:val="90"/>
              </w:rPr>
              <w:t>the First Lien Credit Agreement dated as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39"/>
          </w:tcPr>
          <w:p>
            <w:pPr>
              <w:spacing w:after="0" w:line="176" w:lineRule="exact"/>
              <w:rPr>
                <w:sz w:val="20"/>
                <w:szCs w:val="20"/>
                <w:color w:val="auto"/>
              </w:rPr>
            </w:pPr>
            <w:r>
              <w:rPr>
                <w:rFonts w:ascii="Arial" w:cs="Arial" w:eastAsia="Arial" w:hAnsi="Arial"/>
                <w:sz w:val="20"/>
                <w:szCs w:val="20"/>
                <w:color w:val="1C2790"/>
                <w:w w:val="92"/>
              </w:rPr>
              <w:t>December 13, 2019 by and among Sotera</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tcBorders>
              <w:top w:val="single" w:sz="8" w:color="1C2790"/>
              <w:bottom w:val="single" w:sz="8" w:color="1C2790"/>
            </w:tcBorders>
            <w:gridSpan w:val="30"/>
          </w:tcPr>
          <w:p>
            <w:pPr>
              <w:spacing w:after="0" w:line="176" w:lineRule="exact"/>
              <w:rPr>
                <w:sz w:val="20"/>
                <w:szCs w:val="20"/>
                <w:color w:val="auto"/>
              </w:rPr>
            </w:pPr>
            <w:r>
              <w:rPr>
                <w:rFonts w:ascii="Arial" w:cs="Arial" w:eastAsia="Arial" w:hAnsi="Arial"/>
                <w:sz w:val="20"/>
                <w:szCs w:val="20"/>
                <w:color w:val="1C2790"/>
                <w:w w:val="88"/>
              </w:rPr>
              <w:t>Health Company, Sotera Health Holdings,</w:t>
            </w: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35"/>
          </w:tcPr>
          <w:p>
            <w:pPr>
              <w:spacing w:after="0" w:line="176" w:lineRule="exact"/>
              <w:rPr>
                <w:sz w:val="20"/>
                <w:szCs w:val="20"/>
                <w:color w:val="auto"/>
              </w:rPr>
            </w:pPr>
            <w:r>
              <w:rPr>
                <w:rFonts w:ascii="Arial" w:cs="Arial" w:eastAsia="Arial" w:hAnsi="Arial"/>
                <w:sz w:val="20"/>
                <w:szCs w:val="20"/>
                <w:color w:val="1C2790"/>
                <w:w w:val="92"/>
              </w:rPr>
              <w:t>LLC, certain subsidiaries of Sotera Health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0" w:type="dxa"/>
            <w:vAlign w:val="bottom"/>
            <w:tcBorders>
              <w:top w:val="single" w:sz="8" w:color="1C2790"/>
              <w:bottom w:val="single" w:sz="8" w:color="1C2790"/>
            </w:tcBorders>
            <w:gridSpan w:val="34"/>
          </w:tcPr>
          <w:p>
            <w:pPr>
              <w:spacing w:after="0" w:line="176" w:lineRule="exact"/>
              <w:rPr>
                <w:sz w:val="20"/>
                <w:szCs w:val="20"/>
                <w:color w:val="auto"/>
              </w:rPr>
            </w:pPr>
            <w:r>
              <w:rPr>
                <w:rFonts w:ascii="Arial" w:cs="Arial" w:eastAsia="Arial" w:hAnsi="Arial"/>
                <w:sz w:val="20"/>
                <w:szCs w:val="20"/>
                <w:color w:val="1C2790"/>
                <w:w w:val="87"/>
              </w:rPr>
              <w:t>Company, JPMorgan Chase Bank, N.A., as</w:t>
            </w:r>
          </w:p>
        </w:tc>
        <w:tc>
          <w:tcPr>
            <w:tcW w:w="40" w:type="dxa"/>
            <w:vAlign w:val="bottom"/>
            <w:tcBorders>
              <w:bottom w:val="single" w:sz="8" w:color="1C2790"/>
            </w:tcBorders>
            <w:gridSpan w:val="2"/>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38"/>
          </w:tcPr>
          <w:p>
            <w:pPr>
              <w:spacing w:after="0" w:line="176" w:lineRule="exact"/>
              <w:rPr>
                <w:sz w:val="20"/>
                <w:szCs w:val="20"/>
                <w:color w:val="auto"/>
              </w:rPr>
            </w:pPr>
            <w:r>
              <w:rPr>
                <w:rFonts w:ascii="Arial" w:cs="Arial" w:eastAsia="Arial" w:hAnsi="Arial"/>
                <w:sz w:val="20"/>
                <w:szCs w:val="20"/>
                <w:color w:val="1C2790"/>
              </w:rPr>
              <w:t>First Lien Administrative Agent and the</w:t>
            </w: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Borders>
              <w:top w:val="single" w:sz="8" w:color="1C2790"/>
              <w:bottom w:val="single" w:sz="8" w:color="1C2790"/>
            </w:tcBorders>
            <w:gridSpan w:val="17"/>
          </w:tcPr>
          <w:p>
            <w:pPr>
              <w:spacing w:after="0" w:line="176" w:lineRule="exact"/>
              <w:rPr>
                <w:sz w:val="20"/>
                <w:szCs w:val="20"/>
                <w:color w:val="auto"/>
              </w:rPr>
            </w:pPr>
            <w:r>
              <w:rPr>
                <w:rFonts w:ascii="Arial" w:cs="Arial" w:eastAsia="Arial" w:hAnsi="Arial"/>
                <w:sz w:val="20"/>
                <w:szCs w:val="20"/>
                <w:color w:val="1C2790"/>
                <w:w w:val="87"/>
              </w:rPr>
              <w:t>lenders and issuing banks party thereto</w:t>
            </w:r>
          </w:p>
        </w:tc>
        <w:tc>
          <w:tcPr>
            <w:tcW w:w="180" w:type="dxa"/>
            <w:vAlign w:val="bottom"/>
            <w:tcBorders>
              <w:top w:val="single" w:sz="8" w:color="1C2790"/>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160" w:type="dxa"/>
            <w:vAlign w:val="bottom"/>
          </w:tcPr>
          <w:p>
            <w:pPr>
              <w:ind w:left="40"/>
              <w:spacing w:after="0"/>
              <w:rPr>
                <w:sz w:val="20"/>
                <w:szCs w:val="20"/>
                <w:color w:val="auto"/>
              </w:rPr>
            </w:pPr>
            <w:r>
              <w:rPr>
                <w:rFonts w:ascii="Arial" w:cs="Arial" w:eastAsia="Arial" w:hAnsi="Arial"/>
                <w:sz w:val="20"/>
                <w:szCs w:val="20"/>
                <w:color w:val="auto"/>
              </w:rPr>
              <w:t>10.47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9"/>
          </w:tcPr>
          <w:p>
            <w:pPr>
              <w:spacing w:after="0"/>
              <w:rPr>
                <w:sz w:val="20"/>
                <w:szCs w:val="20"/>
                <w:color w:val="auto"/>
              </w:rPr>
            </w:pPr>
            <w:r>
              <w:rPr>
                <w:rFonts w:ascii="Arial" w:cs="Arial" w:eastAsia="Arial" w:hAnsi="Arial"/>
                <w:sz w:val="20"/>
                <w:szCs w:val="20"/>
                <w:color w:val="1C2790"/>
                <w:w w:val="95"/>
              </w:rPr>
              <w:t>Amendment No. 3 to the First Lien Credit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tcBorders>
              <w:top w:val="single" w:sz="8" w:color="1C2790"/>
            </w:tcBorders>
            <w:gridSpan w:val="32"/>
          </w:tcPr>
          <w:p>
            <w:pPr>
              <w:spacing w:after="0" w:line="176" w:lineRule="exact"/>
              <w:rPr>
                <w:sz w:val="20"/>
                <w:szCs w:val="20"/>
                <w:color w:val="auto"/>
              </w:rPr>
            </w:pPr>
            <w:r>
              <w:rPr>
                <w:rFonts w:ascii="Arial" w:cs="Arial" w:eastAsia="Arial" w:hAnsi="Arial"/>
                <w:sz w:val="20"/>
                <w:szCs w:val="20"/>
                <w:color w:val="1C2790"/>
                <w:w w:val="91"/>
              </w:rPr>
              <w:t>Agreement, dated March 1, 2024, by and</w:t>
            </w: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tcBorders>
              <w:top w:val="single" w:sz="8" w:color="1C2790"/>
            </w:tcBorders>
            <w:gridSpan w:val="28"/>
          </w:tcPr>
          <w:p>
            <w:pPr>
              <w:spacing w:after="0" w:line="176" w:lineRule="exact"/>
              <w:rPr>
                <w:sz w:val="20"/>
                <w:szCs w:val="20"/>
                <w:color w:val="auto"/>
              </w:rPr>
            </w:pPr>
            <w:r>
              <w:rPr>
                <w:rFonts w:ascii="Arial" w:cs="Arial" w:eastAsia="Arial" w:hAnsi="Arial"/>
                <w:sz w:val="20"/>
                <w:szCs w:val="20"/>
                <w:color w:val="1C2790"/>
                <w:w w:val="93"/>
              </w:rPr>
              <w:t>among Sotera Health Company, Sotera</w:t>
            </w: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60" w:type="dxa"/>
            <w:vAlign w:val="bottom"/>
            <w:tcBorders>
              <w:top w:val="single" w:sz="8" w:color="1C2790"/>
            </w:tcBorders>
            <w:gridSpan w:val="22"/>
          </w:tcPr>
          <w:p>
            <w:pPr>
              <w:spacing w:after="0" w:line="176" w:lineRule="exact"/>
              <w:rPr>
                <w:sz w:val="20"/>
                <w:szCs w:val="20"/>
                <w:color w:val="auto"/>
              </w:rPr>
            </w:pPr>
            <w:r>
              <w:rPr>
                <w:rFonts w:ascii="Arial" w:cs="Arial" w:eastAsia="Arial" w:hAnsi="Arial"/>
                <w:sz w:val="20"/>
                <w:szCs w:val="20"/>
                <w:color w:val="1C2790"/>
              </w:rPr>
              <w:t>Health Holdings, the Refinancing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tcBorders>
              <w:top w:val="single" w:sz="8" w:color="1C2790"/>
            </w:tcBorders>
            <w:gridSpan w:val="11"/>
          </w:tcPr>
          <w:p>
            <w:pPr>
              <w:spacing w:after="0" w:line="176" w:lineRule="exact"/>
              <w:rPr>
                <w:sz w:val="20"/>
                <w:szCs w:val="20"/>
                <w:color w:val="auto"/>
              </w:rPr>
            </w:pPr>
            <w:r>
              <w:rPr>
                <w:rFonts w:ascii="Arial" w:cs="Arial" w:eastAsia="Arial" w:hAnsi="Arial"/>
                <w:sz w:val="20"/>
                <w:szCs w:val="20"/>
                <w:color w:val="1C2790"/>
                <w:w w:val="86"/>
              </w:rPr>
              <w:t>Revolving Lenders, and JPMorgan</w:t>
            </w:r>
          </w:p>
        </w:tc>
        <w:tc>
          <w:tcPr>
            <w:tcW w:w="800" w:type="dxa"/>
            <w:vAlign w:val="bottom"/>
            <w:gridSpan w:val="28"/>
          </w:tcPr>
          <w:p>
            <w:pPr>
              <w:ind w:left="100"/>
              <w:spacing w:after="0" w:line="176" w:lineRule="exact"/>
              <w:rPr>
                <w:sz w:val="20"/>
                <w:szCs w:val="20"/>
                <w:color w:val="auto"/>
              </w:rPr>
            </w:pPr>
            <w:r>
              <w:rPr>
                <w:rFonts w:ascii="Arial" w:cs="Arial" w:eastAsia="Arial" w:hAnsi="Arial"/>
                <w:sz w:val="20"/>
                <w:szCs w:val="20"/>
                <w:color w:val="1C2790"/>
              </w:rPr>
              <w:t>Chase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Borders>
              <w:top w:val="single" w:sz="8" w:color="1C2790"/>
            </w:tcBorders>
            <w:gridSpan w:val="31"/>
          </w:tcPr>
          <w:p>
            <w:pPr>
              <w:spacing w:after="0" w:line="176" w:lineRule="exact"/>
              <w:rPr>
                <w:sz w:val="20"/>
                <w:szCs w:val="20"/>
                <w:color w:val="auto"/>
              </w:rPr>
            </w:pPr>
            <w:r>
              <w:rPr>
                <w:rFonts w:ascii="Arial" w:cs="Arial" w:eastAsia="Arial" w:hAnsi="Arial"/>
                <w:sz w:val="20"/>
                <w:szCs w:val="20"/>
                <w:color w:val="1C2790"/>
                <w:w w:val="95"/>
              </w:rPr>
              <w:t>Bank, N.A., as First Lien Administrative</w:t>
            </w: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top w:val="single" w:sz="8" w:color="1C2790"/>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7"/>
              </w:rPr>
              <w:t>Agent</w:t>
            </w:r>
          </w:p>
        </w:tc>
        <w:tc>
          <w:tcPr>
            <w:tcW w:w="2780" w:type="dxa"/>
            <w:vAlign w:val="bottom"/>
            <w:tcBorders>
              <w:top w:val="single" w:sz="8" w:color="1C2790"/>
            </w:tcBorders>
            <w:gridSpan w:val="25"/>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160" w:type="dxa"/>
            <w:vAlign w:val="bottom"/>
          </w:tcPr>
          <w:p>
            <w:pPr>
              <w:ind w:left="40"/>
              <w:spacing w:after="0"/>
              <w:rPr>
                <w:sz w:val="20"/>
                <w:szCs w:val="20"/>
                <w:color w:val="auto"/>
              </w:rPr>
            </w:pPr>
            <w:r>
              <w:rPr>
                <w:rFonts w:ascii="Arial" w:cs="Arial" w:eastAsia="Arial" w:hAnsi="Arial"/>
                <w:sz w:val="20"/>
                <w:szCs w:val="20"/>
                <w:color w:val="auto"/>
              </w:rPr>
              <w:t>10.48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9"/>
          </w:tcPr>
          <w:p>
            <w:pPr>
              <w:spacing w:after="0"/>
              <w:rPr>
                <w:sz w:val="20"/>
                <w:szCs w:val="20"/>
                <w:color w:val="auto"/>
              </w:rPr>
            </w:pPr>
            <w:r>
              <w:rPr>
                <w:rFonts w:ascii="Arial" w:cs="Arial" w:eastAsia="Arial" w:hAnsi="Arial"/>
                <w:sz w:val="20"/>
                <w:szCs w:val="20"/>
                <w:color w:val="1C2790"/>
              </w:rPr>
              <w:t>Amendment No. 4 to First Lien Credit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tcBorders>
              <w:top w:val="single" w:sz="8" w:color="1C2790"/>
              <w:bottom w:val="single" w:sz="8" w:color="1C2790"/>
            </w:tcBorders>
            <w:gridSpan w:val="17"/>
          </w:tcPr>
          <w:p>
            <w:pPr>
              <w:spacing w:after="0" w:line="176" w:lineRule="exact"/>
              <w:rPr>
                <w:sz w:val="20"/>
                <w:szCs w:val="20"/>
                <w:color w:val="auto"/>
              </w:rPr>
            </w:pPr>
            <w:r>
              <w:rPr>
                <w:rFonts w:ascii="Arial" w:cs="Arial" w:eastAsia="Arial" w:hAnsi="Arial"/>
                <w:sz w:val="20"/>
                <w:szCs w:val="20"/>
                <w:color w:val="1C2790"/>
                <w:w w:val="89"/>
              </w:rPr>
              <w:t>Agreement, dated as of May 30, 2024,</w:t>
            </w:r>
          </w:p>
        </w:tc>
        <w:tc>
          <w:tcPr>
            <w:tcW w:w="20" w:type="dxa"/>
            <w:vAlign w:val="bottom"/>
            <w:tcBorders>
              <w:bottom w:val="single" w:sz="8" w:color="1C2790"/>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80" w:type="dxa"/>
            <w:vAlign w:val="bottom"/>
            <w:gridSpan w:val="18"/>
          </w:tcPr>
          <w:p>
            <w:pPr>
              <w:spacing w:after="0" w:line="176" w:lineRule="exact"/>
              <w:rPr>
                <w:sz w:val="20"/>
                <w:szCs w:val="20"/>
                <w:color w:val="auto"/>
              </w:rPr>
            </w:pPr>
            <w:r>
              <w:rPr>
                <w:rFonts w:ascii="Arial" w:cs="Arial" w:eastAsia="Arial" w:hAnsi="Arial"/>
                <w:sz w:val="20"/>
                <w:szCs w:val="20"/>
                <w:color w:val="1C2790"/>
                <w:w w:val="87"/>
              </w:rPr>
              <w:t>among Sotera Health Company, Sotera</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60" w:type="dxa"/>
            <w:vAlign w:val="bottom"/>
            <w:tcBorders>
              <w:top w:val="single" w:sz="8" w:color="1C2790"/>
            </w:tcBorders>
            <w:gridSpan w:val="22"/>
          </w:tcPr>
          <w:p>
            <w:pPr>
              <w:spacing w:after="0" w:line="176" w:lineRule="exact"/>
              <w:rPr>
                <w:sz w:val="20"/>
                <w:szCs w:val="20"/>
                <w:color w:val="auto"/>
              </w:rPr>
            </w:pPr>
            <w:r>
              <w:rPr>
                <w:rFonts w:ascii="Arial" w:cs="Arial" w:eastAsia="Arial" w:hAnsi="Arial"/>
                <w:sz w:val="20"/>
                <w:szCs w:val="20"/>
                <w:color w:val="1C2790"/>
                <w:w w:val="93"/>
              </w:rPr>
              <w:t>Health Holdings, LLC, each Term and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tcBorders>
              <w:top w:val="single" w:sz="8" w:color="1C2790"/>
              <w:bottom w:val="single" w:sz="8" w:color="1C2790"/>
            </w:tcBorders>
            <w:gridSpan w:val="20"/>
          </w:tcPr>
          <w:p>
            <w:pPr>
              <w:spacing w:after="0" w:line="176" w:lineRule="exact"/>
              <w:rPr>
                <w:sz w:val="20"/>
                <w:szCs w:val="20"/>
                <w:color w:val="auto"/>
              </w:rPr>
            </w:pPr>
            <w:r>
              <w:rPr>
                <w:rFonts w:ascii="Arial" w:cs="Arial" w:eastAsia="Arial" w:hAnsi="Arial"/>
                <w:sz w:val="20"/>
                <w:szCs w:val="20"/>
                <w:color w:val="1C2790"/>
                <w:w w:val="90"/>
              </w:rPr>
              <w:t>Revolving Lender party and JPMorgan</w:t>
            </w:r>
          </w:p>
        </w:tc>
        <w:tc>
          <w:tcPr>
            <w:tcW w:w="20" w:type="dxa"/>
            <w:vAlign w:val="bottom"/>
            <w:tcBorders>
              <w:bottom w:val="single" w:sz="8" w:color="1C2790"/>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40" w:type="dxa"/>
            <w:vAlign w:val="bottom"/>
            <w:gridSpan w:val="21"/>
          </w:tcPr>
          <w:p>
            <w:pPr>
              <w:spacing w:after="0" w:line="176" w:lineRule="exact"/>
              <w:rPr>
                <w:sz w:val="20"/>
                <w:szCs w:val="20"/>
                <w:color w:val="auto"/>
              </w:rPr>
            </w:pPr>
            <w:r>
              <w:rPr>
                <w:rFonts w:ascii="Arial" w:cs="Arial" w:eastAsia="Arial" w:hAnsi="Arial"/>
                <w:sz w:val="20"/>
                <w:szCs w:val="20"/>
                <w:color w:val="1C2790"/>
              </w:rPr>
              <w:t>Chase Bank, N.A., as First Lien</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Borders>
              <w:top w:val="single" w:sz="8" w:color="1C2790"/>
              <w:bottom w:val="single" w:sz="8" w:color="1C2790"/>
            </w:tcBorders>
            <w:gridSpan w:val="7"/>
          </w:tcPr>
          <w:p>
            <w:pPr>
              <w:spacing w:after="0" w:line="176" w:lineRule="exact"/>
              <w:rPr>
                <w:sz w:val="20"/>
                <w:szCs w:val="20"/>
                <w:color w:val="auto"/>
              </w:rPr>
            </w:pPr>
            <w:r>
              <w:rPr>
                <w:rFonts w:ascii="Arial" w:cs="Arial" w:eastAsia="Arial" w:hAnsi="Arial"/>
                <w:sz w:val="20"/>
                <w:szCs w:val="20"/>
                <w:color w:val="1C2790"/>
                <w:w w:val="91"/>
              </w:rPr>
              <w:t>Administrative Agent</w:t>
            </w:r>
          </w:p>
        </w:tc>
        <w:tc>
          <w:tcPr>
            <w:tcW w:w="840" w:type="dxa"/>
            <w:vAlign w:val="bottom"/>
            <w:tcBorders>
              <w:top w:val="single" w:sz="8" w:color="1C279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340" w:type="dxa"/>
            <w:vAlign w:val="bottom"/>
            <w:gridSpan w:val="3"/>
          </w:tcPr>
          <w:p>
            <w:pPr>
              <w:ind w:left="40"/>
              <w:spacing w:after="0"/>
              <w:rPr>
                <w:sz w:val="20"/>
                <w:szCs w:val="20"/>
                <w:color w:val="auto"/>
              </w:rPr>
            </w:pPr>
            <w:r>
              <w:rPr>
                <w:rFonts w:ascii="Arial" w:cs="Arial" w:eastAsia="Arial" w:hAnsi="Arial"/>
                <w:sz w:val="20"/>
                <w:szCs w:val="20"/>
                <w:color w:val="auto"/>
              </w:rPr>
              <w:t>10.49‡</w:t>
            </w:r>
          </w:p>
        </w:tc>
        <w:tc>
          <w:tcPr>
            <w:tcW w:w="3480" w:type="dxa"/>
            <w:vAlign w:val="bottom"/>
            <w:tcBorders>
              <w:bottom w:val="single" w:sz="8" w:color="1C2790"/>
            </w:tcBorders>
            <w:gridSpan w:val="39"/>
          </w:tcPr>
          <w:p>
            <w:pPr>
              <w:spacing w:after="0"/>
              <w:rPr>
                <w:sz w:val="20"/>
                <w:szCs w:val="20"/>
                <w:color w:val="auto"/>
              </w:rPr>
            </w:pPr>
            <w:r>
              <w:rPr>
                <w:rFonts w:ascii="Arial" w:cs="Arial" w:eastAsia="Arial" w:hAnsi="Arial"/>
                <w:sz w:val="20"/>
                <w:szCs w:val="20"/>
                <w:color w:val="1C2790"/>
                <w:w w:val="91"/>
              </w:rPr>
              <w:t>Willowbrook Group Settlement Term Sheet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340" w:type="dxa"/>
            <w:vAlign w:val="bottom"/>
            <w:gridSpan w:val="3"/>
          </w:tcPr>
          <w:p>
            <w:pPr>
              <w:ind w:left="40"/>
              <w:spacing w:after="0"/>
              <w:rPr>
                <w:sz w:val="20"/>
                <w:szCs w:val="20"/>
                <w:color w:val="auto"/>
              </w:rPr>
            </w:pPr>
            <w:r>
              <w:rPr>
                <w:rFonts w:ascii="Arial" w:cs="Arial" w:eastAsia="Arial" w:hAnsi="Arial"/>
                <w:sz w:val="20"/>
                <w:szCs w:val="20"/>
                <w:color w:val="auto"/>
              </w:rPr>
              <w:t>10.50‡</w:t>
            </w:r>
          </w:p>
        </w:tc>
        <w:tc>
          <w:tcPr>
            <w:tcW w:w="3480" w:type="dxa"/>
            <w:vAlign w:val="bottom"/>
            <w:gridSpan w:val="39"/>
          </w:tcPr>
          <w:p>
            <w:pPr>
              <w:spacing w:after="0"/>
              <w:rPr>
                <w:sz w:val="20"/>
                <w:szCs w:val="20"/>
                <w:color w:val="auto"/>
              </w:rPr>
            </w:pPr>
            <w:r>
              <w:rPr>
                <w:rFonts w:ascii="Arial" w:cs="Arial" w:eastAsia="Arial" w:hAnsi="Arial"/>
                <w:sz w:val="20"/>
                <w:szCs w:val="20"/>
                <w:color w:val="1C2790"/>
              </w:rPr>
              <w:t>Willowbrook Trial Plaintiffs Settlement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20" w:type="dxa"/>
            <w:vAlign w:val="bottom"/>
            <w:tcBorders>
              <w:top w:val="single" w:sz="8" w:color="1C2790"/>
            </w:tcBorders>
            <w:gridSpan w:val="25"/>
          </w:tcPr>
          <w:p>
            <w:pPr>
              <w:spacing w:after="0" w:line="176" w:lineRule="exact"/>
              <w:rPr>
                <w:sz w:val="20"/>
                <w:szCs w:val="20"/>
                <w:color w:val="auto"/>
              </w:rPr>
            </w:pPr>
            <w:r>
              <w:rPr>
                <w:rFonts w:ascii="Arial" w:cs="Arial" w:eastAsia="Arial" w:hAnsi="Arial"/>
                <w:sz w:val="20"/>
                <w:szCs w:val="20"/>
                <w:color w:val="1C2790"/>
              </w:rPr>
              <w:t>Term Sheet</w:t>
            </w: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gridSpan w:val="3"/>
            <w:vMerge w:val="restart"/>
          </w:tcPr>
          <w:p>
            <w:pPr>
              <w:ind w:left="40"/>
              <w:spacing w:after="0"/>
              <w:rPr>
                <w:sz w:val="20"/>
                <w:szCs w:val="20"/>
                <w:color w:val="auto"/>
              </w:rPr>
            </w:pPr>
            <w:r>
              <w:rPr>
                <w:rFonts w:ascii="Arial" w:cs="Arial" w:eastAsia="Arial" w:hAnsi="Arial"/>
                <w:sz w:val="20"/>
                <w:szCs w:val="20"/>
                <w:color w:val="auto"/>
              </w:rPr>
              <w:t>10.51‡</w:t>
            </w:r>
          </w:p>
        </w:tc>
        <w:tc>
          <w:tcPr>
            <w:tcW w:w="380" w:type="dxa"/>
            <w:vAlign w:val="bottom"/>
            <w:shd w:val="clear" w:color="auto" w:fill="1C2790"/>
          </w:tcPr>
          <w:p>
            <w:pPr>
              <w:spacing w:after="0" w:line="20" w:lineRule="exact"/>
              <w:rPr>
                <w:sz w:val="1"/>
                <w:szCs w:val="1"/>
                <w:color w:val="auto"/>
              </w:rPr>
            </w:pPr>
          </w:p>
        </w:tc>
        <w:tc>
          <w:tcPr>
            <w:tcW w:w="380" w:type="dxa"/>
            <w:vAlign w:val="bottom"/>
            <w:gridSpan w:val="2"/>
            <w:shd w:val="clear" w:color="auto" w:fill="1C2790"/>
          </w:tcPr>
          <w:p>
            <w:pPr>
              <w:spacing w:after="0" w:line="20" w:lineRule="exact"/>
              <w:rPr>
                <w:sz w:val="1"/>
                <w:szCs w:val="1"/>
                <w:color w:val="auto"/>
              </w:rPr>
            </w:pPr>
          </w:p>
        </w:tc>
        <w:tc>
          <w:tcPr>
            <w:tcW w:w="80" w:type="dxa"/>
            <w:vAlign w:val="bottom"/>
            <w:shd w:val="clear" w:color="auto" w:fill="1C2790"/>
          </w:tcPr>
          <w:p>
            <w:pPr>
              <w:spacing w:after="0" w:line="20" w:lineRule="exact"/>
              <w:rPr>
                <w:sz w:val="1"/>
                <w:szCs w:val="1"/>
                <w:color w:val="auto"/>
              </w:rPr>
            </w:pPr>
          </w:p>
        </w:tc>
        <w:tc>
          <w:tcPr>
            <w:tcW w:w="20" w:type="dxa"/>
            <w:vAlign w:val="bottom"/>
            <w:shd w:val="clear" w:color="auto" w:fill="1C2790"/>
          </w:tcPr>
          <w:p>
            <w:pPr>
              <w:spacing w:after="0" w:line="20" w:lineRule="exact"/>
              <w:rPr>
                <w:sz w:val="1"/>
                <w:szCs w:val="1"/>
                <w:color w:val="auto"/>
              </w:rPr>
            </w:pPr>
          </w:p>
        </w:tc>
        <w:tc>
          <w:tcPr>
            <w:tcW w:w="660" w:type="dxa"/>
            <w:vAlign w:val="bottom"/>
            <w:tcBorders>
              <w:left w:val="single" w:sz="8" w:color="1C2790"/>
            </w:tcBorders>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40" w:type="dxa"/>
            <w:vAlign w:val="bottom"/>
            <w:gridSpan w:val="3"/>
            <w:vMerge w:val="continue"/>
          </w:tcPr>
          <w:p>
            <w:pPr>
              <w:spacing w:after="0"/>
              <w:rPr>
                <w:sz w:val="24"/>
                <w:szCs w:val="24"/>
                <w:color w:val="auto"/>
              </w:rPr>
            </w:pPr>
          </w:p>
        </w:tc>
        <w:tc>
          <w:tcPr>
            <w:tcW w:w="3300" w:type="dxa"/>
            <w:vAlign w:val="bottom"/>
            <w:tcBorders>
              <w:bottom w:val="single" w:sz="8" w:color="1C2790"/>
            </w:tcBorders>
            <w:gridSpan w:val="29"/>
          </w:tcPr>
          <w:p>
            <w:pPr>
              <w:spacing w:after="0"/>
              <w:rPr>
                <w:sz w:val="20"/>
                <w:szCs w:val="20"/>
                <w:color w:val="auto"/>
              </w:rPr>
            </w:pPr>
            <w:r>
              <w:rPr>
                <w:rFonts w:ascii="Arial" w:cs="Arial" w:eastAsia="Arial" w:hAnsi="Arial"/>
                <w:sz w:val="20"/>
                <w:szCs w:val="20"/>
                <w:color w:val="1C2790"/>
                <w:w w:val="89"/>
              </w:rPr>
              <w:t>Settlement Agreement dated as of March</w:t>
            </w:r>
          </w:p>
        </w:tc>
        <w:tc>
          <w:tcPr>
            <w:tcW w:w="18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tcBorders>
              <w:bottom w:val="single" w:sz="8" w:color="1C2790"/>
            </w:tcBorders>
            <w:gridSpan w:val="39"/>
          </w:tcPr>
          <w:p>
            <w:pPr>
              <w:spacing w:after="0" w:line="176" w:lineRule="exact"/>
              <w:rPr>
                <w:sz w:val="20"/>
                <w:szCs w:val="20"/>
                <w:color w:val="auto"/>
              </w:rPr>
            </w:pPr>
            <w:r>
              <w:rPr>
                <w:rFonts w:ascii="Arial" w:cs="Arial" w:eastAsia="Arial" w:hAnsi="Arial"/>
                <w:sz w:val="20"/>
                <w:szCs w:val="20"/>
                <w:color w:val="1C2790"/>
                <w:w w:val="89"/>
              </w:rPr>
              <w:t>28, 2023 by and among Sotera Health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39"/>
          </w:tcPr>
          <w:p>
            <w:pPr>
              <w:spacing w:after="0" w:line="176" w:lineRule="exact"/>
              <w:rPr>
                <w:sz w:val="20"/>
                <w:szCs w:val="20"/>
                <w:color w:val="auto"/>
              </w:rPr>
            </w:pPr>
            <w:r>
              <w:rPr>
                <w:rFonts w:ascii="Arial" w:cs="Arial" w:eastAsia="Arial" w:hAnsi="Arial"/>
                <w:sz w:val="20"/>
                <w:szCs w:val="20"/>
                <w:color w:val="1C2790"/>
              </w:rPr>
              <w:t>Sterigenics U.S., LLC and Plaintiffs’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tcBorders>
              <w:top w:val="single" w:sz="8" w:color="1C2790"/>
              <w:bottom w:val="single" w:sz="8" w:color="1C2790"/>
            </w:tcBorders>
            <w:gridSpan w:val="13"/>
          </w:tcPr>
          <w:p>
            <w:pPr>
              <w:spacing w:after="0" w:line="176" w:lineRule="exact"/>
              <w:rPr>
                <w:sz w:val="20"/>
                <w:szCs w:val="20"/>
                <w:color w:val="auto"/>
              </w:rPr>
            </w:pPr>
            <w:r>
              <w:rPr>
                <w:rFonts w:ascii="Arial" w:cs="Arial" w:eastAsia="Arial" w:hAnsi="Arial"/>
                <w:sz w:val="20"/>
                <w:szCs w:val="20"/>
                <w:color w:val="1C2790"/>
                <w:w w:val="90"/>
              </w:rPr>
              <w:t>Counsel (Illinois Ethylene Oxide Tort</w:t>
            </w:r>
          </w:p>
        </w:tc>
        <w:tc>
          <w:tcPr>
            <w:tcW w:w="6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bottom w:val="single" w:sz="8" w:color="1C2790"/>
            </w:tcBorders>
            <w:gridSpan w:val="4"/>
          </w:tcPr>
          <w:p>
            <w:pPr>
              <w:spacing w:after="0" w:line="176" w:lineRule="exact"/>
              <w:rPr>
                <w:sz w:val="20"/>
                <w:szCs w:val="20"/>
                <w:color w:val="auto"/>
              </w:rPr>
            </w:pPr>
            <w:r>
              <w:rPr>
                <w:rFonts w:ascii="Arial" w:cs="Arial" w:eastAsia="Arial" w:hAnsi="Arial"/>
                <w:sz w:val="20"/>
                <w:szCs w:val="20"/>
                <w:color w:val="1C2790"/>
                <w:w w:val="94"/>
              </w:rPr>
              <w:t>Litigation)</w:t>
            </w:r>
          </w:p>
        </w:tc>
        <w:tc>
          <w:tcPr>
            <w:tcW w:w="21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340" w:type="dxa"/>
            <w:vAlign w:val="bottom"/>
            <w:gridSpan w:val="3"/>
          </w:tcPr>
          <w:p>
            <w:pPr>
              <w:ind w:left="40"/>
              <w:spacing w:after="0"/>
              <w:rPr>
                <w:sz w:val="20"/>
                <w:szCs w:val="20"/>
                <w:color w:val="auto"/>
              </w:rPr>
            </w:pPr>
            <w:r>
              <w:rPr>
                <w:rFonts w:ascii="Arial" w:cs="Arial" w:eastAsia="Arial" w:hAnsi="Arial"/>
                <w:sz w:val="20"/>
                <w:szCs w:val="20"/>
                <w:color w:val="auto"/>
              </w:rPr>
              <w:t>10.52‡</w:t>
            </w:r>
          </w:p>
        </w:tc>
        <w:tc>
          <w:tcPr>
            <w:tcW w:w="3480" w:type="dxa"/>
            <w:vAlign w:val="bottom"/>
            <w:tcBorders>
              <w:bottom w:val="single" w:sz="8" w:color="1C2790"/>
            </w:tcBorders>
            <w:gridSpan w:val="39"/>
          </w:tcPr>
          <w:p>
            <w:pPr>
              <w:spacing w:after="0"/>
              <w:rPr>
                <w:sz w:val="20"/>
                <w:szCs w:val="20"/>
                <w:color w:val="auto"/>
              </w:rPr>
            </w:pPr>
            <w:r>
              <w:rPr>
                <w:rFonts w:ascii="Arial" w:cs="Arial" w:eastAsia="Arial" w:hAnsi="Arial"/>
                <w:sz w:val="20"/>
                <w:szCs w:val="20"/>
                <w:color w:val="1C2790"/>
                <w:w w:val="92"/>
              </w:rPr>
              <w:t>Willowbrook Group Settlement Agreement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39"/>
          </w:tcPr>
          <w:p>
            <w:pPr>
              <w:spacing w:after="0" w:line="176" w:lineRule="exact"/>
              <w:rPr>
                <w:sz w:val="20"/>
                <w:szCs w:val="20"/>
                <w:color w:val="auto"/>
              </w:rPr>
            </w:pPr>
            <w:r>
              <w:rPr>
                <w:rFonts w:ascii="Arial" w:cs="Arial" w:eastAsia="Arial" w:hAnsi="Arial"/>
                <w:sz w:val="20"/>
                <w:szCs w:val="20"/>
                <w:color w:val="1C2790"/>
                <w:w w:val="92"/>
              </w:rPr>
              <w:t>dated as of March 28, 2023 by and among</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Borders>
              <w:top w:val="single" w:sz="8" w:color="1C2790"/>
              <w:bottom w:val="single" w:sz="8" w:color="1C2790"/>
            </w:tcBorders>
            <w:gridSpan w:val="33"/>
          </w:tcPr>
          <w:p>
            <w:pPr>
              <w:spacing w:after="0" w:line="176" w:lineRule="exact"/>
              <w:rPr>
                <w:sz w:val="20"/>
                <w:szCs w:val="20"/>
                <w:color w:val="auto"/>
              </w:rPr>
            </w:pPr>
            <w:r>
              <w:rPr>
                <w:rFonts w:ascii="Arial" w:cs="Arial" w:eastAsia="Arial" w:hAnsi="Arial"/>
                <w:sz w:val="20"/>
                <w:szCs w:val="20"/>
                <w:color w:val="1C2790"/>
                <w:w w:val="91"/>
              </w:rPr>
              <w:t>Sotera Health LLC, Sterigenics U.S., LLC</w:t>
            </w:r>
          </w:p>
        </w:tc>
        <w:tc>
          <w:tcPr>
            <w:tcW w:w="60" w:type="dxa"/>
            <w:vAlign w:val="bottom"/>
            <w:tcBorders>
              <w:bottom w:val="single" w:sz="8" w:color="1C2790"/>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tcBorders>
              <w:bottom w:val="single" w:sz="8" w:color="1C2790"/>
            </w:tcBorders>
            <w:gridSpan w:val="12"/>
          </w:tcPr>
          <w:p>
            <w:pPr>
              <w:spacing w:after="0" w:line="176" w:lineRule="exact"/>
              <w:rPr>
                <w:sz w:val="20"/>
                <w:szCs w:val="20"/>
                <w:color w:val="auto"/>
              </w:rPr>
            </w:pPr>
            <w:r>
              <w:rPr>
                <w:rFonts w:ascii="Arial" w:cs="Arial" w:eastAsia="Arial" w:hAnsi="Arial"/>
                <w:sz w:val="20"/>
                <w:szCs w:val="20"/>
                <w:color w:val="1C2790"/>
                <w:w w:val="91"/>
              </w:rPr>
              <w:t>and Plaintiff's Executive Committee</w:t>
            </w:r>
          </w:p>
        </w:tc>
        <w:tc>
          <w:tcPr>
            <w:tcW w:w="560" w:type="dxa"/>
            <w:vAlign w:val="bottom"/>
            <w:gridSpan w:val="2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tcBorders>
              <w:bottom w:val="single" w:sz="8" w:color="1C2790"/>
            </w:tcBorders>
            <w:gridSpan w:val="24"/>
          </w:tcPr>
          <w:p>
            <w:pPr>
              <w:spacing w:after="0" w:line="176" w:lineRule="exact"/>
              <w:rPr>
                <w:sz w:val="20"/>
                <w:szCs w:val="20"/>
                <w:color w:val="auto"/>
              </w:rPr>
            </w:pPr>
            <w:r>
              <w:rPr>
                <w:rFonts w:ascii="Arial" w:cs="Arial" w:eastAsia="Arial" w:hAnsi="Arial"/>
                <w:sz w:val="20"/>
                <w:szCs w:val="20"/>
                <w:color w:val="1C2790"/>
                <w:w w:val="94"/>
              </w:rPr>
              <w:t>(Illinois Ethylene Oxide Tort Litigation)</w:t>
            </w:r>
          </w:p>
        </w:tc>
        <w:tc>
          <w:tcPr>
            <w:tcW w:w="280" w:type="dxa"/>
            <w:vAlign w:val="bottom"/>
            <w:gridSpan w:val="15"/>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1160" w:type="dxa"/>
            <w:vAlign w:val="bottom"/>
          </w:tcPr>
          <w:p>
            <w:pPr>
              <w:ind w:left="40"/>
              <w:spacing w:after="0"/>
              <w:rPr>
                <w:sz w:val="20"/>
                <w:szCs w:val="20"/>
                <w:color w:val="auto"/>
              </w:rPr>
            </w:pPr>
            <w:r>
              <w:rPr>
                <w:rFonts w:ascii="Arial" w:cs="Arial" w:eastAsia="Arial" w:hAnsi="Arial"/>
                <w:sz w:val="20"/>
                <w:szCs w:val="20"/>
                <w:color w:val="auto"/>
              </w:rPr>
              <w:t>10.53+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tcBorders>
              <w:bottom w:val="single" w:sz="8" w:color="1C2790"/>
            </w:tcBorders>
            <w:gridSpan w:val="19"/>
          </w:tcPr>
          <w:p>
            <w:pPr>
              <w:spacing w:after="0"/>
              <w:rPr>
                <w:sz w:val="20"/>
                <w:szCs w:val="20"/>
                <w:color w:val="auto"/>
              </w:rPr>
            </w:pPr>
            <w:r>
              <w:rPr>
                <w:rFonts w:ascii="Arial" w:cs="Arial" w:eastAsia="Arial" w:hAnsi="Arial"/>
                <w:sz w:val="20"/>
                <w:szCs w:val="20"/>
                <w:color w:val="1C2790"/>
                <w:w w:val="91"/>
              </w:rPr>
              <w:t>Form of Sotera Health Company 2020</w:t>
            </w:r>
          </w:p>
        </w:tc>
        <w:tc>
          <w:tcPr>
            <w:tcW w:w="380" w:type="dxa"/>
            <w:vAlign w:val="bottom"/>
            <w:gridSpan w:val="2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39"/>
          </w:tcPr>
          <w:p>
            <w:pPr>
              <w:spacing w:after="0" w:line="176" w:lineRule="exact"/>
              <w:rPr>
                <w:sz w:val="20"/>
                <w:szCs w:val="20"/>
                <w:color w:val="auto"/>
              </w:rPr>
            </w:pPr>
            <w:r>
              <w:rPr>
                <w:rFonts w:ascii="Arial" w:cs="Arial" w:eastAsia="Arial" w:hAnsi="Arial"/>
                <w:sz w:val="20"/>
                <w:szCs w:val="20"/>
                <w:color w:val="1C2790"/>
                <w:w w:val="95"/>
              </w:rPr>
              <w:t>Omnibus Incentive Plan Restricted Stock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00" w:type="dxa"/>
            <w:vAlign w:val="bottom"/>
            <w:tcBorders>
              <w:top w:val="single" w:sz="8" w:color="1C2790"/>
            </w:tcBorders>
            <w:gridSpan w:val="29"/>
          </w:tcPr>
          <w:p>
            <w:pPr>
              <w:spacing w:after="0" w:line="176" w:lineRule="exact"/>
              <w:rPr>
                <w:sz w:val="20"/>
                <w:szCs w:val="20"/>
                <w:color w:val="auto"/>
              </w:rPr>
            </w:pPr>
            <w:r>
              <w:rPr>
                <w:rFonts w:ascii="Arial" w:cs="Arial" w:eastAsia="Arial" w:hAnsi="Arial"/>
                <w:sz w:val="20"/>
                <w:szCs w:val="20"/>
                <w:color w:val="1C2790"/>
              </w:rPr>
              <w:t>Unit Grant Notice (As Amended) and</w:t>
            </w:r>
          </w:p>
        </w:tc>
        <w:tc>
          <w:tcPr>
            <w:tcW w:w="160" w:type="dxa"/>
            <w:vAlign w:val="bottom"/>
            <w:gridSpan w:val="8"/>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1C2790"/>
            </w:tcBorders>
            <w:gridSpan w:val="14"/>
          </w:tcPr>
          <w:p>
            <w:pPr>
              <w:spacing w:after="0" w:line="176" w:lineRule="exact"/>
              <w:rPr>
                <w:sz w:val="20"/>
                <w:szCs w:val="20"/>
                <w:color w:val="auto"/>
              </w:rPr>
            </w:pPr>
            <w:r>
              <w:rPr>
                <w:rFonts w:ascii="Arial" w:cs="Arial" w:eastAsia="Arial" w:hAnsi="Arial"/>
                <w:sz w:val="20"/>
                <w:szCs w:val="20"/>
                <w:color w:val="1C2790"/>
              </w:rPr>
              <w:t>Agreement</w:t>
            </w:r>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280" w:type="dxa"/>
            <w:vAlign w:val="bottom"/>
            <w:gridSpan w:val="14"/>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40"/>
              <w:spacing w:after="0"/>
              <w:rPr>
                <w:sz w:val="20"/>
                <w:szCs w:val="20"/>
                <w:color w:val="auto"/>
              </w:rPr>
            </w:pPr>
            <w:r>
              <w:rPr>
                <w:rFonts w:ascii="Arial" w:cs="Arial" w:eastAsia="Arial" w:hAnsi="Arial"/>
                <w:sz w:val="20"/>
                <w:szCs w:val="20"/>
                <w:color w:val="auto"/>
              </w:rPr>
              <w:t>10.54+</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1C2790"/>
          </w:tcPr>
          <w:p>
            <w:pPr>
              <w:spacing w:after="0" w:line="20" w:lineRule="exact"/>
              <w:rPr>
                <w:sz w:val="1"/>
                <w:szCs w:val="1"/>
                <w:color w:val="auto"/>
              </w:rPr>
            </w:pPr>
          </w:p>
        </w:tc>
        <w:tc>
          <w:tcPr>
            <w:tcW w:w="380" w:type="dxa"/>
            <w:vAlign w:val="bottom"/>
            <w:gridSpan w:val="2"/>
            <w:shd w:val="clear" w:color="auto" w:fill="1C2790"/>
          </w:tcPr>
          <w:p>
            <w:pPr>
              <w:spacing w:after="0" w:line="20" w:lineRule="exact"/>
              <w:rPr>
                <w:sz w:val="1"/>
                <w:szCs w:val="1"/>
                <w:color w:val="auto"/>
              </w:rPr>
            </w:pPr>
          </w:p>
        </w:tc>
        <w:tc>
          <w:tcPr>
            <w:tcW w:w="100" w:type="dxa"/>
            <w:vAlign w:val="bottom"/>
            <w:gridSpan w:val="2"/>
            <w:shd w:val="clear" w:color="auto" w:fill="1C279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9"/>
          </w:tcPr>
          <w:p>
            <w:pPr>
              <w:spacing w:after="0"/>
              <w:rPr>
                <w:sz w:val="20"/>
                <w:szCs w:val="20"/>
                <w:color w:val="auto"/>
              </w:rPr>
            </w:pPr>
            <w:r>
              <w:rPr>
                <w:rFonts w:ascii="Arial" w:cs="Arial" w:eastAsia="Arial" w:hAnsi="Arial"/>
                <w:sz w:val="20"/>
                <w:szCs w:val="20"/>
                <w:color w:val="1C2790"/>
              </w:rPr>
              <w:t>Form of Sotera Health Company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tcBorders>
              <w:top w:val="single" w:sz="8" w:color="1C2790"/>
            </w:tcBorders>
            <w:gridSpan w:val="19"/>
          </w:tcPr>
          <w:p>
            <w:pPr>
              <w:spacing w:after="0" w:line="176" w:lineRule="exact"/>
              <w:rPr>
                <w:sz w:val="20"/>
                <w:szCs w:val="20"/>
                <w:color w:val="auto"/>
              </w:rPr>
            </w:pPr>
            <w:r>
              <w:rPr>
                <w:rFonts w:ascii="Arial" w:cs="Arial" w:eastAsia="Arial" w:hAnsi="Arial"/>
                <w:sz w:val="20"/>
                <w:szCs w:val="20"/>
                <w:color w:val="1C2790"/>
                <w:w w:val="92"/>
              </w:rPr>
              <w:t>Omnibus Incentive Plan Stock Option</w:t>
            </w:r>
          </w:p>
        </w:tc>
        <w:tc>
          <w:tcPr>
            <w:tcW w:w="80" w:type="dxa"/>
            <w:vAlign w:val="bottom"/>
            <w:gridSpan w:val="4"/>
          </w:tcPr>
          <w:p>
            <w:pPr>
              <w:spacing w:after="0"/>
              <w:rPr>
                <w:sz w:val="15"/>
                <w:szCs w:val="15"/>
                <w:color w:val="auto"/>
              </w:rPr>
            </w:pPr>
          </w:p>
        </w:tc>
        <w:tc>
          <w:tcPr>
            <w:tcW w:w="280" w:type="dxa"/>
            <w:vAlign w:val="bottom"/>
            <w:gridSpan w:val="14"/>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Borders>
              <w:top w:val="single" w:sz="8" w:color="1C2790"/>
            </w:tcBorders>
            <w:gridSpan w:val="16"/>
          </w:tcPr>
          <w:p>
            <w:pPr>
              <w:spacing w:after="0" w:line="176" w:lineRule="exact"/>
              <w:rPr>
                <w:sz w:val="20"/>
                <w:szCs w:val="20"/>
                <w:color w:val="auto"/>
              </w:rPr>
            </w:pPr>
            <w:r>
              <w:rPr>
                <w:rFonts w:ascii="Arial" w:cs="Arial" w:eastAsia="Arial" w:hAnsi="Arial"/>
                <w:sz w:val="20"/>
                <w:szCs w:val="20"/>
                <w:color w:val="1C2790"/>
              </w:rPr>
              <w:t>Grant Notice (As Amended) and</w:t>
            </w:r>
          </w:p>
        </w:tc>
        <w:tc>
          <w:tcPr>
            <w:tcW w:w="140" w:type="dxa"/>
            <w:vAlign w:val="bottom"/>
            <w:gridSpan w:val="7"/>
          </w:tcPr>
          <w:p>
            <w:pPr>
              <w:spacing w:after="0"/>
              <w:rPr>
                <w:sz w:val="15"/>
                <w:szCs w:val="15"/>
                <w:color w:val="auto"/>
              </w:rPr>
            </w:pPr>
          </w:p>
        </w:tc>
        <w:tc>
          <w:tcPr>
            <w:tcW w:w="280" w:type="dxa"/>
            <w:vAlign w:val="bottom"/>
            <w:gridSpan w:val="14"/>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20" w:type="dxa"/>
            <w:vAlign w:val="bottom"/>
            <w:tcBorders>
              <w:top w:val="single" w:sz="8" w:color="1C2790"/>
            </w:tcBorders>
            <w:gridSpan w:val="10"/>
          </w:tcPr>
          <w:p>
            <w:pPr>
              <w:spacing w:after="0" w:line="176" w:lineRule="exact"/>
              <w:rPr>
                <w:sz w:val="20"/>
                <w:szCs w:val="20"/>
                <w:color w:val="auto"/>
              </w:rPr>
            </w:pPr>
            <w:r>
              <w:rPr>
                <w:rFonts w:ascii="Arial" w:cs="Arial" w:eastAsia="Arial" w:hAnsi="Arial"/>
                <w:sz w:val="20"/>
                <w:szCs w:val="20"/>
                <w:color w:val="1C2790"/>
              </w:rPr>
              <w:t>Agreement</w:t>
            </w:r>
          </w:p>
        </w:tc>
        <w:tc>
          <w:tcPr>
            <w:tcW w:w="560" w:type="dxa"/>
            <w:vAlign w:val="bottom"/>
            <w:gridSpan w:val="13"/>
          </w:tcPr>
          <w:p>
            <w:pPr>
              <w:spacing w:after="0"/>
              <w:rPr>
                <w:sz w:val="15"/>
                <w:szCs w:val="15"/>
                <w:color w:val="auto"/>
              </w:rPr>
            </w:pPr>
          </w:p>
        </w:tc>
        <w:tc>
          <w:tcPr>
            <w:tcW w:w="280" w:type="dxa"/>
            <w:vAlign w:val="bottom"/>
            <w:gridSpan w:val="14"/>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40"/>
              <w:spacing w:after="0"/>
              <w:rPr>
                <w:sz w:val="20"/>
                <w:szCs w:val="20"/>
                <w:color w:val="auto"/>
              </w:rPr>
            </w:pPr>
            <w:r>
              <w:rPr>
                <w:rFonts w:ascii="Arial" w:cs="Arial" w:eastAsia="Arial" w:hAnsi="Arial"/>
                <w:sz w:val="20"/>
                <w:szCs w:val="20"/>
                <w:color w:val="auto"/>
              </w:rPr>
              <w:t>19.1</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1C2790"/>
          </w:tcPr>
          <w:p>
            <w:pPr>
              <w:spacing w:after="0" w:line="20" w:lineRule="exact"/>
              <w:rPr>
                <w:sz w:val="1"/>
                <w:szCs w:val="1"/>
                <w:color w:val="auto"/>
              </w:rPr>
            </w:pPr>
          </w:p>
        </w:tc>
        <w:tc>
          <w:tcPr>
            <w:tcW w:w="380" w:type="dxa"/>
            <w:vAlign w:val="bottom"/>
            <w:gridSpan w:val="2"/>
            <w:shd w:val="clear" w:color="auto" w:fill="1C2790"/>
          </w:tcPr>
          <w:p>
            <w:pPr>
              <w:spacing w:after="0" w:line="20" w:lineRule="exact"/>
              <w:rPr>
                <w:sz w:val="1"/>
                <w:szCs w:val="1"/>
                <w:color w:val="auto"/>
              </w:rPr>
            </w:pPr>
          </w:p>
        </w:tc>
        <w:tc>
          <w:tcPr>
            <w:tcW w:w="100" w:type="dxa"/>
            <w:vAlign w:val="bottom"/>
            <w:gridSpan w:val="2"/>
            <w:shd w:val="clear" w:color="auto" w:fill="1C279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0" w:type="dxa"/>
            <w:vAlign w:val="bottom"/>
            <w:gridSpan w:val="14"/>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9"/>
          </w:tcPr>
          <w:p>
            <w:pPr>
              <w:spacing w:after="0"/>
              <w:rPr>
                <w:sz w:val="20"/>
                <w:szCs w:val="20"/>
                <w:color w:val="auto"/>
              </w:rPr>
            </w:pPr>
            <w:r>
              <w:rPr>
                <w:rFonts w:ascii="Arial" w:cs="Arial" w:eastAsia="Arial" w:hAnsi="Arial"/>
                <w:sz w:val="20"/>
                <w:szCs w:val="20"/>
                <w:color w:val="1C2790"/>
              </w:rPr>
              <w:t>Insider Trading Policy of Sotera Health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top w:val="single" w:sz="8" w:color="1C2790"/>
              <w:bottom w:val="single" w:sz="8" w:color="1C2790"/>
            </w:tcBorders>
            <w:gridSpan w:val="3"/>
          </w:tcPr>
          <w:p>
            <w:pPr>
              <w:spacing w:after="0" w:line="176" w:lineRule="exact"/>
              <w:rPr>
                <w:sz w:val="20"/>
                <w:szCs w:val="20"/>
                <w:color w:val="auto"/>
              </w:rPr>
            </w:pPr>
            <w:r>
              <w:rPr>
                <w:rFonts w:ascii="Arial" w:cs="Arial" w:eastAsia="Arial" w:hAnsi="Arial"/>
                <w:sz w:val="20"/>
                <w:szCs w:val="20"/>
                <w:color w:val="1C2790"/>
                <w:w w:val="86"/>
              </w:rPr>
              <w:t>Company</w:t>
            </w:r>
          </w:p>
        </w:tc>
        <w:tc>
          <w:tcPr>
            <w:tcW w:w="2420" w:type="dxa"/>
            <w:vAlign w:val="bottom"/>
            <w:tcBorders>
              <w:top w:val="single" w:sz="8" w:color="1C2790"/>
            </w:tcBorders>
            <w:gridSpan w:val="20"/>
          </w:tcPr>
          <w:p>
            <w:pPr>
              <w:spacing w:after="0"/>
              <w:rPr>
                <w:sz w:val="15"/>
                <w:szCs w:val="15"/>
                <w:color w:val="auto"/>
              </w:rPr>
            </w:pPr>
          </w:p>
        </w:tc>
        <w:tc>
          <w:tcPr>
            <w:tcW w:w="280" w:type="dxa"/>
            <w:vAlign w:val="bottom"/>
            <w:gridSpan w:val="14"/>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160" w:type="dxa"/>
            <w:vAlign w:val="bottom"/>
          </w:tcPr>
          <w:p>
            <w:pPr>
              <w:ind w:left="40"/>
              <w:spacing w:after="0"/>
              <w:rPr>
                <w:sz w:val="20"/>
                <w:szCs w:val="20"/>
                <w:color w:val="auto"/>
              </w:rPr>
            </w:pPr>
            <w:r>
              <w:rPr>
                <w:rFonts w:ascii="Arial" w:cs="Arial" w:eastAsia="Arial" w:hAnsi="Arial"/>
                <w:sz w:val="20"/>
                <w:szCs w:val="20"/>
                <w:color w:val="auto"/>
              </w:rPr>
              <w:t>21.1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9"/>
          </w:tcPr>
          <w:p>
            <w:pPr>
              <w:spacing w:after="0"/>
              <w:rPr>
                <w:sz w:val="20"/>
                <w:szCs w:val="20"/>
                <w:color w:val="auto"/>
              </w:rPr>
            </w:pPr>
            <w:r>
              <w:rPr>
                <w:rFonts w:ascii="Arial" w:cs="Arial" w:eastAsia="Arial" w:hAnsi="Arial"/>
                <w:sz w:val="20"/>
                <w:szCs w:val="20"/>
                <w:color w:val="1C2790"/>
              </w:rPr>
              <w:t>List of Subsidiaries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40"/>
              <w:spacing w:after="0"/>
              <w:rPr>
                <w:sz w:val="20"/>
                <w:szCs w:val="20"/>
                <w:color w:val="auto"/>
              </w:rPr>
            </w:pPr>
            <w:r>
              <w:rPr>
                <w:rFonts w:ascii="Arial" w:cs="Arial" w:eastAsia="Arial" w:hAnsi="Arial"/>
                <w:sz w:val="20"/>
                <w:szCs w:val="20"/>
                <w:color w:val="auto"/>
              </w:rPr>
              <w:t>23.1</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1C2790"/>
          </w:tcPr>
          <w:p>
            <w:pPr>
              <w:spacing w:after="0" w:line="20" w:lineRule="exact"/>
              <w:rPr>
                <w:sz w:val="1"/>
                <w:szCs w:val="1"/>
                <w:color w:val="auto"/>
              </w:rPr>
            </w:pPr>
          </w:p>
        </w:tc>
        <w:tc>
          <w:tcPr>
            <w:tcW w:w="1140" w:type="dxa"/>
            <w:vAlign w:val="bottom"/>
            <w:gridSpan w:val="5"/>
            <w:shd w:val="clear" w:color="auto" w:fill="1C279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60" w:type="dxa"/>
            <w:vAlign w:val="bottom"/>
            <w:gridSpan w:val="28"/>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39"/>
          </w:tcPr>
          <w:p>
            <w:pPr>
              <w:spacing w:after="0"/>
              <w:rPr>
                <w:sz w:val="20"/>
                <w:szCs w:val="20"/>
                <w:color w:val="auto"/>
              </w:rPr>
            </w:pPr>
            <w:r>
              <w:rPr>
                <w:rFonts w:ascii="Arial" w:cs="Arial" w:eastAsia="Arial" w:hAnsi="Arial"/>
                <w:sz w:val="20"/>
                <w:szCs w:val="20"/>
                <w:color w:val="1C2790"/>
              </w:rPr>
              <w:t>Consent of Ernst &amp; Young LLP,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0" w:type="dxa"/>
            <w:vAlign w:val="bottom"/>
            <w:tcBorders>
              <w:top w:val="single" w:sz="8" w:color="1C2790"/>
            </w:tcBorders>
            <w:gridSpan w:val="9"/>
          </w:tcPr>
          <w:p>
            <w:pPr>
              <w:spacing w:after="0" w:line="176" w:lineRule="exact"/>
              <w:rPr>
                <w:sz w:val="20"/>
                <w:szCs w:val="20"/>
                <w:color w:val="auto"/>
              </w:rPr>
            </w:pPr>
            <w:r>
              <w:rPr>
                <w:rFonts w:ascii="Arial" w:cs="Arial" w:eastAsia="Arial" w:hAnsi="Arial"/>
                <w:sz w:val="20"/>
                <w:szCs w:val="20"/>
                <w:color w:val="1C2790"/>
                <w:w w:val="94"/>
              </w:rPr>
              <w:t>Independent Registered Public</w:t>
            </w:r>
          </w:p>
        </w:tc>
        <w:tc>
          <w:tcPr>
            <w:tcW w:w="880" w:type="dxa"/>
            <w:vAlign w:val="bottom"/>
            <w:gridSpan w:val="30"/>
          </w:tcPr>
          <w:p>
            <w:pPr>
              <w:spacing w:after="0" w:line="176" w:lineRule="exact"/>
              <w:rPr>
                <w:sz w:val="20"/>
                <w:szCs w:val="20"/>
                <w:color w:val="auto"/>
              </w:rPr>
            </w:pPr>
            <w:r>
              <w:rPr>
                <w:rFonts w:ascii="Arial" w:cs="Arial" w:eastAsia="Arial" w:hAnsi="Arial"/>
                <w:sz w:val="20"/>
                <w:szCs w:val="20"/>
                <w:color w:val="1C2790"/>
                <w:w w:val="86"/>
              </w:rPr>
              <w:t>Accounting</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9"/>
              </w:rPr>
              <w:t>Firm</w:t>
            </w:r>
          </w:p>
        </w:tc>
        <w:tc>
          <w:tcPr>
            <w:tcW w:w="3080" w:type="dxa"/>
            <w:vAlign w:val="bottom"/>
            <w:tcBorders>
              <w:top w:val="single" w:sz="8" w:color="1C2790"/>
            </w:tcBorders>
            <w:gridSpan w:val="36"/>
          </w:tcPr>
          <w:p>
            <w:pPr>
              <w:spacing w:after="0"/>
              <w:rPr>
                <w:sz w:val="15"/>
                <w:szCs w:val="15"/>
                <w:color w:val="auto"/>
              </w:rPr>
            </w:pPr>
          </w:p>
        </w:tc>
        <w:tc>
          <w:tcPr>
            <w:tcW w:w="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20" w:type="dxa"/>
            <w:vAlign w:val="bottom"/>
            <w:gridSpan w:val="3"/>
          </w:tcPr>
          <w:p>
            <w:pPr>
              <w:ind w:left="8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0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Furnished</w:t>
            </w:r>
          </w:p>
        </w:tc>
        <w:tc>
          <w:tcPr>
            <w:tcW w:w="14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File No.</w:t>
            </w:r>
          </w:p>
        </w:tc>
        <w:tc>
          <w:tcPr>
            <w:tcW w:w="8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Exhibit</w:t>
            </w:r>
          </w:p>
        </w:tc>
        <w:tc>
          <w:tcPr>
            <w:tcW w:w="1140" w:type="dxa"/>
            <w:vAlign w:val="bottom"/>
            <w:vMerge w:val="restart"/>
          </w:tcPr>
          <w:p>
            <w:pPr>
              <w:ind w:left="100"/>
              <w:spacing w:after="0"/>
              <w:rPr>
                <w:sz w:val="20"/>
                <w:szCs w:val="20"/>
                <w:color w:val="auto"/>
              </w:rPr>
            </w:pPr>
            <w:r>
              <w:rPr>
                <w:rFonts w:ascii="Arial" w:cs="Arial" w:eastAsia="Arial" w:hAnsi="Arial"/>
                <w:sz w:val="20"/>
                <w:szCs w:val="20"/>
                <w:b w:val="1"/>
                <w:bCs w:val="1"/>
                <w:color w:val="auto"/>
                <w:w w:val="99"/>
              </w:rPr>
              <w:t>Filing Date</w:t>
            </w:r>
          </w:p>
        </w:tc>
        <w:tc>
          <w:tcPr>
            <w:tcW w:w="0" w:type="dxa"/>
            <w:vAlign w:val="bottom"/>
          </w:tcPr>
          <w:p>
            <w:pPr>
              <w:spacing w:after="0"/>
              <w:rPr>
                <w:sz w:val="1"/>
                <w:szCs w:val="1"/>
                <w:color w:val="auto"/>
              </w:rPr>
            </w:pPr>
          </w:p>
        </w:tc>
      </w:tr>
      <w:tr>
        <w:trPr>
          <w:trHeight w:val="25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Herewith</w:t>
            </w:r>
          </w:p>
        </w:tc>
        <w:tc>
          <w:tcPr>
            <w:tcW w:w="140" w:type="dxa"/>
            <w:vAlign w:val="bottom"/>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22"/>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1160" w:type="dxa"/>
            <w:vAlign w:val="bottom"/>
          </w:tcPr>
          <w:p>
            <w:pPr>
              <w:jc w:val="right"/>
              <w:ind w:right="22"/>
              <w:spacing w:after="0"/>
              <w:rPr>
                <w:sz w:val="20"/>
                <w:szCs w:val="20"/>
                <w:color w:val="auto"/>
              </w:rPr>
            </w:pPr>
            <w:r>
              <w:rPr>
                <w:rFonts w:ascii="Arial" w:cs="Arial" w:eastAsia="Arial" w:hAnsi="Arial"/>
                <w:sz w:val="20"/>
                <w:szCs w:val="20"/>
                <w:color w:val="auto"/>
              </w:rPr>
              <w:t>001-39729</w:t>
            </w:r>
          </w:p>
        </w:tc>
        <w:tc>
          <w:tcPr>
            <w:tcW w:w="820" w:type="dxa"/>
            <w:vAlign w:val="bottom"/>
          </w:tcPr>
          <w:p>
            <w:pPr>
              <w:jc w:val="right"/>
              <w:ind w:right="142"/>
              <w:spacing w:after="0"/>
              <w:rPr>
                <w:sz w:val="20"/>
                <w:szCs w:val="20"/>
                <w:color w:val="auto"/>
              </w:rPr>
            </w:pPr>
            <w:r>
              <w:rPr>
                <w:rFonts w:ascii="Arial" w:cs="Arial" w:eastAsia="Arial" w:hAnsi="Arial"/>
                <w:sz w:val="20"/>
                <w:szCs w:val="20"/>
                <w:color w:val="auto"/>
              </w:rPr>
              <w:t>10.1</w:t>
            </w:r>
          </w:p>
        </w:tc>
        <w:tc>
          <w:tcPr>
            <w:tcW w:w="1140" w:type="dxa"/>
            <w:vAlign w:val="bottom"/>
          </w:tcPr>
          <w:p>
            <w:pPr>
              <w:ind w:left="100"/>
              <w:spacing w:after="0"/>
              <w:rPr>
                <w:sz w:val="20"/>
                <w:szCs w:val="20"/>
                <w:color w:val="auto"/>
              </w:rPr>
            </w:pPr>
            <w:r>
              <w:rPr>
                <w:rFonts w:ascii="Arial" w:cs="Arial" w:eastAsia="Arial" w:hAnsi="Arial"/>
                <w:sz w:val="20"/>
                <w:szCs w:val="20"/>
                <w:color w:val="auto"/>
                <w:w w:val="99"/>
              </w:rPr>
              <w:t>2023-06-22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20"/>
        <w:spacing w:after="0"/>
        <w:tabs>
          <w:tab w:leader="none" w:pos="2900" w:val="left"/>
          <w:tab w:leader="none" w:pos="1700" w:val="left"/>
          <w:tab w:leader="none" w:pos="1020" w:val="left"/>
        </w:tabs>
        <w:rPr>
          <w:sz w:val="20"/>
          <w:szCs w:val="20"/>
          <w:color w:val="auto"/>
        </w:rPr>
      </w:pPr>
      <w:r>
        <w:rPr>
          <w:rFonts w:ascii="Arial" w:cs="Arial" w:eastAsia="Arial" w:hAnsi="Arial"/>
          <w:sz w:val="20"/>
          <w:szCs w:val="20"/>
          <w:color w:val="auto"/>
        </w:rPr>
        <w:t>8-K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7"/>
          <w:szCs w:val="17"/>
          <w:color w:val="auto"/>
        </w:rPr>
        <w:t>2024-03-04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20"/>
        <w:spacing w:after="0"/>
        <w:tabs>
          <w:tab w:leader="none" w:pos="2900" w:val="left"/>
          <w:tab w:leader="none" w:pos="1700" w:val="left"/>
          <w:tab w:leader="none" w:pos="102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10.1</w:t>
      </w:r>
      <w:r>
        <w:rPr>
          <w:sz w:val="20"/>
          <w:szCs w:val="20"/>
          <w:color w:val="auto"/>
        </w:rPr>
        <w:tab/>
      </w:r>
      <w:r>
        <w:rPr>
          <w:rFonts w:ascii="Arial" w:cs="Arial" w:eastAsia="Arial" w:hAnsi="Arial"/>
          <w:sz w:val="17"/>
          <w:szCs w:val="17"/>
          <w:color w:val="auto"/>
        </w:rPr>
        <w:t>2024-08-05</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120"/>
        <w:spacing w:after="0"/>
        <w:tabs>
          <w:tab w:leader="none" w:pos="2900" w:val="left"/>
          <w:tab w:leader="none" w:pos="1740" w:val="left"/>
          <w:tab w:leader="none" w:pos="10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10.46</w:t>
      </w:r>
      <w:r>
        <w:rPr>
          <w:sz w:val="20"/>
          <w:szCs w:val="20"/>
          <w:color w:val="auto"/>
        </w:rPr>
        <w:tab/>
      </w:r>
      <w:r>
        <w:rPr>
          <w:rFonts w:ascii="Arial" w:cs="Arial" w:eastAsia="Arial" w:hAnsi="Arial"/>
          <w:sz w:val="17"/>
          <w:szCs w:val="17"/>
          <w:color w:val="auto"/>
        </w:rPr>
        <w:t>2023-02-28</w:t>
      </w:r>
    </w:p>
    <w:p>
      <w:pPr>
        <w:spacing w:after="0" w:line="255" w:lineRule="exact"/>
        <w:rPr>
          <w:sz w:val="20"/>
          <w:szCs w:val="20"/>
          <w:color w:val="auto"/>
        </w:rPr>
      </w:pPr>
    </w:p>
    <w:p>
      <w:pPr>
        <w:jc w:val="right"/>
        <w:ind w:right="120"/>
        <w:spacing w:after="0"/>
        <w:tabs>
          <w:tab w:leader="none" w:pos="2900" w:val="left"/>
          <w:tab w:leader="none" w:pos="1740" w:val="left"/>
          <w:tab w:leader="none" w:pos="10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10.47</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120"/>
        <w:spacing w:after="0"/>
        <w:tabs>
          <w:tab w:leader="none" w:pos="2900" w:val="left"/>
          <w:tab w:leader="none" w:pos="1700" w:val="left"/>
          <w:tab w:leader="none" w:pos="102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10.2</w:t>
      </w:r>
      <w:r>
        <w:rPr>
          <w:sz w:val="20"/>
          <w:szCs w:val="20"/>
          <w:color w:val="auto"/>
        </w:rPr>
        <w:tab/>
      </w:r>
      <w:r>
        <w:rPr>
          <w:rFonts w:ascii="Arial" w:cs="Arial" w:eastAsia="Arial" w:hAnsi="Arial"/>
          <w:sz w:val="17"/>
          <w:szCs w:val="17"/>
          <w:color w:val="auto"/>
        </w:rPr>
        <w:t>2023-05-08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120"/>
        <w:spacing w:after="0"/>
        <w:tabs>
          <w:tab w:leader="none" w:pos="2900" w:val="left"/>
          <w:tab w:leader="none" w:pos="1700" w:val="left"/>
          <w:tab w:leader="none" w:pos="1020" w:val="left"/>
        </w:tabs>
        <w:rPr>
          <w:sz w:val="20"/>
          <w:szCs w:val="20"/>
          <w:color w:val="auto"/>
        </w:rPr>
      </w:pPr>
      <w:r>
        <w:rPr>
          <w:rFonts w:ascii="Arial" w:cs="Arial" w:eastAsia="Arial" w:hAnsi="Arial"/>
          <w:sz w:val="20"/>
          <w:szCs w:val="20"/>
          <w:color w:val="auto"/>
        </w:rPr>
        <w:t>10-Q</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10.3</w:t>
      </w:r>
      <w:r>
        <w:rPr>
          <w:sz w:val="20"/>
          <w:szCs w:val="20"/>
          <w:color w:val="auto"/>
        </w:rPr>
        <w:tab/>
      </w:r>
      <w:r>
        <w:rPr>
          <w:rFonts w:ascii="Arial" w:cs="Arial" w:eastAsia="Arial" w:hAnsi="Arial"/>
          <w:sz w:val="17"/>
          <w:szCs w:val="17"/>
          <w:color w:val="auto"/>
        </w:rPr>
        <w:t>2023-05-08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120"/>
        <w:spacing w:after="0"/>
        <w:tabs>
          <w:tab w:leader="none" w:pos="2900" w:val="left"/>
          <w:tab w:leader="none" w:pos="1740" w:val="left"/>
          <w:tab w:leader="none" w:pos="10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10.48</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120"/>
        <w:spacing w:after="0"/>
        <w:tabs>
          <w:tab w:leader="none" w:pos="2900" w:val="left"/>
          <w:tab w:leader="none" w:pos="1740" w:val="left"/>
          <w:tab w:leader="none" w:pos="102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10.49</w:t>
      </w:r>
      <w:r>
        <w:rPr>
          <w:sz w:val="20"/>
          <w:szCs w:val="20"/>
          <w:color w:val="auto"/>
        </w:rPr>
        <w:tab/>
      </w:r>
      <w:r>
        <w:rPr>
          <w:rFonts w:ascii="Arial" w:cs="Arial" w:eastAsia="Arial" w:hAnsi="Arial"/>
          <w:sz w:val="17"/>
          <w:szCs w:val="17"/>
          <w:color w:val="auto"/>
        </w:rPr>
        <w:t>2023-02-28</w:t>
      </w:r>
    </w:p>
    <w:p>
      <w:pPr>
        <w:spacing w:after="0" w:line="200" w:lineRule="exact"/>
        <w:rPr>
          <w:sz w:val="20"/>
          <w:szCs w:val="20"/>
          <w:color w:val="auto"/>
        </w:rPr>
      </w:pPr>
    </w:p>
    <w:p>
      <w:pPr>
        <w:spacing w:after="0" w:line="35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p>
    <w:p>
      <w:pPr>
        <w:spacing w:after="0" w:line="358"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t>
      </w:r>
    </w:p>
    <w:p>
      <w:pPr>
        <w:spacing w:after="0" w:line="394" w:lineRule="exact"/>
        <w:rPr>
          <w:sz w:val="20"/>
          <w:szCs w:val="20"/>
          <w:color w:val="auto"/>
        </w:rPr>
      </w:pPr>
    </w:p>
    <w:p>
      <w:pPr>
        <w:sectPr>
          <w:pgSz w:w="11880" w:h="15480" w:orient="portrait"/>
          <w:cols w:equalWidth="0" w:num="2">
            <w:col w:w="4860" w:space="140"/>
            <w:col w:w="5040"/>
          </w:cols>
          <w:pgMar w:left="920" w:top="5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10040"/>
          </w:cols>
          <w:pgMar w:left="920" w:top="579" w:right="92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59"/>
        </w:trPr>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20" w:type="dxa"/>
            <w:vAlign w:val="bottom"/>
            <w:gridSpan w:val="2"/>
          </w:tcPr>
          <w:p>
            <w:pPr>
              <w:ind w:left="80"/>
              <w:spacing w:after="0"/>
              <w:rPr>
                <w:sz w:val="20"/>
                <w:szCs w:val="20"/>
                <w:color w:val="auto"/>
              </w:rPr>
            </w:pPr>
            <w:r>
              <w:rPr>
                <w:rFonts w:ascii="Arial" w:cs="Arial" w:eastAsia="Arial" w:hAnsi="Arial"/>
                <w:sz w:val="20"/>
                <w:szCs w:val="20"/>
                <w:b w:val="1"/>
                <w:bCs w:val="1"/>
                <w:color w:val="auto"/>
              </w:rPr>
              <w:t>Incorporated by Reference</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line="188" w:lineRule="exact"/>
              <w:rPr>
                <w:sz w:val="20"/>
                <w:szCs w:val="20"/>
                <w:color w:val="auto"/>
              </w:rPr>
            </w:pPr>
            <w:r>
              <w:rPr>
                <w:rFonts w:ascii="Arial" w:cs="Arial" w:eastAsia="Arial" w:hAnsi="Arial"/>
                <w:sz w:val="20"/>
                <w:szCs w:val="20"/>
                <w:b w:val="1"/>
                <w:bCs w:val="1"/>
                <w:color w:val="auto"/>
                <w:w w:val="91"/>
              </w:rPr>
              <w:t>Filed/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40" w:type="dxa"/>
            <w:vAlign w:val="bottom"/>
            <w:gridSpan w:val="3"/>
            <w:vMerge w:val="restart"/>
          </w:tcPr>
          <w:p>
            <w:pPr>
              <w:ind w:left="120"/>
              <w:spacing w:after="0"/>
              <w:rPr>
                <w:sz w:val="20"/>
                <w:szCs w:val="20"/>
                <w:color w:val="auto"/>
              </w:rPr>
            </w:pPr>
            <w:r>
              <w:rPr>
                <w:rFonts w:ascii="Arial" w:cs="Arial" w:eastAsia="Arial" w:hAnsi="Arial"/>
                <w:sz w:val="20"/>
                <w:szCs w:val="20"/>
                <w:b w:val="1"/>
                <w:bCs w:val="1"/>
                <w:color w:val="auto"/>
              </w:rPr>
              <w:t>Exhibit No</w:t>
            </w:r>
          </w:p>
        </w:tc>
        <w:tc>
          <w:tcPr>
            <w:tcW w:w="3440" w:type="dxa"/>
            <w:vAlign w:val="bottom"/>
            <w:gridSpan w:val="11"/>
            <w:vMerge w:val="restart"/>
          </w:tcPr>
          <w:p>
            <w:pPr>
              <w:spacing w:after="0"/>
              <w:rPr>
                <w:sz w:val="20"/>
                <w:szCs w:val="20"/>
                <w:color w:val="auto"/>
              </w:rPr>
            </w:pPr>
            <w:r>
              <w:rPr>
                <w:rFonts w:ascii="Arial" w:cs="Arial" w:eastAsia="Arial" w:hAnsi="Arial"/>
                <w:sz w:val="20"/>
                <w:szCs w:val="20"/>
                <w:b w:val="1"/>
                <w:bCs w:val="1"/>
                <w:color w:val="auto"/>
              </w:rPr>
              <w:t>Description of Exhibits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8"/>
              </w:rPr>
              <w:t>Furnished</w:t>
            </w:r>
          </w:p>
        </w:tc>
        <w:tc>
          <w:tcPr>
            <w:tcW w:w="140" w:type="dxa"/>
            <w:vAlign w:val="bottom"/>
          </w:tcPr>
          <w:p>
            <w:pPr>
              <w:spacing w:after="0"/>
              <w:rPr>
                <w:sz w:val="17"/>
                <w:szCs w:val="17"/>
                <w:color w:val="auto"/>
              </w:rPr>
            </w:pPr>
          </w:p>
        </w:tc>
        <w:tc>
          <w:tcPr>
            <w:tcW w:w="700" w:type="dxa"/>
            <w:vAlign w:val="bottom"/>
            <w:vMerge w:val="restart"/>
          </w:tcPr>
          <w:p>
            <w:pPr>
              <w:ind w:left="140"/>
              <w:spacing w:after="0"/>
              <w:rPr>
                <w:sz w:val="20"/>
                <w:szCs w:val="20"/>
                <w:color w:val="auto"/>
              </w:rPr>
            </w:pPr>
            <w:r>
              <w:rPr>
                <w:rFonts w:ascii="Arial" w:cs="Arial" w:eastAsia="Arial" w:hAnsi="Arial"/>
                <w:sz w:val="20"/>
                <w:szCs w:val="20"/>
                <w:b w:val="1"/>
                <w:bCs w:val="1"/>
                <w:color w:val="auto"/>
              </w:rPr>
              <w:t>Form</w:t>
            </w:r>
          </w:p>
        </w:tc>
        <w:tc>
          <w:tcPr>
            <w:tcW w:w="1100" w:type="dxa"/>
            <w:vAlign w:val="bottom"/>
            <w:vMerge w:val="restart"/>
          </w:tcPr>
          <w:p>
            <w:pPr>
              <w:ind w:left="300"/>
              <w:spacing w:after="0"/>
              <w:rPr>
                <w:sz w:val="20"/>
                <w:szCs w:val="20"/>
                <w:color w:val="auto"/>
              </w:rPr>
            </w:pPr>
            <w:r>
              <w:rPr>
                <w:rFonts w:ascii="Arial" w:cs="Arial" w:eastAsia="Arial" w:hAnsi="Arial"/>
                <w:sz w:val="20"/>
                <w:szCs w:val="20"/>
                <w:b w:val="1"/>
                <w:bCs w:val="1"/>
                <w:color w:val="auto"/>
              </w:rPr>
              <w:t>File No.</w:t>
            </w:r>
          </w:p>
        </w:tc>
        <w:tc>
          <w:tcPr>
            <w:tcW w:w="2020" w:type="dxa"/>
            <w:vAlign w:val="bottom"/>
            <w:vMerge w:val="restart"/>
          </w:tcPr>
          <w:p>
            <w:pPr>
              <w:ind w:left="160"/>
              <w:spacing w:after="0"/>
              <w:rPr>
                <w:sz w:val="20"/>
                <w:szCs w:val="20"/>
                <w:color w:val="auto"/>
              </w:rPr>
            </w:pPr>
            <w:r>
              <w:rPr>
                <w:rFonts w:ascii="Arial" w:cs="Arial" w:eastAsia="Arial" w:hAnsi="Arial"/>
                <w:sz w:val="20"/>
                <w:szCs w:val="20"/>
                <w:b w:val="1"/>
                <w:bCs w:val="1"/>
                <w:color w:val="auto"/>
              </w:rPr>
              <w:t>Exhibit  Filing Date</w:t>
            </w:r>
          </w:p>
        </w:tc>
        <w:tc>
          <w:tcPr>
            <w:tcW w:w="0" w:type="dxa"/>
            <w:vAlign w:val="bottom"/>
          </w:tcPr>
          <w:p>
            <w:pPr>
              <w:spacing w:after="0"/>
              <w:rPr>
                <w:sz w:val="1"/>
                <w:szCs w:val="1"/>
                <w:color w:val="auto"/>
              </w:rPr>
            </w:pPr>
          </w:p>
        </w:tc>
      </w:tr>
      <w:tr>
        <w:trPr>
          <w:trHeight w:val="258"/>
        </w:trPr>
        <w:tc>
          <w:tcPr>
            <w:tcW w:w="1340" w:type="dxa"/>
            <w:vAlign w:val="bottom"/>
            <w:gridSpan w:val="3"/>
            <w:vMerge w:val="continue"/>
          </w:tcPr>
          <w:p>
            <w:pPr>
              <w:spacing w:after="0"/>
              <w:rPr>
                <w:sz w:val="22"/>
                <w:szCs w:val="22"/>
                <w:color w:val="auto"/>
              </w:rPr>
            </w:pPr>
          </w:p>
        </w:tc>
        <w:tc>
          <w:tcPr>
            <w:tcW w:w="3440" w:type="dxa"/>
            <w:vAlign w:val="bottom"/>
            <w:gridSpan w:val="11"/>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0"/>
                <w:szCs w:val="20"/>
                <w:b w:val="1"/>
                <w:bCs w:val="1"/>
                <w:color w:val="auto"/>
                <w:w w:val="92"/>
              </w:rPr>
              <w:t>Herewith</w:t>
            </w:r>
          </w:p>
        </w:tc>
        <w:tc>
          <w:tcPr>
            <w:tcW w:w="14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160" w:type="dxa"/>
            <w:vAlign w:val="bottom"/>
            <w:tcBorders>
              <w:top w:val="single" w:sz="8" w:color="auto"/>
            </w:tcBorders>
          </w:tcPr>
          <w:p>
            <w:pPr>
              <w:jc w:val="right"/>
              <w:ind w:right="682"/>
              <w:spacing w:after="0" w:line="194" w:lineRule="exact"/>
              <w:rPr>
                <w:sz w:val="20"/>
                <w:szCs w:val="20"/>
                <w:color w:val="auto"/>
              </w:rPr>
            </w:pPr>
            <w:r>
              <w:rPr>
                <w:rFonts w:ascii="Arial" w:cs="Arial" w:eastAsia="Arial" w:hAnsi="Arial"/>
                <w:sz w:val="20"/>
                <w:szCs w:val="20"/>
                <w:color w:val="auto"/>
                <w:w w:val="92"/>
              </w:rPr>
              <w:t>31.1</w:t>
            </w: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440" w:type="dxa"/>
            <w:vAlign w:val="bottom"/>
            <w:tcBorders>
              <w:top w:val="single" w:sz="8" w:color="auto"/>
              <w:bottom w:val="single" w:sz="8" w:color="1C2790"/>
            </w:tcBorders>
            <w:gridSpan w:val="11"/>
          </w:tcPr>
          <w:p>
            <w:pPr>
              <w:spacing w:after="0" w:line="194" w:lineRule="exact"/>
              <w:rPr>
                <w:sz w:val="20"/>
                <w:szCs w:val="20"/>
                <w:color w:val="auto"/>
              </w:rPr>
            </w:pPr>
            <w:r>
              <w:rPr>
                <w:rFonts w:ascii="Arial" w:cs="Arial" w:eastAsia="Arial" w:hAnsi="Arial"/>
                <w:sz w:val="20"/>
                <w:szCs w:val="20"/>
                <w:color w:val="1C2790"/>
                <w:w w:val="93"/>
              </w:rPr>
              <w:t>Certification of Principal Executive Officer</w:t>
            </w: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40" w:type="dxa"/>
            <w:vAlign w:val="bottom"/>
            <w:gridSpan w:val="11"/>
          </w:tcPr>
          <w:p>
            <w:pPr>
              <w:spacing w:after="0" w:line="176" w:lineRule="exact"/>
              <w:rPr>
                <w:sz w:val="20"/>
                <w:szCs w:val="20"/>
                <w:color w:val="auto"/>
              </w:rPr>
            </w:pPr>
            <w:r>
              <w:rPr>
                <w:rFonts w:ascii="Arial" w:cs="Arial" w:eastAsia="Arial" w:hAnsi="Arial"/>
                <w:sz w:val="20"/>
                <w:szCs w:val="20"/>
                <w:color w:val="1C2790"/>
                <w:w w:val="90"/>
              </w:rPr>
              <w:t>pursuant to Exchange Act Rules 13a-14(a)</w:t>
            </w:r>
          </w:p>
        </w:tc>
        <w:tc>
          <w:tcPr>
            <w:tcW w:w="1300" w:type="dxa"/>
            <w:vAlign w:val="bottom"/>
            <w:gridSpan w:val="3"/>
            <w:vMerge w:val="restart"/>
          </w:tcPr>
          <w:p>
            <w:pPr>
              <w:jc w:val="center"/>
              <w:ind w:left="102"/>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Borders>
              <w:top w:val="single" w:sz="8" w:color="1C2790"/>
            </w:tcBorders>
            <w:gridSpan w:val="9"/>
          </w:tcPr>
          <w:p>
            <w:pPr>
              <w:spacing w:after="0" w:line="176" w:lineRule="exact"/>
              <w:rPr>
                <w:sz w:val="20"/>
                <w:szCs w:val="20"/>
                <w:color w:val="auto"/>
              </w:rPr>
            </w:pPr>
            <w:r>
              <w:rPr>
                <w:rFonts w:ascii="Arial" w:cs="Arial" w:eastAsia="Arial" w:hAnsi="Arial"/>
                <w:sz w:val="20"/>
                <w:szCs w:val="20"/>
                <w:color w:val="1C2790"/>
                <w:w w:val="98"/>
              </w:rPr>
              <w:t>and 15d-14(a), as adopted pursuant to</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1C2790"/>
            </w:tcBorders>
            <w:gridSpan w:val="4"/>
          </w:tcPr>
          <w:p>
            <w:pPr>
              <w:spacing w:after="0" w:line="176" w:lineRule="exact"/>
              <w:rPr>
                <w:sz w:val="20"/>
                <w:szCs w:val="20"/>
                <w:color w:val="auto"/>
              </w:rPr>
            </w:pPr>
            <w:r>
              <w:rPr>
                <w:rFonts w:ascii="Arial" w:cs="Arial" w:eastAsia="Arial" w:hAnsi="Arial"/>
                <w:sz w:val="20"/>
                <w:szCs w:val="20"/>
                <w:color w:val="1C2790"/>
                <w:w w:val="86"/>
              </w:rPr>
              <w:t>Section 302 of the Sarbanes-Oxley Act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spacing w:after="0" w:line="176" w:lineRule="exact"/>
              <w:rPr>
                <w:sz w:val="20"/>
                <w:szCs w:val="20"/>
                <w:color w:val="auto"/>
              </w:rPr>
            </w:pPr>
            <w:r>
              <w:rPr>
                <w:rFonts w:ascii="Arial" w:cs="Arial" w:eastAsia="Arial" w:hAnsi="Arial"/>
                <w:sz w:val="20"/>
                <w:szCs w:val="20"/>
                <w:color w:val="1C2790"/>
              </w:rPr>
              <w:t>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0"/>
              </w:rPr>
              <w:t>2002</w:t>
            </w:r>
          </w:p>
        </w:tc>
        <w:tc>
          <w:tcPr>
            <w:tcW w:w="1860" w:type="dxa"/>
            <w:vAlign w:val="bottom"/>
            <w:tcBorders>
              <w:top w:val="single" w:sz="8" w:color="1C2790"/>
            </w:tcBorders>
          </w:tcPr>
          <w:p>
            <w:pPr>
              <w:spacing w:after="0"/>
              <w:rPr>
                <w:sz w:val="15"/>
                <w:szCs w:val="15"/>
                <w:color w:val="auto"/>
              </w:rPr>
            </w:pPr>
          </w:p>
        </w:tc>
        <w:tc>
          <w:tcPr>
            <w:tcW w:w="680" w:type="dxa"/>
            <w:vAlign w:val="bottom"/>
            <w:tcBorders>
              <w:top w:val="single" w:sz="8" w:color="1C2790"/>
            </w:tcBorders>
          </w:tcPr>
          <w:p>
            <w:pPr>
              <w:spacing w:after="0"/>
              <w:rPr>
                <w:sz w:val="15"/>
                <w:szCs w:val="15"/>
                <w:color w:val="auto"/>
              </w:rPr>
            </w:pPr>
          </w:p>
        </w:tc>
        <w:tc>
          <w:tcPr>
            <w:tcW w:w="80" w:type="dxa"/>
            <w:vAlign w:val="bottom"/>
            <w:tcBorders>
              <w:top w:val="single" w:sz="8" w:color="1C2790"/>
            </w:tcBorders>
          </w:tcPr>
          <w:p>
            <w:pPr>
              <w:spacing w:after="0"/>
              <w:rPr>
                <w:sz w:val="15"/>
                <w:szCs w:val="15"/>
                <w:color w:val="auto"/>
              </w:rPr>
            </w:pPr>
          </w:p>
        </w:tc>
        <w:tc>
          <w:tcPr>
            <w:tcW w:w="80" w:type="dxa"/>
            <w:vAlign w:val="bottom"/>
            <w:tcBorders>
              <w:top w:val="single" w:sz="8" w:color="1C2790"/>
            </w:tcBorders>
          </w:tcPr>
          <w:p>
            <w:pPr>
              <w:spacing w:after="0"/>
              <w:rPr>
                <w:sz w:val="15"/>
                <w:szCs w:val="15"/>
                <w:color w:val="auto"/>
              </w:rPr>
            </w:pPr>
          </w:p>
        </w:tc>
        <w:tc>
          <w:tcPr>
            <w:tcW w:w="20" w:type="dxa"/>
            <w:vAlign w:val="bottom"/>
            <w:tcBorders>
              <w:top w:val="single" w:sz="8" w:color="1C2790"/>
            </w:tcBorders>
          </w:tcPr>
          <w:p>
            <w:pPr>
              <w:spacing w:after="0"/>
              <w:rPr>
                <w:sz w:val="15"/>
                <w:szCs w:val="15"/>
                <w:color w:val="auto"/>
              </w:rPr>
            </w:pPr>
          </w:p>
        </w:tc>
        <w:tc>
          <w:tcPr>
            <w:tcW w:w="20" w:type="dxa"/>
            <w:vAlign w:val="bottom"/>
            <w:tcBorders>
              <w:top w:val="single" w:sz="8" w:color="1C2790"/>
            </w:tcBorders>
          </w:tcPr>
          <w:p>
            <w:pPr>
              <w:spacing w:after="0"/>
              <w:rPr>
                <w:sz w:val="15"/>
                <w:szCs w:val="15"/>
                <w:color w:val="auto"/>
              </w:rPr>
            </w:pPr>
          </w:p>
        </w:tc>
        <w:tc>
          <w:tcPr>
            <w:tcW w:w="200" w:type="dxa"/>
            <w:vAlign w:val="bottom"/>
            <w:tcBorders>
              <w:top w:val="single" w:sz="8" w:color="1C279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1160" w:type="dxa"/>
            <w:vAlign w:val="bottom"/>
          </w:tcPr>
          <w:p>
            <w:pPr>
              <w:jc w:val="right"/>
              <w:ind w:right="682"/>
              <w:spacing w:after="0"/>
              <w:rPr>
                <w:sz w:val="20"/>
                <w:szCs w:val="20"/>
                <w:color w:val="auto"/>
              </w:rPr>
            </w:pPr>
            <w:r>
              <w:rPr>
                <w:rFonts w:ascii="Arial" w:cs="Arial" w:eastAsia="Arial" w:hAnsi="Arial"/>
                <w:sz w:val="20"/>
                <w:szCs w:val="20"/>
                <w:color w:val="auto"/>
                <w:w w:val="92"/>
              </w:rPr>
              <w:t>31.2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Arial" w:cs="Arial" w:eastAsia="Arial" w:hAnsi="Arial"/>
                <w:sz w:val="20"/>
                <w:szCs w:val="20"/>
                <w:color w:val="1C2790"/>
                <w:w w:val="94"/>
              </w:rPr>
              <w:t>Certification of Principal Financial Officer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0" w:type="dxa"/>
            <w:vAlign w:val="bottom"/>
            <w:tcBorders>
              <w:top w:val="single" w:sz="8" w:color="1C2790"/>
            </w:tcBorders>
            <w:gridSpan w:val="10"/>
          </w:tcPr>
          <w:p>
            <w:pPr>
              <w:spacing w:after="0" w:line="176" w:lineRule="exact"/>
              <w:rPr>
                <w:sz w:val="20"/>
                <w:szCs w:val="20"/>
                <w:color w:val="auto"/>
              </w:rPr>
            </w:pPr>
            <w:r>
              <w:rPr>
                <w:rFonts w:ascii="Arial" w:cs="Arial" w:eastAsia="Arial" w:hAnsi="Arial"/>
                <w:sz w:val="20"/>
                <w:szCs w:val="20"/>
                <w:color w:val="1C2790"/>
                <w:w w:val="89"/>
              </w:rPr>
              <w:t>pursuant to Exchange Act Rules 13a-14(a)</w:t>
            </w:r>
          </w:p>
        </w:tc>
        <w:tc>
          <w:tcPr>
            <w:tcW w:w="40" w:type="dxa"/>
            <w:vAlign w:val="bottom"/>
          </w:tcPr>
          <w:p>
            <w:pPr>
              <w:spacing w:after="0"/>
              <w:rPr>
                <w:sz w:val="15"/>
                <w:szCs w:val="15"/>
                <w:color w:val="auto"/>
              </w:rPr>
            </w:pPr>
          </w:p>
        </w:tc>
        <w:tc>
          <w:tcPr>
            <w:tcW w:w="1300" w:type="dxa"/>
            <w:vAlign w:val="bottom"/>
            <w:gridSpan w:val="3"/>
            <w:vMerge w:val="restart"/>
          </w:tcPr>
          <w:p>
            <w:pPr>
              <w:jc w:val="center"/>
              <w:ind w:left="102"/>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80" w:type="dxa"/>
            <w:vAlign w:val="bottom"/>
            <w:tcBorders>
              <w:top w:val="single" w:sz="8" w:color="1C2790"/>
            </w:tcBorders>
            <w:gridSpan w:val="9"/>
          </w:tcPr>
          <w:p>
            <w:pPr>
              <w:spacing w:after="0" w:line="176" w:lineRule="exact"/>
              <w:rPr>
                <w:sz w:val="20"/>
                <w:szCs w:val="20"/>
                <w:color w:val="auto"/>
              </w:rPr>
            </w:pPr>
            <w:r>
              <w:rPr>
                <w:rFonts w:ascii="Arial" w:cs="Arial" w:eastAsia="Arial" w:hAnsi="Arial"/>
                <w:sz w:val="20"/>
                <w:szCs w:val="20"/>
                <w:color w:val="1C2790"/>
                <w:w w:val="98"/>
              </w:rPr>
              <w:t>and 15d-14(a), as adopted pursuant to</w:t>
            </w:r>
          </w:p>
        </w:tc>
        <w:tc>
          <w:tcPr>
            <w:tcW w:w="60" w:type="dxa"/>
            <w:vAlign w:val="bottom"/>
            <w:gridSpan w:val="2"/>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tcBorders>
              <w:top w:val="single" w:sz="8" w:color="1C2790"/>
            </w:tcBorders>
            <w:gridSpan w:val="4"/>
          </w:tcPr>
          <w:p>
            <w:pPr>
              <w:spacing w:after="0" w:line="176" w:lineRule="exact"/>
              <w:rPr>
                <w:sz w:val="20"/>
                <w:szCs w:val="20"/>
                <w:color w:val="auto"/>
              </w:rPr>
            </w:pPr>
            <w:r>
              <w:rPr>
                <w:rFonts w:ascii="Arial" w:cs="Arial" w:eastAsia="Arial" w:hAnsi="Arial"/>
                <w:sz w:val="20"/>
                <w:szCs w:val="20"/>
                <w:color w:val="1C2790"/>
                <w:w w:val="86"/>
              </w:rPr>
              <w:t>Section 302 of the Sarbanes-Oxley Act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4"/>
          </w:tcPr>
          <w:p>
            <w:pPr>
              <w:spacing w:after="0" w:line="176" w:lineRule="exact"/>
              <w:rPr>
                <w:sz w:val="20"/>
                <w:szCs w:val="20"/>
                <w:color w:val="auto"/>
              </w:rPr>
            </w:pPr>
            <w:r>
              <w:rPr>
                <w:rFonts w:ascii="Arial" w:cs="Arial" w:eastAsia="Arial" w:hAnsi="Arial"/>
                <w:sz w:val="20"/>
                <w:szCs w:val="20"/>
                <w:color w:val="1C2790"/>
              </w:rPr>
              <w:t>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top w:val="single" w:sz="8" w:color="1C2790"/>
              <w:bottom w:val="single" w:sz="8" w:color="1C2790"/>
            </w:tcBorders>
          </w:tcPr>
          <w:p>
            <w:pPr>
              <w:spacing w:after="0" w:line="176" w:lineRule="exact"/>
              <w:rPr>
                <w:sz w:val="20"/>
                <w:szCs w:val="20"/>
                <w:color w:val="auto"/>
              </w:rPr>
            </w:pPr>
            <w:r>
              <w:rPr>
                <w:rFonts w:ascii="Arial" w:cs="Arial" w:eastAsia="Arial" w:hAnsi="Arial"/>
                <w:sz w:val="20"/>
                <w:szCs w:val="20"/>
                <w:color w:val="1C2790"/>
                <w:w w:val="80"/>
              </w:rPr>
              <w:t>2002</w:t>
            </w:r>
          </w:p>
        </w:tc>
        <w:tc>
          <w:tcPr>
            <w:tcW w:w="1860" w:type="dxa"/>
            <w:vAlign w:val="bottom"/>
            <w:tcBorders>
              <w:top w:val="single" w:sz="8" w:color="1C2790"/>
            </w:tcBorders>
          </w:tcPr>
          <w:p>
            <w:pPr>
              <w:spacing w:after="0"/>
              <w:rPr>
                <w:sz w:val="15"/>
                <w:szCs w:val="15"/>
                <w:color w:val="auto"/>
              </w:rPr>
            </w:pPr>
          </w:p>
        </w:tc>
        <w:tc>
          <w:tcPr>
            <w:tcW w:w="680" w:type="dxa"/>
            <w:vAlign w:val="bottom"/>
            <w:tcBorders>
              <w:top w:val="single" w:sz="8" w:color="1C2790"/>
            </w:tcBorders>
          </w:tcPr>
          <w:p>
            <w:pPr>
              <w:spacing w:after="0"/>
              <w:rPr>
                <w:sz w:val="15"/>
                <w:szCs w:val="15"/>
                <w:color w:val="auto"/>
              </w:rPr>
            </w:pPr>
          </w:p>
        </w:tc>
        <w:tc>
          <w:tcPr>
            <w:tcW w:w="80" w:type="dxa"/>
            <w:vAlign w:val="bottom"/>
            <w:tcBorders>
              <w:top w:val="single" w:sz="8" w:color="1C2790"/>
            </w:tcBorders>
          </w:tcPr>
          <w:p>
            <w:pPr>
              <w:spacing w:after="0"/>
              <w:rPr>
                <w:sz w:val="15"/>
                <w:szCs w:val="15"/>
                <w:color w:val="auto"/>
              </w:rPr>
            </w:pPr>
          </w:p>
        </w:tc>
        <w:tc>
          <w:tcPr>
            <w:tcW w:w="80" w:type="dxa"/>
            <w:vAlign w:val="bottom"/>
            <w:tcBorders>
              <w:top w:val="single" w:sz="8" w:color="1C2790"/>
            </w:tcBorders>
          </w:tcPr>
          <w:p>
            <w:pPr>
              <w:spacing w:after="0"/>
              <w:rPr>
                <w:sz w:val="15"/>
                <w:szCs w:val="15"/>
                <w:color w:val="auto"/>
              </w:rPr>
            </w:pPr>
          </w:p>
        </w:tc>
        <w:tc>
          <w:tcPr>
            <w:tcW w:w="20" w:type="dxa"/>
            <w:vAlign w:val="bottom"/>
            <w:tcBorders>
              <w:top w:val="single" w:sz="8" w:color="1C2790"/>
            </w:tcBorders>
          </w:tcPr>
          <w:p>
            <w:pPr>
              <w:spacing w:after="0"/>
              <w:rPr>
                <w:sz w:val="15"/>
                <w:szCs w:val="15"/>
                <w:color w:val="auto"/>
              </w:rPr>
            </w:pPr>
          </w:p>
        </w:tc>
        <w:tc>
          <w:tcPr>
            <w:tcW w:w="20" w:type="dxa"/>
            <w:vAlign w:val="bottom"/>
            <w:tcBorders>
              <w:top w:val="single" w:sz="8" w:color="1C2790"/>
            </w:tcBorders>
          </w:tcPr>
          <w:p>
            <w:pPr>
              <w:spacing w:after="0"/>
              <w:rPr>
                <w:sz w:val="15"/>
                <w:szCs w:val="15"/>
                <w:color w:val="auto"/>
              </w:rPr>
            </w:pPr>
          </w:p>
        </w:tc>
        <w:tc>
          <w:tcPr>
            <w:tcW w:w="200" w:type="dxa"/>
            <w:vAlign w:val="bottom"/>
            <w:tcBorders>
              <w:top w:val="single" w:sz="8" w:color="1C2790"/>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1160" w:type="dxa"/>
            <w:vAlign w:val="bottom"/>
          </w:tcPr>
          <w:p>
            <w:pPr>
              <w:jc w:val="right"/>
              <w:ind w:right="682"/>
              <w:spacing w:after="0"/>
              <w:rPr>
                <w:sz w:val="20"/>
                <w:szCs w:val="20"/>
                <w:color w:val="auto"/>
              </w:rPr>
            </w:pPr>
            <w:r>
              <w:rPr>
                <w:rFonts w:ascii="Arial" w:cs="Arial" w:eastAsia="Arial" w:hAnsi="Arial"/>
                <w:sz w:val="20"/>
                <w:szCs w:val="20"/>
                <w:color w:val="auto"/>
                <w:w w:val="92"/>
              </w:rPr>
              <w:t>32.1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11"/>
          </w:tcPr>
          <w:p>
            <w:pPr>
              <w:spacing w:after="0"/>
              <w:rPr>
                <w:sz w:val="20"/>
                <w:szCs w:val="20"/>
                <w:color w:val="auto"/>
              </w:rPr>
            </w:pPr>
            <w:r>
              <w:rPr>
                <w:rFonts w:ascii="Arial" w:cs="Arial" w:eastAsia="Arial" w:hAnsi="Arial"/>
                <w:sz w:val="20"/>
                <w:szCs w:val="20"/>
                <w:color w:val="1C2790"/>
              </w:rPr>
              <w:t>Certifications of Principal Executive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tcBorders>
              <w:top w:val="single" w:sz="8" w:color="1C2790"/>
              <w:bottom w:val="single" w:sz="8" w:color="1C2790"/>
            </w:tcBorders>
            <w:gridSpan w:val="3"/>
          </w:tcPr>
          <w:p>
            <w:pPr>
              <w:spacing w:after="0" w:line="176" w:lineRule="exact"/>
              <w:rPr>
                <w:sz w:val="20"/>
                <w:szCs w:val="20"/>
                <w:color w:val="auto"/>
              </w:rPr>
            </w:pPr>
            <w:r>
              <w:rPr>
                <w:rFonts w:ascii="Arial" w:cs="Arial" w:eastAsia="Arial" w:hAnsi="Arial"/>
                <w:sz w:val="20"/>
                <w:szCs w:val="20"/>
                <w:color w:val="1C2790"/>
                <w:w w:val="87"/>
              </w:rPr>
              <w:t>Officer and Principal Financial Officer</w:t>
            </w:r>
          </w:p>
        </w:tc>
        <w:tc>
          <w:tcPr>
            <w:tcW w:w="160" w:type="dxa"/>
            <w:vAlign w:val="bottom"/>
            <w:tcBorders>
              <w:bottom w:val="single" w:sz="8" w:color="1C2790"/>
            </w:tcBorders>
            <w:gridSpan w:val="2"/>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20" w:type="dxa"/>
            <w:vAlign w:val="bottom"/>
            <w:tcBorders>
              <w:bottom w:val="single" w:sz="8" w:color="1C2790"/>
            </w:tcBorders>
          </w:tcPr>
          <w:p>
            <w:pPr>
              <w:spacing w:after="0"/>
              <w:rPr>
                <w:sz w:val="15"/>
                <w:szCs w:val="15"/>
                <w:color w:val="auto"/>
              </w:rPr>
            </w:pPr>
          </w:p>
        </w:tc>
        <w:tc>
          <w:tcPr>
            <w:tcW w:w="320" w:type="dxa"/>
            <w:vAlign w:val="bottom"/>
            <w:gridSpan w:val="4"/>
          </w:tcPr>
          <w:p>
            <w:pPr>
              <w:spacing w:after="0"/>
              <w:rPr>
                <w:sz w:val="15"/>
                <w:szCs w:val="15"/>
                <w:color w:val="auto"/>
              </w:rPr>
            </w:pPr>
          </w:p>
        </w:tc>
        <w:tc>
          <w:tcPr>
            <w:tcW w:w="1300" w:type="dxa"/>
            <w:vAlign w:val="bottom"/>
            <w:gridSpan w:val="3"/>
            <w:vMerge w:val="restart"/>
          </w:tcPr>
          <w:p>
            <w:pPr>
              <w:jc w:val="center"/>
              <w:ind w:left="122"/>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7"/>
          </w:tcPr>
          <w:p>
            <w:pPr>
              <w:spacing w:after="0" w:line="176" w:lineRule="exact"/>
              <w:rPr>
                <w:sz w:val="20"/>
                <w:szCs w:val="20"/>
                <w:color w:val="auto"/>
              </w:rPr>
            </w:pPr>
            <w:r>
              <w:rPr>
                <w:rFonts w:ascii="Arial" w:cs="Arial" w:eastAsia="Arial" w:hAnsi="Arial"/>
                <w:sz w:val="20"/>
                <w:szCs w:val="20"/>
                <w:color w:val="1C2790"/>
                <w:w w:val="89"/>
              </w:rPr>
              <w:t>pursuant to 18 U.S.C. Section 1350, as</w:t>
            </w:r>
          </w:p>
        </w:tc>
        <w:tc>
          <w:tcPr>
            <w:tcW w:w="320" w:type="dxa"/>
            <w:vAlign w:val="bottom"/>
            <w:gridSpan w:val="4"/>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00" w:type="dxa"/>
            <w:vAlign w:val="bottom"/>
            <w:tcBorders>
              <w:top w:val="single" w:sz="8" w:color="1C2790"/>
            </w:tcBorders>
            <w:gridSpan w:val="6"/>
          </w:tcPr>
          <w:p>
            <w:pPr>
              <w:spacing w:after="0" w:line="176" w:lineRule="exact"/>
              <w:rPr>
                <w:sz w:val="20"/>
                <w:szCs w:val="20"/>
                <w:color w:val="auto"/>
              </w:rPr>
            </w:pPr>
            <w:r>
              <w:rPr>
                <w:rFonts w:ascii="Arial" w:cs="Arial" w:eastAsia="Arial" w:hAnsi="Arial"/>
                <w:sz w:val="20"/>
                <w:szCs w:val="20"/>
                <w:color w:val="1C2790"/>
                <w:w w:val="89"/>
              </w:rPr>
              <w:t>adopted pursuant to Section 906 of the</w:t>
            </w:r>
          </w:p>
        </w:tc>
        <w:tc>
          <w:tcPr>
            <w:tcW w:w="34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tcBorders>
              <w:top w:val="single" w:sz="8" w:color="1C2790"/>
              <w:bottom w:val="single" w:sz="8" w:color="1C2790"/>
            </w:tcBorders>
            <w:gridSpan w:val="2"/>
          </w:tcPr>
          <w:p>
            <w:pPr>
              <w:spacing w:after="0" w:line="176" w:lineRule="exact"/>
              <w:rPr>
                <w:sz w:val="20"/>
                <w:szCs w:val="20"/>
                <w:color w:val="auto"/>
              </w:rPr>
            </w:pPr>
            <w:r>
              <w:rPr>
                <w:rFonts w:ascii="Arial" w:cs="Arial" w:eastAsia="Arial" w:hAnsi="Arial"/>
                <w:sz w:val="20"/>
                <w:szCs w:val="20"/>
                <w:color w:val="1C2790"/>
                <w:w w:val="88"/>
              </w:rPr>
              <w:t>Sarbanes-Oxley Act of 2002</w:t>
            </w:r>
          </w:p>
        </w:tc>
        <w:tc>
          <w:tcPr>
            <w:tcW w:w="840" w:type="dxa"/>
            <w:vAlign w:val="bottom"/>
            <w:tcBorders>
              <w:top w:val="single" w:sz="8" w:color="1C2790"/>
            </w:tcBorders>
            <w:gridSpan w:val="3"/>
          </w:tcPr>
          <w:p>
            <w:pPr>
              <w:spacing w:after="0"/>
              <w:rPr>
                <w:sz w:val="15"/>
                <w:szCs w:val="15"/>
                <w:color w:val="auto"/>
              </w:rPr>
            </w:pPr>
          </w:p>
        </w:tc>
        <w:tc>
          <w:tcPr>
            <w:tcW w:w="360" w:type="dxa"/>
            <w:vAlign w:val="bottom"/>
            <w:gridSpan w:val="6"/>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880" w:h="15480" w:orient="portrait"/>
          <w:cols w:equalWidth="0" w:num="1">
            <w:col w:w="10040"/>
          </w:cols>
          <w:pgMar w:left="920" w:top="579" w:right="920" w:bottom="0" w:gutter="0" w:footer="0" w:header="0"/>
        </w:sectPr>
      </w:pPr>
    </w:p>
    <w:p>
      <w:pPr>
        <w:ind w:left="40"/>
        <w:spacing w:after="0"/>
        <w:rPr>
          <w:sz w:val="20"/>
          <w:szCs w:val="20"/>
          <w:color w:val="auto"/>
        </w:rPr>
      </w:pPr>
      <w:r>
        <w:rPr>
          <w:rFonts w:ascii="Arial" w:cs="Arial" w:eastAsia="Arial" w:hAnsi="Arial"/>
          <w:sz w:val="20"/>
          <w:szCs w:val="20"/>
          <w:color w:val="auto"/>
        </w:rPr>
        <w:t>97.1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9"/>
          <w:szCs w:val="19"/>
          <w:color w:val="auto"/>
        </w:rPr>
        <w:t>101.CAL</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101.DEF</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9"/>
          <w:szCs w:val="19"/>
          <w:color w:val="auto"/>
        </w:rPr>
        <w:t>101.LAB</w:t>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440"/>
        <w:spacing w:after="0" w:line="224" w:lineRule="auto"/>
        <w:rPr>
          <w:sz w:val="20"/>
          <w:szCs w:val="20"/>
          <w:color w:val="auto"/>
        </w:rPr>
      </w:pPr>
      <w:r>
        <w:rPr>
          <w:rFonts w:ascii="Arial" w:cs="Arial" w:eastAsia="Arial" w:hAnsi="Arial"/>
          <w:sz w:val="20"/>
          <w:szCs w:val="20"/>
          <w:u w:val="single" w:color="auto"/>
          <w:color w:val="1C2790"/>
        </w:rPr>
        <w:t>Sotera Health Company Policy for the Recovery of Erroneously Awarded Compensation</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Inline XBRL Instance Document - The XBRL Instance Document does not appear in the Interactive Data File because its XBRL tags are embedded within the Inline XBRL document</w:t>
      </w:r>
    </w:p>
    <w:p>
      <w:pPr>
        <w:spacing w:after="0" w:line="118" w:lineRule="exact"/>
        <w:rPr>
          <w:sz w:val="20"/>
          <w:szCs w:val="20"/>
          <w:color w:val="auto"/>
        </w:rPr>
      </w:pPr>
    </w:p>
    <w:p>
      <w:pPr>
        <w:ind w:right="20"/>
        <w:spacing w:after="0" w:line="271" w:lineRule="auto"/>
        <w:rPr>
          <w:sz w:val="20"/>
          <w:szCs w:val="20"/>
          <w:color w:val="auto"/>
        </w:rPr>
      </w:pPr>
      <w:r>
        <w:rPr>
          <w:rFonts w:ascii="Arial" w:cs="Arial" w:eastAsia="Arial" w:hAnsi="Arial"/>
          <w:sz w:val="20"/>
          <w:szCs w:val="20"/>
          <w:color w:val="auto"/>
        </w:rPr>
        <w:t>Inline XBRL Taxonomy Extension Schema Document</w:t>
      </w:r>
    </w:p>
    <w:p>
      <w:pPr>
        <w:spacing w:after="0" w:line="113" w:lineRule="exact"/>
        <w:rPr>
          <w:sz w:val="20"/>
          <w:szCs w:val="20"/>
          <w:color w:val="auto"/>
        </w:rPr>
      </w:pPr>
    </w:p>
    <w:p>
      <w:pPr>
        <w:ind w:right="680"/>
        <w:spacing w:after="0" w:line="361" w:lineRule="auto"/>
        <w:rPr>
          <w:sz w:val="20"/>
          <w:szCs w:val="20"/>
          <w:color w:val="auto"/>
        </w:rPr>
      </w:pPr>
      <w:r>
        <w:rPr>
          <w:rFonts w:ascii="Arial" w:cs="Arial" w:eastAsia="Arial" w:hAnsi="Arial"/>
          <w:sz w:val="17"/>
          <w:szCs w:val="17"/>
          <w:color w:val="auto"/>
        </w:rPr>
        <w:t>Inline XBRL Taxonomy Extension Calculation Linkbase Document</w:t>
      </w:r>
    </w:p>
    <w:p>
      <w:pPr>
        <w:spacing w:after="0" w:line="44" w:lineRule="exact"/>
        <w:rPr>
          <w:sz w:val="20"/>
          <w:szCs w:val="20"/>
          <w:color w:val="auto"/>
        </w:rPr>
      </w:pPr>
    </w:p>
    <w:p>
      <w:pPr>
        <w:ind w:right="680"/>
        <w:spacing w:after="0" w:line="361" w:lineRule="auto"/>
        <w:rPr>
          <w:sz w:val="20"/>
          <w:szCs w:val="20"/>
          <w:color w:val="auto"/>
        </w:rPr>
      </w:pPr>
      <w:r>
        <w:rPr>
          <w:rFonts w:ascii="Arial" w:cs="Arial" w:eastAsia="Arial" w:hAnsi="Arial"/>
          <w:sz w:val="17"/>
          <w:szCs w:val="17"/>
          <w:color w:val="auto"/>
        </w:rPr>
        <w:t>Inline XBRL Taxonomy Extension Definition Linkbase Document</w:t>
      </w:r>
    </w:p>
    <w:p>
      <w:pPr>
        <w:spacing w:after="0" w:line="24" w:lineRule="exact"/>
        <w:rPr>
          <w:sz w:val="20"/>
          <w:szCs w:val="20"/>
          <w:color w:val="auto"/>
        </w:rPr>
      </w:pPr>
    </w:p>
    <w:p>
      <w:pPr>
        <w:ind w:right="260"/>
        <w:spacing w:after="0" w:line="235" w:lineRule="auto"/>
        <w:rPr>
          <w:sz w:val="20"/>
          <w:szCs w:val="20"/>
          <w:color w:val="auto"/>
        </w:rPr>
      </w:pPr>
      <w:r>
        <w:rPr>
          <w:rFonts w:ascii="Arial" w:cs="Arial" w:eastAsia="Arial" w:hAnsi="Arial"/>
          <w:sz w:val="20"/>
          <w:szCs w:val="20"/>
          <w:color w:val="auto"/>
        </w:rPr>
        <w:t>Inline XBRL Taxonomy Label Linkbase Document</w:t>
      </w:r>
    </w:p>
    <w:p>
      <w:pPr>
        <w:spacing w:after="0" w:line="143" w:lineRule="exact"/>
        <w:rPr>
          <w:sz w:val="20"/>
          <w:szCs w:val="20"/>
          <w:color w:val="auto"/>
        </w:rPr>
      </w:pPr>
    </w:p>
    <w:p>
      <w:pPr>
        <w:ind w:right="680"/>
        <w:spacing w:after="0" w:line="361" w:lineRule="auto"/>
        <w:rPr>
          <w:sz w:val="20"/>
          <w:szCs w:val="20"/>
          <w:color w:val="auto"/>
        </w:rPr>
      </w:pPr>
      <w:r>
        <w:rPr>
          <w:rFonts w:ascii="Arial" w:cs="Arial" w:eastAsia="Arial" w:hAnsi="Arial"/>
          <w:sz w:val="17"/>
          <w:szCs w:val="17"/>
          <w:color w:val="auto"/>
        </w:rPr>
        <w:t>Inline XBRL Taxonomy Extension Presentation Linkbase Document</w:t>
      </w:r>
    </w:p>
    <w:p>
      <w:pPr>
        <w:spacing w:after="0" w:line="29" w:lineRule="exact"/>
        <w:rPr>
          <w:sz w:val="20"/>
          <w:szCs w:val="20"/>
          <w:color w:val="auto"/>
        </w:rPr>
      </w:pPr>
    </w:p>
    <w:p>
      <w:pPr>
        <w:spacing w:after="0" w:line="224" w:lineRule="auto"/>
        <w:rPr>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-855345</wp:posOffset>
                </wp:positionH>
                <wp:positionV relativeFrom="paragraph">
                  <wp:posOffset>13335</wp:posOffset>
                </wp:positionV>
                <wp:extent cx="638429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3499pt,1.05pt" to="435.35pt,1.05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right"/>
        <w:ind w:right="120"/>
        <w:spacing w:after="0"/>
        <w:tabs>
          <w:tab w:leader="none" w:pos="2780" w:val="left"/>
          <w:tab w:leader="none" w:pos="1580" w:val="left"/>
          <w:tab w:leader="none" w:pos="900" w:val="left"/>
        </w:tabs>
        <w:rPr>
          <w:sz w:val="20"/>
          <w:szCs w:val="20"/>
          <w:color w:val="auto"/>
        </w:rPr>
      </w:pPr>
      <w:r>
        <w:rPr>
          <w:rFonts w:ascii="Arial" w:cs="Arial" w:eastAsia="Arial" w:hAnsi="Arial"/>
          <w:sz w:val="20"/>
          <w:szCs w:val="20"/>
          <w:color w:val="auto"/>
        </w:rPr>
        <w:t>10-K</w:t>
      </w:r>
      <w:r>
        <w:rPr>
          <w:sz w:val="20"/>
          <w:szCs w:val="20"/>
          <w:color w:val="auto"/>
        </w:rPr>
        <w:tab/>
      </w:r>
      <w:r>
        <w:rPr>
          <w:rFonts w:ascii="Arial" w:cs="Arial" w:eastAsia="Arial" w:hAnsi="Arial"/>
          <w:sz w:val="20"/>
          <w:szCs w:val="20"/>
          <w:color w:val="auto"/>
        </w:rPr>
        <w:t>001-39729</w:t>
      </w:r>
      <w:r>
        <w:rPr>
          <w:sz w:val="20"/>
          <w:szCs w:val="20"/>
          <w:color w:val="auto"/>
        </w:rPr>
        <w:tab/>
      </w:r>
      <w:r>
        <w:rPr>
          <w:rFonts w:ascii="Arial" w:cs="Arial" w:eastAsia="Arial" w:hAnsi="Arial"/>
          <w:sz w:val="20"/>
          <w:szCs w:val="20"/>
          <w:color w:val="auto"/>
        </w:rPr>
        <w:t>97.1</w:t>
      </w:r>
      <w:r>
        <w:rPr>
          <w:sz w:val="20"/>
          <w:szCs w:val="20"/>
          <w:color w:val="auto"/>
        </w:rPr>
        <w:tab/>
      </w:r>
      <w:r>
        <w:rPr>
          <w:rFonts w:ascii="Arial" w:cs="Arial" w:eastAsia="Arial" w:hAnsi="Arial"/>
          <w:sz w:val="17"/>
          <w:szCs w:val="17"/>
          <w:color w:val="auto"/>
        </w:rPr>
        <w:t>2024-02-27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76" w:lineRule="exact"/>
        <w:rPr>
          <w:sz w:val="20"/>
          <w:szCs w:val="20"/>
          <w:color w:val="auto"/>
        </w:rPr>
      </w:pPr>
    </w:p>
    <w:p>
      <w:pPr>
        <w:sectPr>
          <w:pgSz w:w="11880" w:h="15480" w:orient="portrait"/>
          <w:cols w:equalWidth="0" w:num="3">
            <w:col w:w="780" w:space="560"/>
            <w:col w:w="3440" w:space="700"/>
            <w:col w:w="4560"/>
          </w:cols>
          <w:pgMar w:left="920" w:top="579" w:right="920" w:bottom="0" w:gutter="0" w:footer="0" w:header="0"/>
          <w:type w:val="continuous"/>
        </w:sectPr>
      </w:pPr>
    </w:p>
    <w:p>
      <w:pPr>
        <w:ind w:left="520" w:hanging="351"/>
        <w:spacing w:after="0"/>
        <w:tabs>
          <w:tab w:leader="none" w:pos="5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2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17"/>
          <w:szCs w:val="17"/>
          <w:color w:val="auto"/>
        </w:rPr>
        <w:t>Furnished Herewith</w:t>
      </w:r>
    </w:p>
    <w:p>
      <w:pPr>
        <w:spacing w:after="0" w:line="5" w:lineRule="exact"/>
        <w:rPr>
          <w:sz w:val="20"/>
          <w:szCs w:val="20"/>
          <w:color w:val="auto"/>
        </w:rPr>
      </w:pPr>
    </w:p>
    <w:p>
      <w:pPr>
        <w:ind w:left="520" w:hanging="351"/>
        <w:spacing w:after="0"/>
        <w:tabs>
          <w:tab w:leader="none" w:pos="5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Denotes management contract or compensatory plan or arrangement.</w:t>
      </w:r>
    </w:p>
    <w:p>
      <w:pPr>
        <w:spacing w:after="0" w:line="5" w:lineRule="exact"/>
        <w:rPr>
          <w:sz w:val="20"/>
          <w:szCs w:val="20"/>
          <w:color w:val="auto"/>
        </w:rPr>
      </w:pPr>
    </w:p>
    <w:p>
      <w:pPr>
        <w:ind w:left="520" w:right="20" w:hanging="351"/>
        <w:spacing w:after="0" w:line="288"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2" w:lineRule="exact"/>
        <w:rPr>
          <w:sz w:val="20"/>
          <w:szCs w:val="20"/>
          <w:color w:val="auto"/>
        </w:rPr>
      </w:pPr>
    </w:p>
    <w:p>
      <w:pPr>
        <w:ind w:left="520" w:right="180" w:hanging="351"/>
        <w:spacing w:after="0" w:line="247" w:lineRule="auto"/>
        <w:tabs>
          <w:tab w:leader="none" w:pos="5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Certain confidential portions of this exhibit have been redacted pursuant to Item 601(b)(10)(iv) of Regulation S-K. The omitted information is (i) not material, and (ii) the type of information that the registrant treats as private and confidential. We agree to furnish supplementally an unredacted copy of the exhibit to the Securities and Exchange Commission on its request.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579" w:right="920" w:bottom="0" w:gutter="0" w:footer="0" w:header="0"/>
          <w:type w:val="continuous"/>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10040"/>
          </w:cols>
          <w:pgMar w:left="920" w:top="579" w:right="920" w:bottom="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SIGNATURES</w:t>
      </w:r>
    </w:p>
    <w:p>
      <w:pPr>
        <w:spacing w:after="0" w:line="248"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SOTERA HEALTH COMPANY</w:t>
      </w:r>
    </w:p>
    <w:p>
      <w:pPr>
        <w:spacing w:after="0" w:line="358" w:lineRule="exact"/>
        <w:rPr>
          <w:sz w:val="20"/>
          <w:szCs w:val="20"/>
          <w:color w:val="auto"/>
        </w:rPr>
      </w:pPr>
    </w:p>
    <w:p>
      <w:pPr>
        <w:ind w:left="458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B. Petras,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3327400</wp:posOffset>
                </wp:positionH>
                <wp:positionV relativeFrom="paragraph">
                  <wp:posOffset>24130</wp:posOffset>
                </wp:positionV>
                <wp:extent cx="305244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24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1.9pt" to="502.35pt,1.9pt" o:allowincell="f" strokecolor="#000000" strokeweight="1pt"/>
            </w:pict>
          </mc:Fallback>
        </mc:AlternateContent>
      </w:r>
    </w:p>
    <w:p>
      <w:pPr>
        <w:spacing w:after="0" w:line="29" w:lineRule="exact"/>
        <w:rPr>
          <w:sz w:val="20"/>
          <w:szCs w:val="20"/>
          <w:color w:val="auto"/>
        </w:rPr>
      </w:pPr>
    </w:p>
    <w:p>
      <w:pPr>
        <w:ind w:left="4580"/>
        <w:spacing w:after="0"/>
        <w:tabs>
          <w:tab w:leader="none" w:pos="52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7"/>
          <w:szCs w:val="17"/>
          <w:color w:val="auto"/>
        </w:rPr>
        <w:t>Michael B. Petras, Jr.</w:t>
      </w:r>
    </w:p>
    <w:p>
      <w:pPr>
        <w:spacing w:after="0" w:line="49" w:lineRule="exact"/>
        <w:rPr>
          <w:sz w:val="20"/>
          <w:szCs w:val="20"/>
          <w:color w:val="auto"/>
        </w:rPr>
      </w:pPr>
    </w:p>
    <w:p>
      <w:pPr>
        <w:ind w:left="4580"/>
        <w:spacing w:after="0"/>
        <w:tabs>
          <w:tab w:leader="none" w:pos="5280" w:val="left"/>
        </w:tabs>
        <w:rPr>
          <w:sz w:val="20"/>
          <w:szCs w:val="20"/>
          <w:color w:val="auto"/>
        </w:rPr>
      </w:pPr>
      <w:r>
        <w:rPr>
          <w:rFonts w:ascii="Arial" w:cs="Arial" w:eastAsia="Arial" w:hAnsi="Arial"/>
          <w:sz w:val="20"/>
          <w:szCs w:val="20"/>
          <w:color w:val="auto"/>
        </w:rPr>
        <w:t>Title:</w:t>
        <w:tab/>
        <w:t>Chairman and Chief Executive Officer</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27, 2025</w:t>
      </w:r>
    </w:p>
    <w:p>
      <w:pPr>
        <w:spacing w:after="0" w:line="240"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Name</w:t>
            </w:r>
          </w:p>
        </w:tc>
        <w:tc>
          <w:tcPr>
            <w:tcW w:w="180" w:type="dxa"/>
            <w:vAlign w:val="bottom"/>
          </w:tcPr>
          <w:p>
            <w:pPr>
              <w:spacing w:after="0"/>
              <w:rPr>
                <w:sz w:val="22"/>
                <w:szCs w:val="22"/>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Title</w:t>
            </w:r>
          </w:p>
        </w:tc>
        <w:tc>
          <w:tcPr>
            <w:tcW w:w="18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Date</w:t>
            </w:r>
          </w:p>
        </w:tc>
        <w:tc>
          <w:tcPr>
            <w:tcW w:w="0" w:type="dxa"/>
            <w:vAlign w:val="bottom"/>
          </w:tcPr>
          <w:p>
            <w:pPr>
              <w:spacing w:after="0"/>
              <w:rPr>
                <w:sz w:val="1"/>
                <w:szCs w:val="1"/>
                <w:color w:val="auto"/>
              </w:rPr>
            </w:pPr>
          </w:p>
        </w:tc>
      </w:tr>
      <w:tr>
        <w:trPr>
          <w:trHeight w:val="487"/>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8"/>
              </w:rPr>
              <w:t>/s/ Michael B. Petras, Jr.</w:t>
            </w:r>
          </w:p>
        </w:tc>
        <w:tc>
          <w:tcPr>
            <w:tcW w:w="18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0"/>
              </w:rPr>
              <w:t>Chairman and Chief Executive Officer</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2"/>
              </w:rPr>
              <w:t>(Principal Executive Officer)</w:t>
            </w: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8"/>
              </w:rPr>
              <w:t>Michael B. Petras, Jr.</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8"/>
              </w:rPr>
              <w:t>/s/ Jonathan M. Lyons</w:t>
            </w:r>
          </w:p>
        </w:tc>
        <w:tc>
          <w:tcPr>
            <w:tcW w:w="180" w:type="dxa"/>
            <w:vAlign w:val="bottom"/>
          </w:tcPr>
          <w:p>
            <w:pPr>
              <w:spacing w:after="0"/>
              <w:rPr>
                <w:sz w:val="17"/>
                <w:szCs w:val="17"/>
                <w:color w:val="auto"/>
              </w:rPr>
            </w:pPr>
          </w:p>
        </w:tc>
        <w:tc>
          <w:tcPr>
            <w:tcW w:w="4160" w:type="dxa"/>
            <w:vAlign w:val="bottom"/>
          </w:tcPr>
          <w:p>
            <w:pPr>
              <w:jc w:val="center"/>
              <w:spacing w:after="0" w:line="203" w:lineRule="exact"/>
              <w:rPr>
                <w:sz w:val="20"/>
                <w:szCs w:val="20"/>
                <w:color w:val="auto"/>
              </w:rPr>
            </w:pPr>
            <w:r>
              <w:rPr>
                <w:rFonts w:ascii="Arial" w:cs="Arial" w:eastAsia="Arial" w:hAnsi="Arial"/>
                <w:sz w:val="20"/>
                <w:szCs w:val="20"/>
                <w:color w:val="auto"/>
                <w:w w:val="90"/>
              </w:rPr>
              <w:t>Senior Vice President and Chief Financial Officer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tcPr>
          <w:p>
            <w:pPr>
              <w:jc w:val="center"/>
              <w:spacing w:after="0"/>
              <w:rPr>
                <w:sz w:val="20"/>
                <w:szCs w:val="20"/>
                <w:color w:val="auto"/>
              </w:rPr>
            </w:pPr>
            <w:r>
              <w:rPr>
                <w:rFonts w:ascii="Arial" w:cs="Arial" w:eastAsia="Arial" w:hAnsi="Arial"/>
                <w:sz w:val="20"/>
                <w:szCs w:val="20"/>
                <w:color w:val="auto"/>
                <w:w w:val="91"/>
              </w:rPr>
              <w:t>(Principal Financial and Accounting Officer)</w:t>
            </w: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8"/>
              </w:rPr>
              <w:t>Jonathan M. Lyons</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9"/>
              </w:rPr>
              <w:t>/s/ Ruoxi Chen</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9"/>
              </w:rPr>
              <w:t>Ruoxi Chen</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8"/>
              </w:rPr>
              <w:t>/s/ Sean L. Cunningham</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8"/>
              </w:rPr>
              <w:t>Sean L. Cunningham</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91"/>
              </w:rPr>
              <w:t>/s/ Karen A. Flynn</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92"/>
              </w:rPr>
              <w:t>Karen A. Flynn</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91"/>
              </w:rPr>
              <w:t>/s/ Ann R. Klee</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91"/>
              </w:rPr>
              <w:t>Ann R. Klee</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8"/>
              </w:rPr>
              <w:t>/s/ Robert B. Knauss</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8"/>
              </w:rPr>
              <w:t>Robert B. Knauss</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8"/>
              </w:rPr>
              <w:t>/s/ Constantine S. Mihas</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8"/>
              </w:rPr>
              <w:t>Constantine S. Mihas</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5"/>
              </w:rPr>
              <w:t>/s/ James C. Neary</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6"/>
              </w:rPr>
              <w:t>James C. Neary</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90"/>
              </w:rPr>
              <w:t>/s/ Vincent K. Petrella</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91"/>
              </w:rPr>
              <w:t>Vincent K. Petrella</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90"/>
              </w:rPr>
              <w:t>/s/ Christopher A. Simon</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90"/>
              </w:rPr>
              <w:t>Christopher A. Simon</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jc w:val="center"/>
              <w:spacing w:after="0"/>
              <w:rPr>
                <w:sz w:val="20"/>
                <w:szCs w:val="20"/>
                <w:color w:val="auto"/>
              </w:rPr>
            </w:pPr>
            <w:r>
              <w:rPr>
                <w:rFonts w:ascii="Arial" w:cs="Arial" w:eastAsia="Arial" w:hAnsi="Arial"/>
                <w:sz w:val="20"/>
                <w:szCs w:val="20"/>
                <w:color w:val="auto"/>
                <w:w w:val="89"/>
              </w:rPr>
              <w:t>/s/ David E. Wheadon</w:t>
            </w:r>
          </w:p>
        </w:tc>
        <w:tc>
          <w:tcPr>
            <w:tcW w:w="180" w:type="dxa"/>
            <w:vAlign w:val="bottom"/>
          </w:tcPr>
          <w:p>
            <w:pPr>
              <w:spacing w:after="0"/>
              <w:rPr>
                <w:sz w:val="17"/>
                <w:szCs w:val="17"/>
                <w:color w:val="auto"/>
              </w:rPr>
            </w:pPr>
          </w:p>
        </w:tc>
        <w:tc>
          <w:tcPr>
            <w:tcW w:w="4160" w:type="dxa"/>
            <w:vAlign w:val="bottom"/>
            <w:vMerge w:val="restart"/>
          </w:tcPr>
          <w:p>
            <w:pPr>
              <w:jc w:val="center"/>
              <w:spacing w:after="0"/>
              <w:rPr>
                <w:sz w:val="20"/>
                <w:szCs w:val="20"/>
                <w:color w:val="auto"/>
              </w:rPr>
            </w:pPr>
            <w:r>
              <w:rPr>
                <w:rFonts w:ascii="Arial" w:cs="Arial" w:eastAsia="Arial" w:hAnsi="Arial"/>
                <w:sz w:val="20"/>
                <w:szCs w:val="20"/>
                <w:color w:val="auto"/>
                <w:w w:val="91"/>
              </w:rPr>
              <w:t>Director</w:t>
            </w:r>
          </w:p>
        </w:tc>
        <w:tc>
          <w:tcPr>
            <w:tcW w:w="1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Arial" w:cs="Arial" w:eastAsia="Arial" w:hAnsi="Arial"/>
                <w:sz w:val="20"/>
                <w:szCs w:val="20"/>
                <w:color w:val="auto"/>
                <w:w w:val="88"/>
              </w:rPr>
              <w:t>February 27,</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1560" w:type="dxa"/>
            <w:vAlign w:val="bottom"/>
            <w:gridSpan w:val="2"/>
          </w:tcPr>
          <w:p>
            <w:pPr>
              <w:jc w:val="center"/>
              <w:ind w:left="82"/>
              <w:spacing w:after="0"/>
              <w:rPr>
                <w:sz w:val="20"/>
                <w:szCs w:val="20"/>
                <w:color w:val="auto"/>
              </w:rPr>
            </w:pPr>
            <w:r>
              <w:rPr>
                <w:rFonts w:ascii="Arial" w:cs="Arial" w:eastAsia="Arial" w:hAnsi="Arial"/>
                <w:sz w:val="20"/>
                <w:szCs w:val="20"/>
                <w:color w:val="auto"/>
                <w:w w:val="85"/>
              </w:rPr>
              <w:t>2025</w:t>
            </w:r>
          </w:p>
        </w:tc>
        <w:tc>
          <w:tcPr>
            <w:tcW w:w="0" w:type="dxa"/>
            <w:vAlign w:val="bottom"/>
          </w:tcPr>
          <w:p>
            <w:pPr>
              <w:spacing w:after="0"/>
              <w:rPr>
                <w:sz w:val="1"/>
                <w:szCs w:val="1"/>
                <w:color w:val="auto"/>
              </w:rPr>
            </w:pPr>
          </w:p>
        </w:tc>
      </w:tr>
      <w:tr>
        <w:trPr>
          <w:trHeight w:val="255"/>
        </w:trPr>
        <w:tc>
          <w:tcPr>
            <w:tcW w:w="4140" w:type="dxa"/>
            <w:vAlign w:val="bottom"/>
          </w:tcPr>
          <w:p>
            <w:pPr>
              <w:jc w:val="center"/>
              <w:spacing w:after="0"/>
              <w:rPr>
                <w:sz w:val="20"/>
                <w:szCs w:val="20"/>
                <w:color w:val="auto"/>
              </w:rPr>
            </w:pPr>
            <w:r>
              <w:rPr>
                <w:rFonts w:ascii="Arial" w:cs="Arial" w:eastAsia="Arial" w:hAnsi="Arial"/>
                <w:sz w:val="20"/>
                <w:szCs w:val="20"/>
                <w:color w:val="auto"/>
                <w:w w:val="89"/>
              </w:rPr>
              <w:t>David E. Wheadon</w:t>
            </w:r>
          </w:p>
        </w:tc>
        <w:tc>
          <w:tcPr>
            <w:tcW w:w="18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52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10040"/>
          </w:cols>
          <w:pgMar w:left="920" w:top="527" w:right="920" w:bottom="0" w:gutter="0" w:footer="0" w:header="0"/>
          <w:type w:val="continuous"/>
        </w:sectPr>
      </w:pPr>
    </w:p>
    <w:bookmarkStart w:id="136" w:name="page137"/>
    <w:bookmarkEnd w:id="13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rFonts w:ascii="Arial" w:cs="Arial" w:eastAsia="Arial" w:hAnsi="Arial"/>
          <w:sz w:val="32"/>
          <w:szCs w:val="32"/>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5">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Shareholder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Principal Office</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9100 South Hills Boulevard, Suite 300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Broadview Heights, Ohio 44147</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2025 Annual Meeting of Stockholders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Wednesday, May 21, 2025</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9:00 a.m. Eastern Time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Meeting will be held virtually at: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www.virtualshareholdermeeting.com/SHC2025</w:t>
      </w:r>
    </w:p>
    <w:p>
      <w:pPr>
        <w:spacing w:after="0" w:line="233" w:lineRule="exact"/>
        <w:rPr>
          <w:sz w:val="20"/>
          <w:szCs w:val="20"/>
          <w:color w:val="auto"/>
        </w:rPr>
      </w:pPr>
    </w:p>
    <w:p>
      <w:pPr>
        <w:ind w:left="20" w:right="1420"/>
        <w:spacing w:after="0" w:line="407" w:lineRule="auto"/>
        <w:rPr>
          <w:sz w:val="20"/>
          <w:szCs w:val="20"/>
          <w:color w:val="auto"/>
        </w:rPr>
      </w:pPr>
      <w:r>
        <w:rPr>
          <w:rFonts w:ascii="Arial" w:cs="Arial" w:eastAsia="Arial" w:hAnsi="Arial"/>
          <w:sz w:val="16"/>
          <w:szCs w:val="16"/>
          <w:color w:val="FFFFFF"/>
        </w:rPr>
        <w:t>All shareholders as of March 28, 2025, and their duly appointed proxies are invited to attend.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2024 Annual Report on Form 10-K</w:t>
      </w:r>
    </w:p>
    <w:p>
      <w:pPr>
        <w:spacing w:after="0" w:line="143" w:lineRule="exact"/>
        <w:rPr>
          <w:sz w:val="20"/>
          <w:szCs w:val="20"/>
          <w:color w:val="auto"/>
        </w:rPr>
      </w:pPr>
    </w:p>
    <w:p>
      <w:pPr>
        <w:ind w:left="20" w:right="700"/>
        <w:spacing w:after="0" w:line="312" w:lineRule="auto"/>
        <w:rPr>
          <w:sz w:val="20"/>
          <w:szCs w:val="20"/>
          <w:color w:val="auto"/>
        </w:rPr>
      </w:pPr>
      <w:r>
        <w:rPr>
          <w:rFonts w:ascii="Arial" w:cs="Arial" w:eastAsia="Arial" w:hAnsi="Arial"/>
          <w:sz w:val="18"/>
          <w:szCs w:val="18"/>
          <w:color w:val="FFFFFF"/>
        </w:rPr>
        <w:t>Sotera Health Company’s Annual Report on Form 10-K for the fiscal year ended December 31, 2024, is included in this Annual Report in its entirety, with the exception of certain exhibits.</w:t>
      </w:r>
    </w:p>
    <w:p>
      <w:pPr>
        <w:spacing w:after="0" w:line="143" w:lineRule="exact"/>
        <w:rPr>
          <w:sz w:val="20"/>
          <w:szCs w:val="20"/>
          <w:color w:val="auto"/>
        </w:rPr>
      </w:pPr>
    </w:p>
    <w:p>
      <w:pPr>
        <w:ind w:left="20" w:right="1200"/>
        <w:spacing w:after="0" w:line="373" w:lineRule="auto"/>
        <w:rPr>
          <w:sz w:val="20"/>
          <w:szCs w:val="20"/>
          <w:color w:val="auto"/>
        </w:rPr>
      </w:pPr>
      <w:r>
        <w:rPr>
          <w:rFonts w:ascii="Arial" w:cs="Arial" w:eastAsia="Arial" w:hAnsi="Arial"/>
          <w:sz w:val="16"/>
          <w:szCs w:val="16"/>
          <w:color w:val="FFFFFF"/>
        </w:rPr>
        <w:t>The Form 10-K, complete with all of its exhibits, is available on our website at: https://investors.soterahealth.com/sec-filings.com</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Communicate with the Board</w:t>
      </w:r>
    </w:p>
    <w:p>
      <w:pPr>
        <w:spacing w:after="0" w:line="143" w:lineRule="exact"/>
        <w:rPr>
          <w:sz w:val="20"/>
          <w:szCs w:val="20"/>
          <w:color w:val="auto"/>
        </w:rPr>
      </w:pPr>
    </w:p>
    <w:p>
      <w:pPr>
        <w:ind w:left="20" w:right="1000"/>
        <w:spacing w:after="0" w:line="318" w:lineRule="auto"/>
        <w:rPr>
          <w:sz w:val="20"/>
          <w:szCs w:val="20"/>
          <w:color w:val="auto"/>
        </w:rPr>
      </w:pPr>
      <w:r>
        <w:rPr>
          <w:rFonts w:ascii="Arial" w:cs="Arial" w:eastAsia="Arial" w:hAnsi="Arial"/>
          <w:sz w:val="18"/>
          <w:szCs w:val="18"/>
          <w:color w:val="FFFFFF"/>
        </w:rPr>
        <w:t>Shareholders and other interested parties can communicate with our Board of Directors by email at: board@soterahealth.com.</w:t>
      </w:r>
    </w:p>
    <w:p>
      <w:pPr>
        <w:spacing w:after="0" w:line="137" w:lineRule="exact"/>
        <w:rPr>
          <w:sz w:val="20"/>
          <w:szCs w:val="20"/>
          <w:color w:val="auto"/>
        </w:rPr>
      </w:pPr>
    </w:p>
    <w:p>
      <w:pPr>
        <w:ind w:left="20" w:right="940"/>
        <w:spacing w:after="0" w:line="309" w:lineRule="auto"/>
        <w:rPr>
          <w:sz w:val="20"/>
          <w:szCs w:val="20"/>
          <w:color w:val="auto"/>
        </w:rPr>
      </w:pPr>
      <w:r>
        <w:rPr>
          <w:rFonts w:ascii="Arial" w:cs="Arial" w:eastAsia="Arial" w:hAnsi="Arial"/>
          <w:sz w:val="18"/>
          <w:szCs w:val="18"/>
          <w:color w:val="FFFFFF"/>
        </w:rPr>
        <w:t>The Secretary reviews all communications sent to the Board. Inquiries that relate to the functions of the Board or a Board Committee will be relayed to the Board, Board Committee or to individual directors,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Stock Listing</w:t>
      </w:r>
    </w:p>
    <w:p>
      <w:pPr>
        <w:spacing w:after="0" w:line="143" w:lineRule="exact"/>
        <w:rPr>
          <w:sz w:val="20"/>
          <w:szCs w:val="20"/>
          <w:color w:val="auto"/>
        </w:rPr>
      </w:pPr>
    </w:p>
    <w:p>
      <w:pPr>
        <w:ind w:left="20" w:right="1140"/>
        <w:spacing w:after="0" w:line="335" w:lineRule="auto"/>
        <w:rPr>
          <w:sz w:val="20"/>
          <w:szCs w:val="20"/>
          <w:color w:val="auto"/>
        </w:rPr>
      </w:pPr>
      <w:r>
        <w:rPr>
          <w:rFonts w:ascii="Arial" w:cs="Arial" w:eastAsia="Arial" w:hAnsi="Arial"/>
          <w:sz w:val="18"/>
          <w:szCs w:val="18"/>
          <w:color w:val="191919"/>
        </w:rPr>
        <w:t>Listed on Nasdaq Global Select Market Stock Symbol: SHC</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Investor Relations Contact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Email: IR@soterahealth.com</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Phone: 833.561.1310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Investor Relations website: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www.investors.soterahealth.com</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Transfer Agent</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Computershare Trust Company, N.A.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118 Fernwood Avenue</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Edison, New Jersey 08837</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Independent Registered Public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91919"/>
        </w:rPr>
        <w:t>Accounting Firm</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191919"/>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95" w:lineRule="auto"/>
        <w:rPr>
          <w:sz w:val="20"/>
          <w:szCs w:val="20"/>
          <w:color w:val="auto"/>
        </w:rPr>
      </w:pPr>
      <w:r>
        <w:rPr>
          <w:rFonts w:ascii="Arial" w:cs="Arial" w:eastAsia="Arial" w:hAnsi="Arial"/>
          <w:sz w:val="12"/>
          <w:szCs w:val="12"/>
          <w:color w:val="333333"/>
        </w:rPr>
        <w:t>This Annual Report contains forward-looking statements. The reader is cautioned not to rely on these statements, which are based on current expectations of future events. For important information about these statements, including the risks, uncertainties and other factors that could cause actual results to vary materially from the assumptions, expectations and projections expressed in any forward-looking statements, the reader should review the enclosed Annual Report on Form 10-K for the fiscal year ended December 31, 2024, including in the sections captioned “Cautionary Note Regarding Forward-Looking Statements” and “Item</w:t>
      </w:r>
    </w:p>
    <w:p>
      <w:pPr>
        <w:spacing w:after="0" w:line="4" w:lineRule="exact"/>
        <w:rPr>
          <w:sz w:val="20"/>
          <w:szCs w:val="20"/>
          <w:color w:val="auto"/>
        </w:rPr>
      </w:pPr>
    </w:p>
    <w:p>
      <w:pPr>
        <w:jc w:val="both"/>
        <w:ind w:right="160"/>
        <w:spacing w:after="0" w:line="290" w:lineRule="auto"/>
        <w:rPr>
          <w:sz w:val="20"/>
          <w:szCs w:val="20"/>
          <w:color w:val="auto"/>
        </w:rPr>
      </w:pPr>
      <w:r>
        <w:rPr>
          <w:rFonts w:ascii="Arial" w:cs="Arial" w:eastAsia="Arial" w:hAnsi="Arial"/>
          <w:sz w:val="13"/>
          <w:szCs w:val="13"/>
          <w:color w:val="333333"/>
        </w:rPr>
        <w:t>1A. Risk Factors.” Sotera Health Company does not undertake to update any forward-looking statement as a result of new information or future events or developments.</w:t>
      </w:r>
    </w:p>
    <w:p>
      <w:pPr>
        <w:spacing w:after="0" w:line="148" w:lineRule="exact"/>
        <w:rPr>
          <w:sz w:val="20"/>
          <w:szCs w:val="20"/>
          <w:color w:val="auto"/>
        </w:rPr>
      </w:pPr>
    </w:p>
    <w:p>
      <w:pPr>
        <w:ind w:right="100"/>
        <w:spacing w:after="0" w:line="364" w:lineRule="auto"/>
        <w:rPr>
          <w:sz w:val="20"/>
          <w:szCs w:val="20"/>
          <w:color w:val="auto"/>
        </w:rPr>
      </w:pPr>
      <w:r>
        <w:rPr>
          <w:rFonts w:ascii="Arial" w:cs="Arial" w:eastAsia="Arial" w:hAnsi="Arial"/>
          <w:sz w:val="11"/>
          <w:szCs w:val="11"/>
          <w:color w:val="333333"/>
        </w:rPr>
        <w:t>The Sotera Health trade name, logo and other trademarks included in this Annual Report are the property of Sotera Health Company or its respective affiliates. © 2025 Sotera Health Company. All Rights Reserved.</w:t>
      </w:r>
    </w:p>
    <w:p>
      <w:pPr>
        <w:sectPr>
          <w:pgSz w:w="11880" w:h="15480" w:orient="portrait"/>
          <w:cols w:equalWidth="0" w:num="2">
            <w:col w:w="4880" w:space="720"/>
            <w:col w:w="3940"/>
          </w:cols>
          <w:pgMar w:left="1260" w:top="907" w:right="108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1023620</wp:posOffset>
            </wp:positionH>
            <wp:positionV relativeFrom="page">
              <wp:posOffset>1545590</wp:posOffset>
            </wp:positionV>
            <wp:extent cx="1987550" cy="668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6">
                      <a:extLst>
                        <a:ext uri="{28A0092B-C50C-407E-A947-70E740481C1C}"/>
                      </a:extLst>
                    </a:blip>
                    <a:srcRect/>
                    <a:stretch>
                      <a:fillRect/>
                    </a:stretch>
                  </pic:blipFill>
                  <pic:spPr bwMode="auto">
                    <a:xfrm>
                      <a:off x="0" y="0"/>
                      <a:ext cx="1987550" cy="6680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6331585</wp:posOffset>
            </wp:positionV>
            <wp:extent cx="7501255" cy="34982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7">
                      <a:extLst>
                        <a:ext uri="{28A0092B-C50C-407E-A947-70E740481C1C}"/>
                      </a:extLst>
                    </a:blip>
                    <a:srcRect/>
                    <a:stretch>
                      <a:fillRect/>
                    </a:stretch>
                  </pic:blipFill>
                  <pic:spPr bwMode="auto">
                    <a:xfrm>
                      <a:off x="0" y="0"/>
                      <a:ext cx="7501255" cy="349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Arial" w:cs="Arial" w:eastAsia="Arial" w:hAnsi="Arial"/>
          <w:sz w:val="16"/>
          <w:szCs w:val="16"/>
          <w:color w:val="00074E"/>
        </w:rPr>
        <w:t>Sotera Health Company • 9100 South Hills Blvd, Suite 300 • Broadview Heights, OH 44147 • 440.262.1410 • Nasdaq: SHC</w:t>
      </w:r>
    </w:p>
    <w:p>
      <w:pPr>
        <w:sectPr>
          <w:pgSz w:w="11880" w:h="15480" w:orient="portrait"/>
          <w:cols w:equalWidth="0" w:num="1">
            <w:col w:w="9320"/>
          </w:cols>
          <w:pgMar w:left="1440" w:top="1440" w:right="1120" w:bottom="1440" w:gutter="0" w:footer="0" w:header="0"/>
        </w:sectPr>
      </w:pPr>
    </w:p>
    <w:p>
      <w:pPr>
        <w:spacing w:after="0" w:line="209"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00074E"/>
        </w:rPr>
        <w:t>soterahealth.com</w:t>
      </w:r>
    </w:p>
    <w:sectPr>
      <w:pgSz w:w="11880" w:h="15480" w:orient="portrait"/>
      <w:cols w:equalWidth="0" w:num="1">
        <w:col w:w="9320"/>
      </w:cols>
      <w:pgMar w:left="1440" w:top="1440" w:right="112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ldblquote"/>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8"/>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2"/>
    </w:lvl>
  </w:abstractNum>
  <w:abstractNum w:abstractNumId="36">
    <w:nsid w:val="579478FE"/>
    <w:multiLevelType w:val="hybridMultilevel"/>
    <w:lvl w:ilvl="0">
      <w:lvlJc w:val="left"/>
      <w:lvlText w:val="%1."/>
      <w:numFmt w:val="decimal"/>
      <w:start w:val="3"/>
    </w:lvl>
  </w:abstractNum>
  <w:abstractNum w:abstractNumId="37">
    <w:nsid w:val="749ABB43"/>
    <w:multiLevelType w:val="hybridMultilevel"/>
    <w:lvl w:ilvl="0">
      <w:lvlJc w:val="left"/>
      <w:lvlText w:val="%1."/>
      <w:numFmt w:val="decimal"/>
      <w:start w:val="4"/>
    </w:lvl>
  </w:abstractNum>
  <w:abstractNum w:abstractNumId="38">
    <w:nsid w:val="3DC240FB"/>
    <w:multiLevelType w:val="hybridMultilevel"/>
    <w:lvl w:ilvl="0">
      <w:lvlJc w:val="left"/>
      <w:lvlText w:val="%1."/>
      <w:numFmt w:val="decimal"/>
      <w:start w:val="5"/>
    </w:lvl>
  </w:abstractNum>
  <w:abstractNum w:abstractNumId="39">
    <w:nsid w:val="1BA026FA"/>
    <w:multiLevelType w:val="hybridMultilevel"/>
    <w:lvl w:ilvl="0">
      <w:lvlJc w:val="left"/>
      <w:lvlText w:val="%1."/>
      <w:numFmt w:val="decimal"/>
      <w:start w:val="7"/>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decimal"/>
      <w:start w:val="8"/>
    </w:lvl>
  </w:abstractNum>
  <w:abstractNum w:abstractNumId="42">
    <w:nsid w:val="12E685FB"/>
    <w:multiLevelType w:val="hybridMultilevel"/>
    <w:lvl w:ilvl="0">
      <w:lvlJc w:val="left"/>
      <w:lvlText w:val="(%1)"/>
      <w:numFmt w:val="lowerRoman"/>
      <w:start w:val="1"/>
    </w:lvl>
  </w:abstractNum>
  <w:abstractNum w:abstractNumId="43">
    <w:nsid w:val="70C6A529"/>
    <w:multiLevelType w:val="hybridMultilevel"/>
    <w:lvl w:ilvl="0">
      <w:lvlJc w:val="left"/>
      <w:lvlText w:val="%1"/>
      <w:numFmt w:val="decimal"/>
      <w:start w:val="15"/>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decimal"/>
      <w:start w:val="14"/>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amp;"/>
      <w:numFmt w:val="bullet"/>
      <w:start w:val="1"/>
    </w:lvl>
  </w:abstractNum>
  <w:abstractNum w:abstractNumId="57">
    <w:nsid w:val="741226BB"/>
    <w:multiLevelType w:val="hybridMultilevel"/>
    <w:lvl w:ilvl="0">
      <w:lvlJc w:val="left"/>
      <w:lvlText w:val="(%1)"/>
      <w:numFmt w:val="lowerLetter"/>
      <w:start w:val="1"/>
    </w:lvl>
    <w:lvl w:ilvl="1">
      <w:lvlJc w:val="left"/>
      <w:lvlText w:val="(%2)"/>
      <w:numFmt w:val="decimal"/>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2025-04-10T06:45:41Z</dcterms:created>
  <dcterms:modified xsi:type="dcterms:W3CDTF">2025-04-10T06:45:41Z</dcterms:modified>
</cp:coreProperties>
</file>