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SCHEDULE 13G</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6" w:lineRule="exact"/>
        <w:rPr>
          <w:sz w:val="24"/>
          <w:szCs w:val="24"/>
          <w:color w:val="auto"/>
        </w:rPr>
      </w:pPr>
    </w:p>
    <w:p>
      <w:pPr>
        <w:jc w:val="center"/>
        <w:ind w:right="-59"/>
        <w:spacing w:after="0"/>
        <w:rPr>
          <w:sz w:val="20"/>
          <w:szCs w:val="20"/>
          <w:color w:val="auto"/>
        </w:rPr>
      </w:pPr>
      <w:r>
        <w:rPr>
          <w:rFonts w:ascii="Arial" w:cs="Arial" w:eastAsia="Arial" w:hAnsi="Arial"/>
          <w:sz w:val="40"/>
          <w:szCs w:val="40"/>
          <w:b w:val="1"/>
          <w:bCs w:val="1"/>
          <w:color w:val="auto"/>
        </w:rPr>
        <w:t>Sotera Health Co.</w:t>
      </w:r>
    </w:p>
    <w:p>
      <w:pPr>
        <w:spacing w:after="0" w:line="3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(Name of Issuer)</w:t>
      </w:r>
    </w:p>
    <w:p>
      <w:pPr>
        <w:spacing w:after="0" w:line="20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Common Stock, par value $0.01 per share</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(Title of Class of Securities)</w:t>
      </w:r>
    </w:p>
    <w:p>
      <w:pPr>
        <w:spacing w:after="0" w:line="19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83601L 102</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(CUSIP Number)</w:t>
      </w:r>
    </w:p>
    <w:p>
      <w:pPr>
        <w:spacing w:after="0" w:line="19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December 31, 2021</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ind w:left="440"/>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640" w:hanging="204"/>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rFonts w:ascii="MS PGothic" w:cs="MS PGothic" w:eastAsia="MS PGothic" w:hAnsi="MS PGothic"/>
          <w:sz w:val="18"/>
          <w:szCs w:val="18"/>
          <w:color w:val="auto"/>
        </w:rPr>
      </w:pPr>
    </w:p>
    <w:p>
      <w:pPr>
        <w:ind w:left="640" w:hanging="204"/>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192" w:lineRule="exact"/>
        <w:rPr>
          <w:sz w:val="24"/>
          <w:szCs w:val="24"/>
          <w:color w:val="auto"/>
        </w:rPr>
      </w:pPr>
    </w:p>
    <w:p>
      <w:pPr>
        <w:ind w:left="440"/>
        <w:spacing w:after="0" w:line="207" w:lineRule="exact"/>
        <w:rPr>
          <w:sz w:val="24"/>
          <w:szCs w:val="24"/>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Rule 13d-1(d)</w:t>
      </w:r>
    </w:p>
    <w:p>
      <w:pPr>
        <w:spacing w:after="0" w:line="284" w:lineRule="exact"/>
        <w:rPr>
          <w:sz w:val="24"/>
          <w:szCs w:val="24"/>
          <w:color w:val="auto"/>
        </w:rPr>
      </w:pPr>
    </w:p>
    <w:p>
      <w:pPr>
        <w:ind w:left="420" w:hanging="432"/>
        <w:spacing w:after="0" w:line="308" w:lineRule="auto"/>
        <w:rPr>
          <w:sz w:val="24"/>
          <w:szCs w:val="24"/>
          <w:color w:val="auto"/>
        </w:rPr>
      </w:pPr>
      <w:r>
        <w:rPr>
          <w:rFonts w:ascii="Arial" w:cs="Arial" w:eastAsia="Arial" w:hAnsi="Arial"/>
          <w:sz w:val="18"/>
          <w:szCs w:val="18"/>
          <w:color w:val="auto"/>
        </w:rPr>
        <w:t>*</w:t>
      </w: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46" w:lineRule="exact"/>
        <w:rPr>
          <w:sz w:val="24"/>
          <w:szCs w:val="24"/>
          <w:color w:val="auto"/>
        </w:rPr>
      </w:pPr>
    </w:p>
    <w:p>
      <w:pPr>
        <w:ind w:right="20"/>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w:t>
      </w:r>
      <w:r>
        <w:rPr>
          <w:rFonts w:ascii="Arial" w:cs="Arial" w:eastAsia="Arial" w:hAnsi="Arial"/>
          <w:sz w:val="18"/>
          <w:szCs w:val="18"/>
          <w:u w:val="single" w:color="auto"/>
          <w:color w:val="auto"/>
        </w:rPr>
        <w:t>Act</w:t>
      </w:r>
      <w:r>
        <w:rPr>
          <w:rFonts w:ascii="Arial" w:cs="Arial" w:eastAsia="Arial" w:hAnsi="Arial"/>
          <w:sz w:val="18"/>
          <w:szCs w:val="18"/>
          <w:color w:val="auto"/>
        </w:rPr>
        <w:t xml:space="preserve">”) or otherwise subject to the liabilities of that section of the Act but shall be subject to all other provisions of the Act (however, see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177165</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40"/>
          </w:cols>
          <w:pgMar w:left="440" w:top="368" w:right="519" w:bottom="1440" w:gutter="0" w:footer="0" w:header="0"/>
        </w:sectPr>
      </w:pPr>
    </w:p>
    <w:bookmarkStart w:id="1" w:name="page2"/>
    <w:bookmarkEnd w:id="1"/>
    <w:p>
      <w:pPr>
        <w:ind w:left="504" w:hanging="257"/>
        <w:spacing w:after="0"/>
        <w:tabs>
          <w:tab w:leader="none" w:pos="504" w:val="left"/>
        </w:tabs>
        <w:numPr>
          <w:ilvl w:val="0"/>
          <w:numId w:val="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Names of Reporting Persons</w:t>
      </w:r>
    </w:p>
    <w:p>
      <w:pPr>
        <w:spacing w:after="0" w:line="252" w:lineRule="exact"/>
        <w:rPr>
          <w:rFonts w:ascii="Arial" w:cs="Arial" w:eastAsia="Arial" w:hAnsi="Arial"/>
          <w:sz w:val="18"/>
          <w:szCs w:val="18"/>
          <w:color w:val="auto"/>
        </w:rPr>
      </w:pPr>
    </w:p>
    <w:p>
      <w:pPr>
        <w:ind w:left="504"/>
        <w:spacing w:after="0"/>
        <w:rPr>
          <w:rFonts w:ascii="Arial" w:cs="Arial" w:eastAsia="Arial" w:hAnsi="Arial"/>
          <w:sz w:val="18"/>
          <w:szCs w:val="18"/>
          <w:color w:val="auto"/>
        </w:rPr>
      </w:pPr>
      <w:r>
        <w:rPr>
          <w:rFonts w:ascii="Arial" w:cs="Arial" w:eastAsia="Arial" w:hAnsi="Arial"/>
          <w:sz w:val="18"/>
          <w:szCs w:val="18"/>
          <w:color w:val="auto"/>
        </w:rPr>
        <w:t>GTCR INVESTMENT XI LLC</w:t>
      </w:r>
    </w:p>
    <w:p>
      <w:pPr>
        <w:spacing w:after="0" w:line="36" w:lineRule="exact"/>
        <w:rPr>
          <w:rFonts w:ascii="Arial" w:cs="Arial" w:eastAsia="Arial" w:hAnsi="Arial"/>
          <w:sz w:val="18"/>
          <w:szCs w:val="18"/>
          <w:color w:val="auto"/>
        </w:rPr>
      </w:pPr>
    </w:p>
    <w:p>
      <w:pPr>
        <w:ind w:left="504" w:hanging="257"/>
        <w:spacing w:after="0"/>
        <w:tabs>
          <w:tab w:leader="none" w:pos="504"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-575945</wp:posOffset>
            </wp:positionV>
            <wp:extent cx="6720840" cy="52203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20840" cy="5220335"/>
                    </a:xfrm>
                    <a:prstGeom prst="rect">
                      <a:avLst/>
                    </a:prstGeom>
                    <a:noFill/>
                  </pic:spPr>
                </pic:pic>
              </a:graphicData>
            </a:graphic>
          </wp:anchor>
        </w:drawing>
      </w:r>
    </w:p>
    <w:p>
      <w:pPr>
        <w:ind w:left="504"/>
        <w:spacing w:after="0" w:line="205" w:lineRule="exact"/>
        <w:tabs>
          <w:tab w:leader="none" w:pos="1304"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504" w:hanging="257"/>
        <w:spacing w:after="0"/>
        <w:tabs>
          <w:tab w:leader="none" w:pos="504"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504" w:right="7820" w:hanging="257"/>
        <w:spacing w:after="0" w:line="406" w:lineRule="auto"/>
        <w:tabs>
          <w:tab w:leader="none" w:pos="504" w:val="left"/>
        </w:tabs>
        <w:numPr>
          <w:ilvl w:val="0"/>
          <w:numId w:val="4"/>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1" w:lineRule="exact"/>
        <w:rPr>
          <w:rFonts w:ascii="Arial" w:cs="Arial" w:eastAsia="Arial" w:hAnsi="Arial"/>
          <w:sz w:val="18"/>
          <w:szCs w:val="18"/>
          <w:color w:val="auto"/>
        </w:rPr>
      </w:pPr>
    </w:p>
    <w:p>
      <w:pPr>
        <w:ind w:left="1464" w:hanging="330"/>
        <w:spacing w:after="0"/>
        <w:tabs>
          <w:tab w:leader="none" w:pos="1464" w:val="left"/>
        </w:tabs>
        <w:numPr>
          <w:ilvl w:val="1"/>
          <w:numId w:val="4"/>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52" w:lineRule="exact"/>
        <w:rPr>
          <w:sz w:val="20"/>
          <w:szCs w:val="20"/>
          <w:color w:val="auto"/>
        </w:rPr>
      </w:pPr>
    </w:p>
    <w:tbl>
      <w:tblPr>
        <w:tblLayout w:type="fixed"/>
        <w:tblInd w:w="164" w:type="dxa"/>
        <w:tblCellMar>
          <w:top w:w="0" w:type="dxa"/>
          <w:left w:w="0" w:type="dxa"/>
          <w:bottom w:w="0" w:type="dxa"/>
          <w:right w:w="0" w:type="dxa"/>
        </w:tblCellMar>
      </w:tblPr>
      <w:tr>
        <w:trPr>
          <w:trHeight w:val="244"/>
        </w:trPr>
        <w:tc>
          <w:tcPr>
            <w:tcW w:w="86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6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2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920" w:type="dxa"/>
            <w:vAlign w:val="bottom"/>
            <w:gridSpan w:val="2"/>
          </w:tcPr>
          <w:p>
            <w:pPr>
              <w:jc w:val="center"/>
              <w:ind w:right="80"/>
              <w:spacing w:after="0"/>
              <w:rPr>
                <w:sz w:val="20"/>
                <w:szCs w:val="20"/>
                <w:color w:val="auto"/>
              </w:rPr>
            </w:pPr>
            <w:r>
              <w:rPr>
                <w:rFonts w:ascii="Arial" w:cs="Arial" w:eastAsia="Arial" w:hAnsi="Arial"/>
                <w:sz w:val="18"/>
                <w:szCs w:val="18"/>
                <w:color w:val="auto"/>
                <w:w w:val="84"/>
              </w:rPr>
              <w:t>Shares</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9220" w:type="dxa"/>
            <w:vAlign w:val="bottom"/>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920" w:type="dxa"/>
            <w:vAlign w:val="bottom"/>
            <w:gridSpan w:val="2"/>
          </w:tcPr>
          <w:p>
            <w:pPr>
              <w:jc w:val="center"/>
              <w:ind w:right="40"/>
              <w:spacing w:after="0"/>
              <w:rPr>
                <w:sz w:val="20"/>
                <w:szCs w:val="20"/>
                <w:color w:val="auto"/>
              </w:rPr>
            </w:pPr>
            <w:r>
              <w:rPr>
                <w:rFonts w:ascii="Arial" w:cs="Arial" w:eastAsia="Arial" w:hAnsi="Arial"/>
                <w:sz w:val="18"/>
                <w:szCs w:val="18"/>
                <w:color w:val="auto"/>
                <w:w w:val="96"/>
              </w:rPr>
              <w:t>Beneficially</w:t>
            </w:r>
          </w:p>
        </w:tc>
        <w:tc>
          <w:tcPr>
            <w:tcW w:w="280" w:type="dxa"/>
            <w:vAlign w:val="bottom"/>
          </w:tcPr>
          <w:p>
            <w:pPr>
              <w:spacing w:after="0"/>
              <w:rPr>
                <w:sz w:val="18"/>
                <w:szCs w:val="18"/>
                <w:color w:val="auto"/>
              </w:rPr>
            </w:pPr>
          </w:p>
        </w:tc>
        <w:tc>
          <w:tcPr>
            <w:tcW w:w="9220" w:type="dxa"/>
            <w:vAlign w:val="bottom"/>
            <w:vMerge w:val="restart"/>
          </w:tcPr>
          <w:p>
            <w:pPr>
              <w:ind w:left="100"/>
              <w:spacing w:after="0"/>
              <w:rPr>
                <w:sz w:val="20"/>
                <w:szCs w:val="20"/>
                <w:color w:val="auto"/>
              </w:rPr>
            </w:pPr>
            <w:r>
              <w:rPr>
                <w:rFonts w:ascii="Arial" w:cs="Arial" w:eastAsia="Arial" w:hAnsi="Arial"/>
                <w:sz w:val="18"/>
                <w:szCs w:val="18"/>
                <w:color w:val="auto"/>
              </w:rPr>
              <w:t>175,695,524 (1)</w:t>
            </w:r>
          </w:p>
        </w:tc>
        <w:tc>
          <w:tcPr>
            <w:tcW w:w="0" w:type="dxa"/>
            <w:vAlign w:val="bottom"/>
          </w:tcPr>
          <w:p>
            <w:pPr>
              <w:spacing w:after="0"/>
              <w:rPr>
                <w:sz w:val="1"/>
                <w:szCs w:val="1"/>
                <w:color w:val="auto"/>
              </w:rPr>
            </w:pPr>
          </w:p>
        </w:tc>
      </w:tr>
      <w:tr>
        <w:trPr>
          <w:trHeight w:val="230"/>
        </w:trPr>
        <w:tc>
          <w:tcPr>
            <w:tcW w:w="920" w:type="dxa"/>
            <w:vAlign w:val="bottom"/>
            <w:gridSpan w:val="2"/>
          </w:tcPr>
          <w:p>
            <w:pPr>
              <w:jc w:val="center"/>
              <w:ind w:right="60"/>
              <w:spacing w:after="0"/>
              <w:rPr>
                <w:sz w:val="20"/>
                <w:szCs w:val="20"/>
                <w:color w:val="auto"/>
              </w:rPr>
            </w:pPr>
            <w:r>
              <w:rPr>
                <w:rFonts w:ascii="Arial" w:cs="Arial" w:eastAsia="Arial" w:hAnsi="Arial"/>
                <w:sz w:val="18"/>
                <w:szCs w:val="18"/>
                <w:color w:val="auto"/>
                <w:w w:val="93"/>
              </w:rPr>
              <w:t>Owned By</w:t>
            </w:r>
          </w:p>
        </w:tc>
        <w:tc>
          <w:tcPr>
            <w:tcW w:w="280" w:type="dxa"/>
            <w:vAlign w:val="bottom"/>
          </w:tcPr>
          <w:p>
            <w:pPr>
              <w:spacing w:after="0"/>
              <w:rPr>
                <w:sz w:val="20"/>
                <w:szCs w:val="20"/>
                <w:color w:val="auto"/>
              </w:rPr>
            </w:pPr>
          </w:p>
        </w:tc>
        <w:tc>
          <w:tcPr>
            <w:tcW w:w="92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860" w:type="dxa"/>
            <w:vAlign w:val="bottom"/>
          </w:tcPr>
          <w:p>
            <w:pPr>
              <w:jc w:val="center"/>
              <w:spacing w:after="0" w:line="182" w:lineRule="exact"/>
              <w:rPr>
                <w:sz w:val="20"/>
                <w:szCs w:val="20"/>
                <w:color w:val="auto"/>
              </w:rPr>
            </w:pPr>
            <w:r>
              <w:rPr>
                <w:rFonts w:ascii="Arial" w:cs="Arial" w:eastAsia="Arial" w:hAnsi="Arial"/>
                <w:sz w:val="18"/>
                <w:szCs w:val="18"/>
                <w:color w:val="auto"/>
                <w:w w:val="87"/>
              </w:rPr>
              <w:t>Each</w:t>
            </w:r>
          </w:p>
        </w:tc>
        <w:tc>
          <w:tcPr>
            <w:tcW w:w="6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jc w:val="right"/>
              <w:ind w:right="10"/>
              <w:spacing w:after="0" w:line="182" w:lineRule="exact"/>
              <w:rPr>
                <w:sz w:val="20"/>
                <w:szCs w:val="20"/>
                <w:color w:val="auto"/>
              </w:rPr>
            </w:pPr>
            <w:r>
              <w:rPr>
                <w:rFonts w:ascii="Arial" w:cs="Arial" w:eastAsia="Arial" w:hAnsi="Arial"/>
                <w:sz w:val="18"/>
                <w:szCs w:val="18"/>
                <w:color w:val="auto"/>
              </w:rPr>
              <w:t>7.</w:t>
            </w:r>
          </w:p>
        </w:tc>
        <w:tc>
          <w:tcPr>
            <w:tcW w:w="9220" w:type="dxa"/>
            <w:vAlign w:val="bottom"/>
            <w:tcBorders>
              <w:top w:val="single" w:sz="8" w:color="auto"/>
            </w:tcBorders>
          </w:tcPr>
          <w:p>
            <w:pPr>
              <w:ind w:left="10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92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Reporting</w:t>
            </w:r>
          </w:p>
        </w:tc>
        <w:tc>
          <w:tcPr>
            <w:tcW w:w="280" w:type="dxa"/>
            <w:vAlign w:val="bottom"/>
          </w:tcPr>
          <w:p>
            <w:pPr>
              <w:spacing w:after="0"/>
              <w:rPr>
                <w:sz w:val="18"/>
                <w:szCs w:val="18"/>
                <w:color w:val="auto"/>
              </w:rPr>
            </w:pPr>
          </w:p>
        </w:tc>
        <w:tc>
          <w:tcPr>
            <w:tcW w:w="9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920" w:type="dxa"/>
            <w:vAlign w:val="bottom"/>
            <w:gridSpan w:val="2"/>
          </w:tcPr>
          <w:p>
            <w:pPr>
              <w:jc w:val="center"/>
              <w:ind w:right="60"/>
              <w:spacing w:after="0"/>
              <w:rPr>
                <w:sz w:val="20"/>
                <w:szCs w:val="20"/>
                <w:color w:val="auto"/>
              </w:rPr>
            </w:pPr>
            <w:r>
              <w:rPr>
                <w:rFonts w:ascii="Arial" w:cs="Arial" w:eastAsia="Arial" w:hAnsi="Arial"/>
                <w:sz w:val="18"/>
                <w:szCs w:val="18"/>
                <w:color w:val="auto"/>
                <w:w w:val="87"/>
              </w:rPr>
              <w:t>Person</w:t>
            </w:r>
          </w:p>
        </w:tc>
        <w:tc>
          <w:tcPr>
            <w:tcW w:w="280" w:type="dxa"/>
            <w:vAlign w:val="bottom"/>
          </w:tcPr>
          <w:p>
            <w:pPr>
              <w:spacing w:after="0"/>
              <w:rPr>
                <w:sz w:val="18"/>
                <w:szCs w:val="18"/>
                <w:color w:val="auto"/>
              </w:rPr>
            </w:pPr>
          </w:p>
        </w:tc>
        <w:tc>
          <w:tcPr>
            <w:tcW w:w="9220" w:type="dxa"/>
            <w:vAlign w:val="bottom"/>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860" w:type="dxa"/>
            <w:vAlign w:val="bottom"/>
            <w:vMerge w:val="restart"/>
          </w:tcPr>
          <w:p>
            <w:pPr>
              <w:jc w:val="center"/>
              <w:spacing w:after="0"/>
              <w:rPr>
                <w:sz w:val="20"/>
                <w:szCs w:val="20"/>
                <w:color w:val="auto"/>
              </w:rPr>
            </w:pPr>
            <w:r>
              <w:rPr>
                <w:rFonts w:ascii="Arial" w:cs="Arial" w:eastAsia="Arial" w:hAnsi="Arial"/>
                <w:sz w:val="18"/>
                <w:szCs w:val="18"/>
                <w:color w:val="auto"/>
                <w:w w:val="94"/>
              </w:rPr>
              <w:t>With</w:t>
            </w:r>
          </w:p>
        </w:tc>
        <w:tc>
          <w:tcPr>
            <w:tcW w:w="6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2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8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vMerge w:val="restart"/>
          </w:tcPr>
          <w:p>
            <w:pPr>
              <w:jc w:val="right"/>
              <w:ind w:right="10"/>
              <w:spacing w:after="0"/>
              <w:rPr>
                <w:sz w:val="20"/>
                <w:szCs w:val="20"/>
                <w:color w:val="auto"/>
              </w:rPr>
            </w:pPr>
            <w:r>
              <w:rPr>
                <w:rFonts w:ascii="Arial" w:cs="Arial" w:eastAsia="Arial" w:hAnsi="Arial"/>
                <w:sz w:val="18"/>
                <w:szCs w:val="18"/>
                <w:color w:val="auto"/>
              </w:rPr>
              <w:t>8.</w:t>
            </w:r>
          </w:p>
        </w:tc>
        <w:tc>
          <w:tcPr>
            <w:tcW w:w="9220" w:type="dxa"/>
            <w:vAlign w:val="bottom"/>
            <w:vMerge w:val="restart"/>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vMerge w:val="continue"/>
          </w:tcPr>
          <w:p>
            <w:pPr>
              <w:spacing w:after="0"/>
              <w:rPr>
                <w:sz w:val="7"/>
                <w:szCs w:val="7"/>
                <w:color w:val="auto"/>
              </w:rPr>
            </w:pPr>
          </w:p>
        </w:tc>
        <w:tc>
          <w:tcPr>
            <w:tcW w:w="92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1464"/>
        <w:spacing w:after="0"/>
        <w:rPr>
          <w:sz w:val="20"/>
          <w:szCs w:val="20"/>
          <w:color w:val="auto"/>
        </w:rPr>
      </w:pPr>
      <w:r>
        <w:rPr>
          <w:rFonts w:ascii="Arial" w:cs="Arial" w:eastAsia="Arial" w:hAnsi="Arial"/>
          <w:sz w:val="18"/>
          <w:szCs w:val="18"/>
          <w:color w:val="auto"/>
        </w:rPr>
        <w:t>70,278,209</w:t>
      </w:r>
    </w:p>
    <w:p>
      <w:pPr>
        <w:spacing w:after="0" w:line="36" w:lineRule="exact"/>
        <w:rPr>
          <w:sz w:val="20"/>
          <w:szCs w:val="20"/>
          <w:color w:val="auto"/>
        </w:rPr>
      </w:pPr>
    </w:p>
    <w:p>
      <w:pPr>
        <w:ind w:left="544" w:right="5600" w:hanging="297"/>
        <w:spacing w:after="0" w:line="406" w:lineRule="auto"/>
        <w:tabs>
          <w:tab w:leader="none" w:pos="544"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175,695,524</w:t>
      </w:r>
    </w:p>
    <w:p>
      <w:pPr>
        <w:spacing w:after="0" w:line="1" w:lineRule="exact"/>
        <w:rPr>
          <w:rFonts w:ascii="Arial" w:cs="Arial" w:eastAsia="Arial" w:hAnsi="Arial"/>
          <w:sz w:val="18"/>
          <w:szCs w:val="18"/>
          <w:color w:val="auto"/>
        </w:rPr>
      </w:pPr>
    </w:p>
    <w:p>
      <w:pPr>
        <w:ind w:left="544" w:hanging="387"/>
        <w:spacing w:after="0"/>
        <w:tabs>
          <w:tab w:leader="none" w:pos="544" w:val="left"/>
        </w:tabs>
        <w:numPr>
          <w:ilvl w:val="1"/>
          <w:numId w:val="5"/>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w:t>
      </w:r>
    </w:p>
    <w:p>
      <w:pPr>
        <w:spacing w:after="0" w:line="219" w:lineRule="exact"/>
        <w:rPr>
          <w:rFonts w:ascii="Arial" w:cs="Arial" w:eastAsia="Arial" w:hAnsi="Arial"/>
          <w:sz w:val="18"/>
          <w:szCs w:val="18"/>
          <w:color w:val="auto"/>
        </w:rPr>
      </w:pPr>
    </w:p>
    <w:p>
      <w:pPr>
        <w:ind w:left="54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544" w:hanging="387"/>
        <w:spacing w:after="0"/>
        <w:tabs>
          <w:tab w:leader="none" w:pos="544"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44" w:lineRule="exact"/>
        <w:rPr>
          <w:rFonts w:ascii="Arial" w:cs="Arial" w:eastAsia="Arial" w:hAnsi="Arial"/>
          <w:sz w:val="18"/>
          <w:szCs w:val="18"/>
          <w:color w:val="auto"/>
        </w:rPr>
      </w:pPr>
    </w:p>
    <w:p>
      <w:pPr>
        <w:ind w:left="544"/>
        <w:spacing w:after="0"/>
        <w:rPr>
          <w:rFonts w:ascii="Arial" w:cs="Arial" w:eastAsia="Arial" w:hAnsi="Arial"/>
          <w:sz w:val="18"/>
          <w:szCs w:val="18"/>
          <w:color w:val="auto"/>
        </w:rPr>
      </w:pPr>
      <w:r>
        <w:rPr>
          <w:rFonts w:ascii="Arial" w:cs="Arial" w:eastAsia="Arial" w:hAnsi="Arial"/>
          <w:sz w:val="18"/>
          <w:szCs w:val="18"/>
          <w:color w:val="auto"/>
        </w:rPr>
        <w:t>62.1% (2)</w:t>
      </w:r>
    </w:p>
    <w:p>
      <w:pPr>
        <w:spacing w:after="0" w:line="36" w:lineRule="exact"/>
        <w:rPr>
          <w:rFonts w:ascii="Arial" w:cs="Arial" w:eastAsia="Arial" w:hAnsi="Arial"/>
          <w:sz w:val="18"/>
          <w:szCs w:val="18"/>
          <w:color w:val="auto"/>
        </w:rPr>
      </w:pPr>
    </w:p>
    <w:p>
      <w:pPr>
        <w:ind w:left="544" w:hanging="387"/>
        <w:spacing w:after="0"/>
        <w:tabs>
          <w:tab w:leader="none" w:pos="544" w:val="left"/>
        </w:tabs>
        <w:numPr>
          <w:ilvl w:val="1"/>
          <w:numId w:val="5"/>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52" w:lineRule="exact"/>
        <w:rPr>
          <w:rFonts w:ascii="Arial" w:cs="Arial" w:eastAsia="Arial" w:hAnsi="Arial"/>
          <w:sz w:val="18"/>
          <w:szCs w:val="18"/>
          <w:color w:val="auto"/>
        </w:rPr>
      </w:pPr>
    </w:p>
    <w:p>
      <w:pPr>
        <w:ind w:left="544"/>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79" w:lineRule="exact"/>
        <w:rPr>
          <w:rFonts w:ascii="Arial" w:cs="Arial" w:eastAsia="Arial" w:hAnsi="Arial"/>
          <w:sz w:val="18"/>
          <w:szCs w:val="18"/>
          <w:color w:val="auto"/>
        </w:rPr>
      </w:pPr>
    </w:p>
    <w:p>
      <w:pPr>
        <w:ind w:left="424" w:hanging="424"/>
        <w:spacing w:after="0" w:line="266" w:lineRule="auto"/>
        <w:tabs>
          <w:tab w:leader="none" w:pos="424" w:val="left"/>
        </w:tabs>
        <w:numPr>
          <w:ilvl w:val="0"/>
          <w:numId w:val="6"/>
        </w:numPr>
        <w:rPr>
          <w:rFonts w:ascii="Arial" w:cs="Arial" w:eastAsia="Arial" w:hAnsi="Arial"/>
          <w:sz w:val="17"/>
          <w:szCs w:val="17"/>
          <w:color w:val="auto"/>
        </w:rPr>
      </w:pPr>
      <w:r>
        <w:rPr>
          <w:rFonts w:ascii="Arial" w:cs="Arial" w:eastAsia="Arial" w:hAnsi="Arial"/>
          <w:sz w:val="17"/>
          <w:szCs w:val="17"/>
          <w:color w:val="auto"/>
        </w:rPr>
        <w:t>As more fully described in Item 4 of this Amendment No. 1 to Schedule 13G, the GTCR Investors are party to a Stockholders Agreement with the Warburg Pincus Investors and certain other holders of Common Stock of the Issuer. The GTCR Investors, together with the Warburg Pincus Investors, hold an aggregate total of 175,695,524 shares of Common Stock of the Issuer (approximately 62.1% of the outstanding shares of Common Stock of the Issuer), of which 105,417,315 shares of Common Stock are publicly reported as being owned by the Warburg Pincus Investors in such entities’ Form 4, filed with the U.S. Securities and Exchange Commission (“Commission”) on March 24, 2021. Although the GTCR Reporting Persons may be deemed to beneficially own the Common Stock held as of record by the Warburg Pincus Investors as a result of the Stockholders Agreement, each GTCR Reporting Person expressly disclaims beneficial ownership (within the meaning of Rule 13d-3 of the Exchange Act) with respect to any shares of Common Stock other than the shares of Common Stock of the Issuer owned of record by such GTCR Reporting Person. The percentages used herein have been determined in accordance with footnote 2 below. Capitalized terms used herein are defined in Items 2(a) or 4 below.</w:t>
      </w:r>
    </w:p>
    <w:p>
      <w:pPr>
        <w:spacing w:after="0" w:line="7" w:lineRule="exact"/>
        <w:rPr>
          <w:rFonts w:ascii="Arial" w:cs="Arial" w:eastAsia="Arial" w:hAnsi="Arial"/>
          <w:sz w:val="17"/>
          <w:szCs w:val="17"/>
          <w:color w:val="auto"/>
        </w:rPr>
      </w:pPr>
    </w:p>
    <w:p>
      <w:pPr>
        <w:ind w:left="424" w:right="200" w:hanging="424"/>
        <w:spacing w:after="0" w:line="260" w:lineRule="auto"/>
        <w:tabs>
          <w:tab w:leader="none" w:pos="424" w:val="left"/>
        </w:tabs>
        <w:numPr>
          <w:ilvl w:val="0"/>
          <w:numId w:val="6"/>
        </w:numPr>
        <w:rPr>
          <w:rFonts w:ascii="Arial" w:cs="Arial" w:eastAsia="Arial" w:hAnsi="Arial"/>
          <w:sz w:val="18"/>
          <w:szCs w:val="18"/>
          <w:color w:val="auto"/>
        </w:rPr>
      </w:pPr>
      <w:r>
        <w:rPr>
          <w:rFonts w:ascii="Arial" w:cs="Arial" w:eastAsia="Arial" w:hAnsi="Arial"/>
          <w:sz w:val="18"/>
          <w:szCs w:val="18"/>
          <w:color w:val="auto"/>
        </w:rPr>
        <w:t>Calculated based on 282,916,909 shares of Common Stock outstanding as of November 3, 2021 as reported on the Issuer’s Form 10-Q, filed on November 10, 2021.</w:t>
      </w:r>
    </w:p>
    <w:p>
      <w:pPr>
        <w:sectPr>
          <w:pgSz w:w="11900" w:h="16838" w:orient="portrait"/>
          <w:cols w:equalWidth="0" w:num="1">
            <w:col w:w="10964"/>
          </w:cols>
          <w:pgMar w:left="436" w:top="287" w:right="499" w:bottom="1440" w:gutter="0" w:footer="0" w:header="0"/>
        </w:sectPr>
      </w:pPr>
    </w:p>
    <w:bookmarkStart w:id="2" w:name="page3"/>
    <w:bookmarkEnd w:id="2"/>
    <w:p>
      <w:pPr>
        <w:ind w:left="504" w:hanging="257"/>
        <w:spacing w:after="0"/>
        <w:tabs>
          <w:tab w:leader="none" w:pos="504" w:val="left"/>
        </w:tabs>
        <w:numPr>
          <w:ilvl w:val="0"/>
          <w:numId w:val="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Names of Reporting Persons</w:t>
      </w:r>
    </w:p>
    <w:p>
      <w:pPr>
        <w:spacing w:after="0" w:line="252" w:lineRule="exact"/>
        <w:rPr>
          <w:rFonts w:ascii="Arial" w:cs="Arial" w:eastAsia="Arial" w:hAnsi="Arial"/>
          <w:sz w:val="18"/>
          <w:szCs w:val="18"/>
          <w:color w:val="auto"/>
        </w:rPr>
      </w:pPr>
    </w:p>
    <w:p>
      <w:pPr>
        <w:ind w:left="504"/>
        <w:spacing w:after="0"/>
        <w:rPr>
          <w:rFonts w:ascii="Arial" w:cs="Arial" w:eastAsia="Arial" w:hAnsi="Arial"/>
          <w:sz w:val="18"/>
          <w:szCs w:val="18"/>
          <w:color w:val="auto"/>
        </w:rPr>
      </w:pPr>
      <w:r>
        <w:rPr>
          <w:rFonts w:ascii="Arial" w:cs="Arial" w:eastAsia="Arial" w:hAnsi="Arial"/>
          <w:sz w:val="18"/>
          <w:szCs w:val="18"/>
          <w:color w:val="auto"/>
        </w:rPr>
        <w:t>GTCR FUND XI/A LP</w:t>
      </w:r>
    </w:p>
    <w:p>
      <w:pPr>
        <w:spacing w:after="0" w:line="36" w:lineRule="exact"/>
        <w:rPr>
          <w:rFonts w:ascii="Arial" w:cs="Arial" w:eastAsia="Arial" w:hAnsi="Arial"/>
          <w:sz w:val="18"/>
          <w:szCs w:val="18"/>
          <w:color w:val="auto"/>
        </w:rPr>
      </w:pPr>
    </w:p>
    <w:p>
      <w:pPr>
        <w:ind w:left="504" w:hanging="257"/>
        <w:spacing w:after="0"/>
        <w:tabs>
          <w:tab w:leader="none" w:pos="504" w:val="left"/>
        </w:tabs>
        <w:numPr>
          <w:ilvl w:val="0"/>
          <w:numId w:val="7"/>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-575945</wp:posOffset>
            </wp:positionV>
            <wp:extent cx="6720840" cy="52203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20840" cy="5220335"/>
                    </a:xfrm>
                    <a:prstGeom prst="rect">
                      <a:avLst/>
                    </a:prstGeom>
                    <a:noFill/>
                  </pic:spPr>
                </pic:pic>
              </a:graphicData>
            </a:graphic>
          </wp:anchor>
        </w:drawing>
      </w:r>
    </w:p>
    <w:p>
      <w:pPr>
        <w:ind w:left="504"/>
        <w:spacing w:after="0" w:line="205" w:lineRule="exact"/>
        <w:tabs>
          <w:tab w:leader="none" w:pos="1304"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504" w:hanging="257"/>
        <w:spacing w:after="0"/>
        <w:tabs>
          <w:tab w:leader="none" w:pos="504" w:val="left"/>
        </w:tabs>
        <w:numPr>
          <w:ilvl w:val="0"/>
          <w:numId w:val="8"/>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504" w:right="7820" w:hanging="257"/>
        <w:spacing w:after="0" w:line="406" w:lineRule="auto"/>
        <w:tabs>
          <w:tab w:leader="none" w:pos="504" w:val="left"/>
        </w:tabs>
        <w:numPr>
          <w:ilvl w:val="0"/>
          <w:numId w:val="8"/>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1" w:lineRule="exact"/>
        <w:rPr>
          <w:rFonts w:ascii="Arial" w:cs="Arial" w:eastAsia="Arial" w:hAnsi="Arial"/>
          <w:sz w:val="18"/>
          <w:szCs w:val="18"/>
          <w:color w:val="auto"/>
        </w:rPr>
      </w:pPr>
    </w:p>
    <w:p>
      <w:pPr>
        <w:ind w:left="1464" w:hanging="330"/>
        <w:spacing w:after="0"/>
        <w:tabs>
          <w:tab w:leader="none" w:pos="1464" w:val="left"/>
        </w:tabs>
        <w:numPr>
          <w:ilvl w:val="1"/>
          <w:numId w:val="8"/>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52" w:lineRule="exact"/>
        <w:rPr>
          <w:sz w:val="20"/>
          <w:szCs w:val="20"/>
          <w:color w:val="auto"/>
        </w:rPr>
      </w:pPr>
    </w:p>
    <w:tbl>
      <w:tblPr>
        <w:tblLayout w:type="fixed"/>
        <w:tblInd w:w="164" w:type="dxa"/>
        <w:tblCellMar>
          <w:top w:w="0" w:type="dxa"/>
          <w:left w:w="0" w:type="dxa"/>
          <w:bottom w:w="0" w:type="dxa"/>
          <w:right w:w="0" w:type="dxa"/>
        </w:tblCellMar>
      </w:tblPr>
      <w:tr>
        <w:trPr>
          <w:trHeight w:val="244"/>
        </w:trPr>
        <w:tc>
          <w:tcPr>
            <w:tcW w:w="86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6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2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920" w:type="dxa"/>
            <w:vAlign w:val="bottom"/>
            <w:gridSpan w:val="2"/>
          </w:tcPr>
          <w:p>
            <w:pPr>
              <w:jc w:val="center"/>
              <w:ind w:right="80"/>
              <w:spacing w:after="0"/>
              <w:rPr>
                <w:sz w:val="20"/>
                <w:szCs w:val="20"/>
                <w:color w:val="auto"/>
              </w:rPr>
            </w:pPr>
            <w:r>
              <w:rPr>
                <w:rFonts w:ascii="Arial" w:cs="Arial" w:eastAsia="Arial" w:hAnsi="Arial"/>
                <w:sz w:val="18"/>
                <w:szCs w:val="18"/>
                <w:color w:val="auto"/>
                <w:w w:val="84"/>
              </w:rPr>
              <w:t>Shares</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9220" w:type="dxa"/>
            <w:vAlign w:val="bottom"/>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920" w:type="dxa"/>
            <w:vAlign w:val="bottom"/>
            <w:gridSpan w:val="2"/>
          </w:tcPr>
          <w:p>
            <w:pPr>
              <w:jc w:val="center"/>
              <w:ind w:right="40"/>
              <w:spacing w:after="0"/>
              <w:rPr>
                <w:sz w:val="20"/>
                <w:szCs w:val="20"/>
                <w:color w:val="auto"/>
              </w:rPr>
            </w:pPr>
            <w:r>
              <w:rPr>
                <w:rFonts w:ascii="Arial" w:cs="Arial" w:eastAsia="Arial" w:hAnsi="Arial"/>
                <w:sz w:val="18"/>
                <w:szCs w:val="18"/>
                <w:color w:val="auto"/>
                <w:w w:val="96"/>
              </w:rPr>
              <w:t>Beneficially</w:t>
            </w:r>
          </w:p>
        </w:tc>
        <w:tc>
          <w:tcPr>
            <w:tcW w:w="280" w:type="dxa"/>
            <w:vAlign w:val="bottom"/>
          </w:tcPr>
          <w:p>
            <w:pPr>
              <w:spacing w:after="0"/>
              <w:rPr>
                <w:sz w:val="18"/>
                <w:szCs w:val="18"/>
                <w:color w:val="auto"/>
              </w:rPr>
            </w:pPr>
          </w:p>
        </w:tc>
        <w:tc>
          <w:tcPr>
            <w:tcW w:w="9220" w:type="dxa"/>
            <w:vAlign w:val="bottom"/>
            <w:vMerge w:val="restart"/>
          </w:tcPr>
          <w:p>
            <w:pPr>
              <w:ind w:left="100"/>
              <w:spacing w:after="0"/>
              <w:rPr>
                <w:sz w:val="20"/>
                <w:szCs w:val="20"/>
                <w:color w:val="auto"/>
              </w:rPr>
            </w:pPr>
            <w:r>
              <w:rPr>
                <w:rFonts w:ascii="Arial" w:cs="Arial" w:eastAsia="Arial" w:hAnsi="Arial"/>
                <w:sz w:val="18"/>
                <w:szCs w:val="18"/>
                <w:color w:val="auto"/>
              </w:rPr>
              <w:t>175,695,524 (1)</w:t>
            </w:r>
          </w:p>
        </w:tc>
        <w:tc>
          <w:tcPr>
            <w:tcW w:w="0" w:type="dxa"/>
            <w:vAlign w:val="bottom"/>
          </w:tcPr>
          <w:p>
            <w:pPr>
              <w:spacing w:after="0"/>
              <w:rPr>
                <w:sz w:val="1"/>
                <w:szCs w:val="1"/>
                <w:color w:val="auto"/>
              </w:rPr>
            </w:pPr>
          </w:p>
        </w:tc>
      </w:tr>
      <w:tr>
        <w:trPr>
          <w:trHeight w:val="230"/>
        </w:trPr>
        <w:tc>
          <w:tcPr>
            <w:tcW w:w="920" w:type="dxa"/>
            <w:vAlign w:val="bottom"/>
            <w:gridSpan w:val="2"/>
          </w:tcPr>
          <w:p>
            <w:pPr>
              <w:jc w:val="center"/>
              <w:ind w:right="60"/>
              <w:spacing w:after="0"/>
              <w:rPr>
                <w:sz w:val="20"/>
                <w:szCs w:val="20"/>
                <w:color w:val="auto"/>
              </w:rPr>
            </w:pPr>
            <w:r>
              <w:rPr>
                <w:rFonts w:ascii="Arial" w:cs="Arial" w:eastAsia="Arial" w:hAnsi="Arial"/>
                <w:sz w:val="18"/>
                <w:szCs w:val="18"/>
                <w:color w:val="auto"/>
                <w:w w:val="93"/>
              </w:rPr>
              <w:t>Owned By</w:t>
            </w:r>
          </w:p>
        </w:tc>
        <w:tc>
          <w:tcPr>
            <w:tcW w:w="280" w:type="dxa"/>
            <w:vAlign w:val="bottom"/>
          </w:tcPr>
          <w:p>
            <w:pPr>
              <w:spacing w:after="0"/>
              <w:rPr>
                <w:sz w:val="20"/>
                <w:szCs w:val="20"/>
                <w:color w:val="auto"/>
              </w:rPr>
            </w:pPr>
          </w:p>
        </w:tc>
        <w:tc>
          <w:tcPr>
            <w:tcW w:w="92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860" w:type="dxa"/>
            <w:vAlign w:val="bottom"/>
          </w:tcPr>
          <w:p>
            <w:pPr>
              <w:jc w:val="center"/>
              <w:spacing w:after="0" w:line="182" w:lineRule="exact"/>
              <w:rPr>
                <w:sz w:val="20"/>
                <w:szCs w:val="20"/>
                <w:color w:val="auto"/>
              </w:rPr>
            </w:pPr>
            <w:r>
              <w:rPr>
                <w:rFonts w:ascii="Arial" w:cs="Arial" w:eastAsia="Arial" w:hAnsi="Arial"/>
                <w:sz w:val="18"/>
                <w:szCs w:val="18"/>
                <w:color w:val="auto"/>
                <w:w w:val="87"/>
              </w:rPr>
              <w:t>Each</w:t>
            </w:r>
          </w:p>
        </w:tc>
        <w:tc>
          <w:tcPr>
            <w:tcW w:w="6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jc w:val="right"/>
              <w:ind w:right="10"/>
              <w:spacing w:after="0" w:line="182" w:lineRule="exact"/>
              <w:rPr>
                <w:sz w:val="20"/>
                <w:szCs w:val="20"/>
                <w:color w:val="auto"/>
              </w:rPr>
            </w:pPr>
            <w:r>
              <w:rPr>
                <w:rFonts w:ascii="Arial" w:cs="Arial" w:eastAsia="Arial" w:hAnsi="Arial"/>
                <w:sz w:val="18"/>
                <w:szCs w:val="18"/>
                <w:color w:val="auto"/>
              </w:rPr>
              <w:t>7.</w:t>
            </w:r>
          </w:p>
        </w:tc>
        <w:tc>
          <w:tcPr>
            <w:tcW w:w="9220" w:type="dxa"/>
            <w:vAlign w:val="bottom"/>
            <w:tcBorders>
              <w:top w:val="single" w:sz="8" w:color="auto"/>
            </w:tcBorders>
          </w:tcPr>
          <w:p>
            <w:pPr>
              <w:ind w:left="10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92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Reporting</w:t>
            </w:r>
          </w:p>
        </w:tc>
        <w:tc>
          <w:tcPr>
            <w:tcW w:w="280" w:type="dxa"/>
            <w:vAlign w:val="bottom"/>
          </w:tcPr>
          <w:p>
            <w:pPr>
              <w:spacing w:after="0"/>
              <w:rPr>
                <w:sz w:val="18"/>
                <w:szCs w:val="18"/>
                <w:color w:val="auto"/>
              </w:rPr>
            </w:pPr>
          </w:p>
        </w:tc>
        <w:tc>
          <w:tcPr>
            <w:tcW w:w="9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920" w:type="dxa"/>
            <w:vAlign w:val="bottom"/>
            <w:gridSpan w:val="2"/>
          </w:tcPr>
          <w:p>
            <w:pPr>
              <w:jc w:val="center"/>
              <w:ind w:right="60"/>
              <w:spacing w:after="0"/>
              <w:rPr>
                <w:sz w:val="20"/>
                <w:szCs w:val="20"/>
                <w:color w:val="auto"/>
              </w:rPr>
            </w:pPr>
            <w:r>
              <w:rPr>
                <w:rFonts w:ascii="Arial" w:cs="Arial" w:eastAsia="Arial" w:hAnsi="Arial"/>
                <w:sz w:val="18"/>
                <w:szCs w:val="18"/>
                <w:color w:val="auto"/>
                <w:w w:val="87"/>
              </w:rPr>
              <w:t>Person</w:t>
            </w:r>
          </w:p>
        </w:tc>
        <w:tc>
          <w:tcPr>
            <w:tcW w:w="280" w:type="dxa"/>
            <w:vAlign w:val="bottom"/>
          </w:tcPr>
          <w:p>
            <w:pPr>
              <w:spacing w:after="0"/>
              <w:rPr>
                <w:sz w:val="18"/>
                <w:szCs w:val="18"/>
                <w:color w:val="auto"/>
              </w:rPr>
            </w:pPr>
          </w:p>
        </w:tc>
        <w:tc>
          <w:tcPr>
            <w:tcW w:w="9220" w:type="dxa"/>
            <w:vAlign w:val="bottom"/>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860" w:type="dxa"/>
            <w:vAlign w:val="bottom"/>
            <w:vMerge w:val="restart"/>
          </w:tcPr>
          <w:p>
            <w:pPr>
              <w:jc w:val="center"/>
              <w:spacing w:after="0"/>
              <w:rPr>
                <w:sz w:val="20"/>
                <w:szCs w:val="20"/>
                <w:color w:val="auto"/>
              </w:rPr>
            </w:pPr>
            <w:r>
              <w:rPr>
                <w:rFonts w:ascii="Arial" w:cs="Arial" w:eastAsia="Arial" w:hAnsi="Arial"/>
                <w:sz w:val="18"/>
                <w:szCs w:val="18"/>
                <w:color w:val="auto"/>
                <w:w w:val="94"/>
              </w:rPr>
              <w:t>With</w:t>
            </w:r>
          </w:p>
        </w:tc>
        <w:tc>
          <w:tcPr>
            <w:tcW w:w="6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2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8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vMerge w:val="restart"/>
          </w:tcPr>
          <w:p>
            <w:pPr>
              <w:jc w:val="right"/>
              <w:ind w:right="10"/>
              <w:spacing w:after="0"/>
              <w:rPr>
                <w:sz w:val="20"/>
                <w:szCs w:val="20"/>
                <w:color w:val="auto"/>
              </w:rPr>
            </w:pPr>
            <w:r>
              <w:rPr>
                <w:rFonts w:ascii="Arial" w:cs="Arial" w:eastAsia="Arial" w:hAnsi="Arial"/>
                <w:sz w:val="18"/>
                <w:szCs w:val="18"/>
                <w:color w:val="auto"/>
              </w:rPr>
              <w:t>8.</w:t>
            </w:r>
          </w:p>
        </w:tc>
        <w:tc>
          <w:tcPr>
            <w:tcW w:w="9220" w:type="dxa"/>
            <w:vAlign w:val="bottom"/>
            <w:vMerge w:val="restart"/>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vMerge w:val="continue"/>
          </w:tcPr>
          <w:p>
            <w:pPr>
              <w:spacing w:after="0"/>
              <w:rPr>
                <w:sz w:val="7"/>
                <w:szCs w:val="7"/>
                <w:color w:val="auto"/>
              </w:rPr>
            </w:pPr>
          </w:p>
        </w:tc>
        <w:tc>
          <w:tcPr>
            <w:tcW w:w="92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1464"/>
        <w:spacing w:after="0"/>
        <w:rPr>
          <w:sz w:val="20"/>
          <w:szCs w:val="20"/>
          <w:color w:val="auto"/>
        </w:rPr>
      </w:pPr>
      <w:r>
        <w:rPr>
          <w:rFonts w:ascii="Arial" w:cs="Arial" w:eastAsia="Arial" w:hAnsi="Arial"/>
          <w:sz w:val="18"/>
          <w:szCs w:val="18"/>
          <w:color w:val="auto"/>
        </w:rPr>
        <w:t>55,778,268</w:t>
      </w:r>
    </w:p>
    <w:p>
      <w:pPr>
        <w:spacing w:after="0" w:line="36" w:lineRule="exact"/>
        <w:rPr>
          <w:sz w:val="20"/>
          <w:szCs w:val="20"/>
          <w:color w:val="auto"/>
        </w:rPr>
      </w:pPr>
    </w:p>
    <w:p>
      <w:pPr>
        <w:ind w:left="544" w:right="5600" w:hanging="297"/>
        <w:spacing w:after="0" w:line="406" w:lineRule="auto"/>
        <w:tabs>
          <w:tab w:leader="none" w:pos="544" w:val="left"/>
        </w:tabs>
        <w:numPr>
          <w:ilvl w:val="1"/>
          <w:numId w:val="9"/>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175,695,524</w:t>
      </w:r>
    </w:p>
    <w:p>
      <w:pPr>
        <w:spacing w:after="0" w:line="1" w:lineRule="exact"/>
        <w:rPr>
          <w:rFonts w:ascii="Arial" w:cs="Arial" w:eastAsia="Arial" w:hAnsi="Arial"/>
          <w:sz w:val="18"/>
          <w:szCs w:val="18"/>
          <w:color w:val="auto"/>
        </w:rPr>
      </w:pPr>
    </w:p>
    <w:p>
      <w:pPr>
        <w:ind w:left="544" w:hanging="387"/>
        <w:spacing w:after="0"/>
        <w:tabs>
          <w:tab w:leader="none" w:pos="544" w:val="left"/>
        </w:tabs>
        <w:numPr>
          <w:ilvl w:val="1"/>
          <w:numId w:val="9"/>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w:t>
      </w:r>
    </w:p>
    <w:p>
      <w:pPr>
        <w:spacing w:after="0" w:line="219" w:lineRule="exact"/>
        <w:rPr>
          <w:rFonts w:ascii="Arial" w:cs="Arial" w:eastAsia="Arial" w:hAnsi="Arial"/>
          <w:sz w:val="18"/>
          <w:szCs w:val="18"/>
          <w:color w:val="auto"/>
        </w:rPr>
      </w:pPr>
    </w:p>
    <w:p>
      <w:pPr>
        <w:ind w:left="54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544" w:hanging="387"/>
        <w:spacing w:after="0"/>
        <w:tabs>
          <w:tab w:leader="none" w:pos="544" w:val="left"/>
        </w:tabs>
        <w:numPr>
          <w:ilvl w:val="1"/>
          <w:numId w:val="9"/>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44" w:lineRule="exact"/>
        <w:rPr>
          <w:rFonts w:ascii="Arial" w:cs="Arial" w:eastAsia="Arial" w:hAnsi="Arial"/>
          <w:sz w:val="18"/>
          <w:szCs w:val="18"/>
          <w:color w:val="auto"/>
        </w:rPr>
      </w:pPr>
    </w:p>
    <w:p>
      <w:pPr>
        <w:ind w:left="544"/>
        <w:spacing w:after="0"/>
        <w:rPr>
          <w:rFonts w:ascii="Arial" w:cs="Arial" w:eastAsia="Arial" w:hAnsi="Arial"/>
          <w:sz w:val="18"/>
          <w:szCs w:val="18"/>
          <w:color w:val="auto"/>
        </w:rPr>
      </w:pPr>
      <w:r>
        <w:rPr>
          <w:rFonts w:ascii="Arial" w:cs="Arial" w:eastAsia="Arial" w:hAnsi="Arial"/>
          <w:sz w:val="18"/>
          <w:szCs w:val="18"/>
          <w:color w:val="auto"/>
        </w:rPr>
        <w:t>62.1% (2)</w:t>
      </w:r>
    </w:p>
    <w:p>
      <w:pPr>
        <w:spacing w:after="0" w:line="36" w:lineRule="exact"/>
        <w:rPr>
          <w:rFonts w:ascii="Arial" w:cs="Arial" w:eastAsia="Arial" w:hAnsi="Arial"/>
          <w:sz w:val="18"/>
          <w:szCs w:val="18"/>
          <w:color w:val="auto"/>
        </w:rPr>
      </w:pPr>
    </w:p>
    <w:p>
      <w:pPr>
        <w:ind w:left="544" w:hanging="387"/>
        <w:spacing w:after="0"/>
        <w:tabs>
          <w:tab w:leader="none" w:pos="544" w:val="left"/>
        </w:tabs>
        <w:numPr>
          <w:ilvl w:val="1"/>
          <w:numId w:val="9"/>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52" w:lineRule="exact"/>
        <w:rPr>
          <w:rFonts w:ascii="Arial" w:cs="Arial" w:eastAsia="Arial" w:hAnsi="Arial"/>
          <w:sz w:val="18"/>
          <w:szCs w:val="18"/>
          <w:color w:val="auto"/>
        </w:rPr>
      </w:pPr>
    </w:p>
    <w:p>
      <w:pPr>
        <w:ind w:left="544"/>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79" w:lineRule="exact"/>
        <w:rPr>
          <w:rFonts w:ascii="Arial" w:cs="Arial" w:eastAsia="Arial" w:hAnsi="Arial"/>
          <w:sz w:val="18"/>
          <w:szCs w:val="18"/>
          <w:color w:val="auto"/>
        </w:rPr>
      </w:pPr>
    </w:p>
    <w:p>
      <w:pPr>
        <w:ind w:left="424" w:hanging="424"/>
        <w:spacing w:after="0" w:line="283" w:lineRule="auto"/>
        <w:tabs>
          <w:tab w:leader="none" w:pos="424" w:val="left"/>
        </w:tabs>
        <w:numPr>
          <w:ilvl w:val="0"/>
          <w:numId w:val="10"/>
        </w:numPr>
        <w:rPr>
          <w:rFonts w:ascii="Arial" w:cs="Arial" w:eastAsia="Arial" w:hAnsi="Arial"/>
          <w:sz w:val="16"/>
          <w:szCs w:val="16"/>
          <w:color w:val="auto"/>
        </w:rPr>
      </w:pPr>
      <w:r>
        <w:rPr>
          <w:rFonts w:ascii="Arial" w:cs="Arial" w:eastAsia="Arial" w:hAnsi="Arial"/>
          <w:sz w:val="16"/>
          <w:szCs w:val="16"/>
          <w:color w:val="auto"/>
        </w:rPr>
        <w:t>As more fully described in Item 4 of this Amendment No. 1 to Schedule 13G, the GTCR Investors are party to a Stockholders Agreement with the Warburg Pincus Investors and certain other holders of Common Stock of the Issuer. The GTCR Investors, together with the Warburg Pincus Investors, hold an aggregate total of 175,695,524 shares of Common Stock of the Issuer (approximately 62.1% of the outstanding shares of Common Stock of the Issuer), of which 105,417,315 shares of Common Stock are publicly reported as being owned by the Warburg Pincus Investors in such entities’ Form 4, filed with the Commission on March 24, 2021. Although the GTCR Reporting Persons may be deemed to beneficially own the Common Stock held as of record by the Warburg Pincus Investors as a result of the Stockholders Agreement, each GTCR Reporting Person expressly disclaims beneficial ownership (within the meaning of Rule 13d-3 of the Exchange Act) with respect to any shares of Common Stock other than the shares of Common Stock of the Issuer owned of record by such GTCR Reporting Person. The percentages used herein have been determined in accordance with footnote 2 below. Capitalized terms used herein are defined in Items 2(a) or 4 below.</w:t>
      </w:r>
    </w:p>
    <w:p>
      <w:pPr>
        <w:spacing w:after="0" w:line="5" w:lineRule="exact"/>
        <w:rPr>
          <w:rFonts w:ascii="Arial" w:cs="Arial" w:eastAsia="Arial" w:hAnsi="Arial"/>
          <w:sz w:val="16"/>
          <w:szCs w:val="16"/>
          <w:color w:val="auto"/>
        </w:rPr>
      </w:pPr>
    </w:p>
    <w:p>
      <w:pPr>
        <w:ind w:left="424" w:right="200" w:hanging="424"/>
        <w:spacing w:after="0" w:line="260" w:lineRule="auto"/>
        <w:tabs>
          <w:tab w:leader="none" w:pos="424" w:val="left"/>
        </w:tabs>
        <w:numPr>
          <w:ilvl w:val="0"/>
          <w:numId w:val="10"/>
        </w:numPr>
        <w:rPr>
          <w:rFonts w:ascii="Arial" w:cs="Arial" w:eastAsia="Arial" w:hAnsi="Arial"/>
          <w:sz w:val="18"/>
          <w:szCs w:val="18"/>
          <w:color w:val="auto"/>
        </w:rPr>
      </w:pPr>
      <w:r>
        <w:rPr>
          <w:rFonts w:ascii="Arial" w:cs="Arial" w:eastAsia="Arial" w:hAnsi="Arial"/>
          <w:sz w:val="18"/>
          <w:szCs w:val="18"/>
          <w:color w:val="auto"/>
        </w:rPr>
        <w:t>Calculated based on 282,916,909 shares of Common Stock outstanding as of November 3, 2021 as reported on the Issuer’s Form 10-Q, filed on November 10, 2021.</w:t>
      </w:r>
    </w:p>
    <w:p>
      <w:pPr>
        <w:sectPr>
          <w:pgSz w:w="11900" w:h="16838" w:orient="portrait"/>
          <w:cols w:equalWidth="0" w:num="1">
            <w:col w:w="10964"/>
          </w:cols>
          <w:pgMar w:left="436" w:top="287" w:right="499" w:bottom="1440" w:gutter="0" w:footer="0" w:header="0"/>
        </w:sectPr>
      </w:pPr>
    </w:p>
    <w:bookmarkStart w:id="3" w:name="page4"/>
    <w:bookmarkEnd w:id="3"/>
    <w:p>
      <w:pPr>
        <w:ind w:left="504" w:hanging="257"/>
        <w:spacing w:after="0"/>
        <w:tabs>
          <w:tab w:leader="none" w:pos="504" w:val="left"/>
        </w:tabs>
        <w:numPr>
          <w:ilvl w:val="0"/>
          <w:numId w:val="1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Names of Reporting Persons</w:t>
      </w:r>
    </w:p>
    <w:p>
      <w:pPr>
        <w:spacing w:after="0" w:line="252" w:lineRule="exact"/>
        <w:rPr>
          <w:rFonts w:ascii="Arial" w:cs="Arial" w:eastAsia="Arial" w:hAnsi="Arial"/>
          <w:sz w:val="18"/>
          <w:szCs w:val="18"/>
          <w:color w:val="auto"/>
        </w:rPr>
      </w:pPr>
    </w:p>
    <w:p>
      <w:pPr>
        <w:ind w:left="504"/>
        <w:spacing w:after="0"/>
        <w:rPr>
          <w:rFonts w:ascii="Arial" w:cs="Arial" w:eastAsia="Arial" w:hAnsi="Arial"/>
          <w:sz w:val="18"/>
          <w:szCs w:val="18"/>
          <w:color w:val="auto"/>
        </w:rPr>
      </w:pPr>
      <w:r>
        <w:rPr>
          <w:rFonts w:ascii="Arial" w:cs="Arial" w:eastAsia="Arial" w:hAnsi="Arial"/>
          <w:sz w:val="18"/>
          <w:szCs w:val="18"/>
          <w:color w:val="auto"/>
        </w:rPr>
        <w:t>GTCR FUND XI/C LP</w:t>
      </w:r>
    </w:p>
    <w:p>
      <w:pPr>
        <w:spacing w:after="0" w:line="36" w:lineRule="exact"/>
        <w:rPr>
          <w:rFonts w:ascii="Arial" w:cs="Arial" w:eastAsia="Arial" w:hAnsi="Arial"/>
          <w:sz w:val="18"/>
          <w:szCs w:val="18"/>
          <w:color w:val="auto"/>
        </w:rPr>
      </w:pPr>
    </w:p>
    <w:p>
      <w:pPr>
        <w:ind w:left="504" w:hanging="257"/>
        <w:spacing w:after="0"/>
        <w:tabs>
          <w:tab w:leader="none" w:pos="504"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-575945</wp:posOffset>
            </wp:positionV>
            <wp:extent cx="6720840" cy="52203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720840" cy="5220335"/>
                    </a:xfrm>
                    <a:prstGeom prst="rect">
                      <a:avLst/>
                    </a:prstGeom>
                    <a:noFill/>
                  </pic:spPr>
                </pic:pic>
              </a:graphicData>
            </a:graphic>
          </wp:anchor>
        </w:drawing>
      </w:r>
    </w:p>
    <w:p>
      <w:pPr>
        <w:ind w:left="504"/>
        <w:spacing w:after="0" w:line="205" w:lineRule="exact"/>
        <w:tabs>
          <w:tab w:leader="none" w:pos="1304"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504" w:hanging="257"/>
        <w:spacing w:after="0"/>
        <w:tabs>
          <w:tab w:leader="none" w:pos="504"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504" w:right="7820" w:hanging="257"/>
        <w:spacing w:after="0" w:line="406" w:lineRule="auto"/>
        <w:tabs>
          <w:tab w:leader="none" w:pos="504" w:val="left"/>
        </w:tabs>
        <w:numPr>
          <w:ilvl w:val="0"/>
          <w:numId w:val="12"/>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1" w:lineRule="exact"/>
        <w:rPr>
          <w:rFonts w:ascii="Arial" w:cs="Arial" w:eastAsia="Arial" w:hAnsi="Arial"/>
          <w:sz w:val="18"/>
          <w:szCs w:val="18"/>
          <w:color w:val="auto"/>
        </w:rPr>
      </w:pPr>
    </w:p>
    <w:p>
      <w:pPr>
        <w:ind w:left="1464" w:hanging="330"/>
        <w:spacing w:after="0"/>
        <w:tabs>
          <w:tab w:leader="none" w:pos="1464" w:val="left"/>
        </w:tabs>
        <w:numPr>
          <w:ilvl w:val="1"/>
          <w:numId w:val="12"/>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52" w:lineRule="exact"/>
        <w:rPr>
          <w:sz w:val="20"/>
          <w:szCs w:val="20"/>
          <w:color w:val="auto"/>
        </w:rPr>
      </w:pPr>
    </w:p>
    <w:tbl>
      <w:tblPr>
        <w:tblLayout w:type="fixed"/>
        <w:tblInd w:w="164" w:type="dxa"/>
        <w:tblCellMar>
          <w:top w:w="0" w:type="dxa"/>
          <w:left w:w="0" w:type="dxa"/>
          <w:bottom w:w="0" w:type="dxa"/>
          <w:right w:w="0" w:type="dxa"/>
        </w:tblCellMar>
      </w:tblPr>
      <w:tr>
        <w:trPr>
          <w:trHeight w:val="244"/>
        </w:trPr>
        <w:tc>
          <w:tcPr>
            <w:tcW w:w="86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6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2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920" w:type="dxa"/>
            <w:vAlign w:val="bottom"/>
            <w:gridSpan w:val="2"/>
          </w:tcPr>
          <w:p>
            <w:pPr>
              <w:jc w:val="center"/>
              <w:ind w:right="80"/>
              <w:spacing w:after="0"/>
              <w:rPr>
                <w:sz w:val="20"/>
                <w:szCs w:val="20"/>
                <w:color w:val="auto"/>
              </w:rPr>
            </w:pPr>
            <w:r>
              <w:rPr>
                <w:rFonts w:ascii="Arial" w:cs="Arial" w:eastAsia="Arial" w:hAnsi="Arial"/>
                <w:sz w:val="18"/>
                <w:szCs w:val="18"/>
                <w:color w:val="auto"/>
                <w:w w:val="84"/>
              </w:rPr>
              <w:t>Shares</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9220" w:type="dxa"/>
            <w:vAlign w:val="bottom"/>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920" w:type="dxa"/>
            <w:vAlign w:val="bottom"/>
            <w:gridSpan w:val="2"/>
          </w:tcPr>
          <w:p>
            <w:pPr>
              <w:jc w:val="center"/>
              <w:ind w:right="40"/>
              <w:spacing w:after="0"/>
              <w:rPr>
                <w:sz w:val="20"/>
                <w:szCs w:val="20"/>
                <w:color w:val="auto"/>
              </w:rPr>
            </w:pPr>
            <w:r>
              <w:rPr>
                <w:rFonts w:ascii="Arial" w:cs="Arial" w:eastAsia="Arial" w:hAnsi="Arial"/>
                <w:sz w:val="18"/>
                <w:szCs w:val="18"/>
                <w:color w:val="auto"/>
                <w:w w:val="96"/>
              </w:rPr>
              <w:t>Beneficially</w:t>
            </w:r>
          </w:p>
        </w:tc>
        <w:tc>
          <w:tcPr>
            <w:tcW w:w="280" w:type="dxa"/>
            <w:vAlign w:val="bottom"/>
          </w:tcPr>
          <w:p>
            <w:pPr>
              <w:spacing w:after="0"/>
              <w:rPr>
                <w:sz w:val="18"/>
                <w:szCs w:val="18"/>
                <w:color w:val="auto"/>
              </w:rPr>
            </w:pPr>
          </w:p>
        </w:tc>
        <w:tc>
          <w:tcPr>
            <w:tcW w:w="9220" w:type="dxa"/>
            <w:vAlign w:val="bottom"/>
            <w:vMerge w:val="restart"/>
          </w:tcPr>
          <w:p>
            <w:pPr>
              <w:ind w:left="100"/>
              <w:spacing w:after="0"/>
              <w:rPr>
                <w:sz w:val="20"/>
                <w:szCs w:val="20"/>
                <w:color w:val="auto"/>
              </w:rPr>
            </w:pPr>
            <w:r>
              <w:rPr>
                <w:rFonts w:ascii="Arial" w:cs="Arial" w:eastAsia="Arial" w:hAnsi="Arial"/>
                <w:sz w:val="18"/>
                <w:szCs w:val="18"/>
                <w:color w:val="auto"/>
              </w:rPr>
              <w:t>175,695,524 (1)</w:t>
            </w:r>
          </w:p>
        </w:tc>
        <w:tc>
          <w:tcPr>
            <w:tcW w:w="0" w:type="dxa"/>
            <w:vAlign w:val="bottom"/>
          </w:tcPr>
          <w:p>
            <w:pPr>
              <w:spacing w:after="0"/>
              <w:rPr>
                <w:sz w:val="1"/>
                <w:szCs w:val="1"/>
                <w:color w:val="auto"/>
              </w:rPr>
            </w:pPr>
          </w:p>
        </w:tc>
      </w:tr>
      <w:tr>
        <w:trPr>
          <w:trHeight w:val="230"/>
        </w:trPr>
        <w:tc>
          <w:tcPr>
            <w:tcW w:w="920" w:type="dxa"/>
            <w:vAlign w:val="bottom"/>
            <w:gridSpan w:val="2"/>
          </w:tcPr>
          <w:p>
            <w:pPr>
              <w:jc w:val="center"/>
              <w:ind w:right="60"/>
              <w:spacing w:after="0"/>
              <w:rPr>
                <w:sz w:val="20"/>
                <w:szCs w:val="20"/>
                <w:color w:val="auto"/>
              </w:rPr>
            </w:pPr>
            <w:r>
              <w:rPr>
                <w:rFonts w:ascii="Arial" w:cs="Arial" w:eastAsia="Arial" w:hAnsi="Arial"/>
                <w:sz w:val="18"/>
                <w:szCs w:val="18"/>
                <w:color w:val="auto"/>
                <w:w w:val="93"/>
              </w:rPr>
              <w:t>Owned By</w:t>
            </w:r>
          </w:p>
        </w:tc>
        <w:tc>
          <w:tcPr>
            <w:tcW w:w="280" w:type="dxa"/>
            <w:vAlign w:val="bottom"/>
          </w:tcPr>
          <w:p>
            <w:pPr>
              <w:spacing w:after="0"/>
              <w:rPr>
                <w:sz w:val="20"/>
                <w:szCs w:val="20"/>
                <w:color w:val="auto"/>
              </w:rPr>
            </w:pPr>
          </w:p>
        </w:tc>
        <w:tc>
          <w:tcPr>
            <w:tcW w:w="92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860" w:type="dxa"/>
            <w:vAlign w:val="bottom"/>
          </w:tcPr>
          <w:p>
            <w:pPr>
              <w:jc w:val="center"/>
              <w:spacing w:after="0" w:line="182" w:lineRule="exact"/>
              <w:rPr>
                <w:sz w:val="20"/>
                <w:szCs w:val="20"/>
                <w:color w:val="auto"/>
              </w:rPr>
            </w:pPr>
            <w:r>
              <w:rPr>
                <w:rFonts w:ascii="Arial" w:cs="Arial" w:eastAsia="Arial" w:hAnsi="Arial"/>
                <w:sz w:val="18"/>
                <w:szCs w:val="18"/>
                <w:color w:val="auto"/>
                <w:w w:val="87"/>
              </w:rPr>
              <w:t>Each</w:t>
            </w:r>
          </w:p>
        </w:tc>
        <w:tc>
          <w:tcPr>
            <w:tcW w:w="6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jc w:val="right"/>
              <w:ind w:right="10"/>
              <w:spacing w:after="0" w:line="182" w:lineRule="exact"/>
              <w:rPr>
                <w:sz w:val="20"/>
                <w:szCs w:val="20"/>
                <w:color w:val="auto"/>
              </w:rPr>
            </w:pPr>
            <w:r>
              <w:rPr>
                <w:rFonts w:ascii="Arial" w:cs="Arial" w:eastAsia="Arial" w:hAnsi="Arial"/>
                <w:sz w:val="18"/>
                <w:szCs w:val="18"/>
                <w:color w:val="auto"/>
              </w:rPr>
              <w:t>7.</w:t>
            </w:r>
          </w:p>
        </w:tc>
        <w:tc>
          <w:tcPr>
            <w:tcW w:w="9220" w:type="dxa"/>
            <w:vAlign w:val="bottom"/>
            <w:tcBorders>
              <w:top w:val="single" w:sz="8" w:color="auto"/>
            </w:tcBorders>
          </w:tcPr>
          <w:p>
            <w:pPr>
              <w:ind w:left="10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92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Reporting</w:t>
            </w:r>
          </w:p>
        </w:tc>
        <w:tc>
          <w:tcPr>
            <w:tcW w:w="280" w:type="dxa"/>
            <w:vAlign w:val="bottom"/>
          </w:tcPr>
          <w:p>
            <w:pPr>
              <w:spacing w:after="0"/>
              <w:rPr>
                <w:sz w:val="18"/>
                <w:szCs w:val="18"/>
                <w:color w:val="auto"/>
              </w:rPr>
            </w:pPr>
          </w:p>
        </w:tc>
        <w:tc>
          <w:tcPr>
            <w:tcW w:w="9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920" w:type="dxa"/>
            <w:vAlign w:val="bottom"/>
            <w:gridSpan w:val="2"/>
          </w:tcPr>
          <w:p>
            <w:pPr>
              <w:jc w:val="center"/>
              <w:ind w:right="60"/>
              <w:spacing w:after="0"/>
              <w:rPr>
                <w:sz w:val="20"/>
                <w:szCs w:val="20"/>
                <w:color w:val="auto"/>
              </w:rPr>
            </w:pPr>
            <w:r>
              <w:rPr>
                <w:rFonts w:ascii="Arial" w:cs="Arial" w:eastAsia="Arial" w:hAnsi="Arial"/>
                <w:sz w:val="18"/>
                <w:szCs w:val="18"/>
                <w:color w:val="auto"/>
                <w:w w:val="87"/>
              </w:rPr>
              <w:t>Person</w:t>
            </w:r>
          </w:p>
        </w:tc>
        <w:tc>
          <w:tcPr>
            <w:tcW w:w="280" w:type="dxa"/>
            <w:vAlign w:val="bottom"/>
          </w:tcPr>
          <w:p>
            <w:pPr>
              <w:spacing w:after="0"/>
              <w:rPr>
                <w:sz w:val="18"/>
                <w:szCs w:val="18"/>
                <w:color w:val="auto"/>
              </w:rPr>
            </w:pPr>
          </w:p>
        </w:tc>
        <w:tc>
          <w:tcPr>
            <w:tcW w:w="9220" w:type="dxa"/>
            <w:vAlign w:val="bottom"/>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860" w:type="dxa"/>
            <w:vAlign w:val="bottom"/>
            <w:vMerge w:val="restart"/>
          </w:tcPr>
          <w:p>
            <w:pPr>
              <w:jc w:val="center"/>
              <w:spacing w:after="0"/>
              <w:rPr>
                <w:sz w:val="20"/>
                <w:szCs w:val="20"/>
                <w:color w:val="auto"/>
              </w:rPr>
            </w:pPr>
            <w:r>
              <w:rPr>
                <w:rFonts w:ascii="Arial" w:cs="Arial" w:eastAsia="Arial" w:hAnsi="Arial"/>
                <w:sz w:val="18"/>
                <w:szCs w:val="18"/>
                <w:color w:val="auto"/>
                <w:w w:val="94"/>
              </w:rPr>
              <w:t>With</w:t>
            </w:r>
          </w:p>
        </w:tc>
        <w:tc>
          <w:tcPr>
            <w:tcW w:w="6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2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8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vMerge w:val="restart"/>
          </w:tcPr>
          <w:p>
            <w:pPr>
              <w:jc w:val="right"/>
              <w:ind w:right="10"/>
              <w:spacing w:after="0"/>
              <w:rPr>
                <w:sz w:val="20"/>
                <w:szCs w:val="20"/>
                <w:color w:val="auto"/>
              </w:rPr>
            </w:pPr>
            <w:r>
              <w:rPr>
                <w:rFonts w:ascii="Arial" w:cs="Arial" w:eastAsia="Arial" w:hAnsi="Arial"/>
                <w:sz w:val="18"/>
                <w:szCs w:val="18"/>
                <w:color w:val="auto"/>
              </w:rPr>
              <w:t>8.</w:t>
            </w:r>
          </w:p>
        </w:tc>
        <w:tc>
          <w:tcPr>
            <w:tcW w:w="9220" w:type="dxa"/>
            <w:vAlign w:val="bottom"/>
            <w:vMerge w:val="restart"/>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vMerge w:val="continue"/>
          </w:tcPr>
          <w:p>
            <w:pPr>
              <w:spacing w:after="0"/>
              <w:rPr>
                <w:sz w:val="7"/>
                <w:szCs w:val="7"/>
                <w:color w:val="auto"/>
              </w:rPr>
            </w:pPr>
          </w:p>
        </w:tc>
        <w:tc>
          <w:tcPr>
            <w:tcW w:w="92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1464"/>
        <w:spacing w:after="0"/>
        <w:rPr>
          <w:sz w:val="20"/>
          <w:szCs w:val="20"/>
          <w:color w:val="auto"/>
        </w:rPr>
      </w:pPr>
      <w:r>
        <w:rPr>
          <w:rFonts w:ascii="Arial" w:cs="Arial" w:eastAsia="Arial" w:hAnsi="Arial"/>
          <w:sz w:val="18"/>
          <w:szCs w:val="18"/>
          <w:color w:val="auto"/>
        </w:rPr>
        <w:t>14,052,901</w:t>
      </w:r>
    </w:p>
    <w:p>
      <w:pPr>
        <w:spacing w:after="0" w:line="36" w:lineRule="exact"/>
        <w:rPr>
          <w:sz w:val="20"/>
          <w:szCs w:val="20"/>
          <w:color w:val="auto"/>
        </w:rPr>
      </w:pPr>
    </w:p>
    <w:p>
      <w:pPr>
        <w:ind w:left="544" w:right="5600" w:hanging="297"/>
        <w:spacing w:after="0" w:line="406" w:lineRule="auto"/>
        <w:tabs>
          <w:tab w:leader="none" w:pos="544" w:val="left"/>
        </w:tabs>
        <w:numPr>
          <w:ilvl w:val="1"/>
          <w:numId w:val="1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175,695,524</w:t>
      </w:r>
    </w:p>
    <w:p>
      <w:pPr>
        <w:spacing w:after="0" w:line="1" w:lineRule="exact"/>
        <w:rPr>
          <w:rFonts w:ascii="Arial" w:cs="Arial" w:eastAsia="Arial" w:hAnsi="Arial"/>
          <w:sz w:val="18"/>
          <w:szCs w:val="18"/>
          <w:color w:val="auto"/>
        </w:rPr>
      </w:pPr>
    </w:p>
    <w:p>
      <w:pPr>
        <w:ind w:left="544" w:hanging="387"/>
        <w:spacing w:after="0"/>
        <w:tabs>
          <w:tab w:leader="none" w:pos="544" w:val="left"/>
        </w:tabs>
        <w:numPr>
          <w:ilvl w:val="1"/>
          <w:numId w:val="13"/>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w:t>
      </w:r>
    </w:p>
    <w:p>
      <w:pPr>
        <w:spacing w:after="0" w:line="219" w:lineRule="exact"/>
        <w:rPr>
          <w:rFonts w:ascii="Arial" w:cs="Arial" w:eastAsia="Arial" w:hAnsi="Arial"/>
          <w:sz w:val="18"/>
          <w:szCs w:val="18"/>
          <w:color w:val="auto"/>
        </w:rPr>
      </w:pPr>
    </w:p>
    <w:p>
      <w:pPr>
        <w:ind w:left="54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544" w:hanging="387"/>
        <w:spacing w:after="0"/>
        <w:tabs>
          <w:tab w:leader="none" w:pos="544" w:val="left"/>
        </w:tabs>
        <w:numPr>
          <w:ilvl w:val="1"/>
          <w:numId w:val="13"/>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44" w:lineRule="exact"/>
        <w:rPr>
          <w:rFonts w:ascii="Arial" w:cs="Arial" w:eastAsia="Arial" w:hAnsi="Arial"/>
          <w:sz w:val="18"/>
          <w:szCs w:val="18"/>
          <w:color w:val="auto"/>
        </w:rPr>
      </w:pPr>
    </w:p>
    <w:p>
      <w:pPr>
        <w:ind w:left="544"/>
        <w:spacing w:after="0"/>
        <w:rPr>
          <w:rFonts w:ascii="Arial" w:cs="Arial" w:eastAsia="Arial" w:hAnsi="Arial"/>
          <w:sz w:val="18"/>
          <w:szCs w:val="18"/>
          <w:color w:val="auto"/>
        </w:rPr>
      </w:pPr>
      <w:r>
        <w:rPr>
          <w:rFonts w:ascii="Arial" w:cs="Arial" w:eastAsia="Arial" w:hAnsi="Arial"/>
          <w:sz w:val="18"/>
          <w:szCs w:val="18"/>
          <w:color w:val="auto"/>
        </w:rPr>
        <w:t>62.1% (2)</w:t>
      </w:r>
    </w:p>
    <w:p>
      <w:pPr>
        <w:spacing w:after="0" w:line="36" w:lineRule="exact"/>
        <w:rPr>
          <w:rFonts w:ascii="Arial" w:cs="Arial" w:eastAsia="Arial" w:hAnsi="Arial"/>
          <w:sz w:val="18"/>
          <w:szCs w:val="18"/>
          <w:color w:val="auto"/>
        </w:rPr>
      </w:pPr>
    </w:p>
    <w:p>
      <w:pPr>
        <w:ind w:left="544" w:hanging="387"/>
        <w:spacing w:after="0"/>
        <w:tabs>
          <w:tab w:leader="none" w:pos="544" w:val="left"/>
        </w:tabs>
        <w:numPr>
          <w:ilvl w:val="1"/>
          <w:numId w:val="13"/>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52" w:lineRule="exact"/>
        <w:rPr>
          <w:rFonts w:ascii="Arial" w:cs="Arial" w:eastAsia="Arial" w:hAnsi="Arial"/>
          <w:sz w:val="18"/>
          <w:szCs w:val="18"/>
          <w:color w:val="auto"/>
        </w:rPr>
      </w:pPr>
    </w:p>
    <w:p>
      <w:pPr>
        <w:ind w:left="544"/>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79" w:lineRule="exact"/>
        <w:rPr>
          <w:rFonts w:ascii="Arial" w:cs="Arial" w:eastAsia="Arial" w:hAnsi="Arial"/>
          <w:sz w:val="18"/>
          <w:szCs w:val="18"/>
          <w:color w:val="auto"/>
        </w:rPr>
      </w:pPr>
    </w:p>
    <w:p>
      <w:pPr>
        <w:ind w:left="424" w:hanging="424"/>
        <w:spacing w:after="0" w:line="283" w:lineRule="auto"/>
        <w:tabs>
          <w:tab w:leader="none" w:pos="424" w:val="left"/>
        </w:tabs>
        <w:numPr>
          <w:ilvl w:val="0"/>
          <w:numId w:val="14"/>
        </w:numPr>
        <w:rPr>
          <w:rFonts w:ascii="Arial" w:cs="Arial" w:eastAsia="Arial" w:hAnsi="Arial"/>
          <w:sz w:val="16"/>
          <w:szCs w:val="16"/>
          <w:color w:val="auto"/>
        </w:rPr>
      </w:pPr>
      <w:r>
        <w:rPr>
          <w:rFonts w:ascii="Arial" w:cs="Arial" w:eastAsia="Arial" w:hAnsi="Arial"/>
          <w:sz w:val="16"/>
          <w:szCs w:val="16"/>
          <w:color w:val="auto"/>
        </w:rPr>
        <w:t>As more fully described in Item 4 of this Amendment No. 1 to Schedule 13G, the GTCR Investors are party to a Stockholders Agreement with the Warburg Pincus Investors and certain other holders of Common Stock of the Issuer. The GTCR Investors, together with the Warburg Pincus Investors, hold an aggregate total of 175,695,524 shares of Common Stock of the Issuer (approximately 62.1% of the outstanding shares of Common Stock of the Issuer), of which 105,417,315 shares of Common Stock are publicly reported as being owned by the Warburg Pincus Investors in such entities’ Form 4, filed with the Commission on March 24, 2021. Although the GTCR Reporting Persons may be deemed to beneficially own the Common Stock held as of record by the Warburg Pincus Investors as a result of the Stockholders Agreement, each GTCR Reporting Person expressly disclaims beneficial ownership (within the meaning of Rule 13d-3 of the Exchange Act) with respect to any shares of Common Stock other than the shares of Common Stock of the Issuer owned of record by such GTCR Reporting Person. The percentages used herein have been determined in accordance with footnote 2 below. Capitalized terms used herein are defined in Items 2(a) or 4 below.</w:t>
      </w:r>
    </w:p>
    <w:p>
      <w:pPr>
        <w:spacing w:after="0" w:line="5" w:lineRule="exact"/>
        <w:rPr>
          <w:rFonts w:ascii="Arial" w:cs="Arial" w:eastAsia="Arial" w:hAnsi="Arial"/>
          <w:sz w:val="16"/>
          <w:szCs w:val="16"/>
          <w:color w:val="auto"/>
        </w:rPr>
      </w:pPr>
    </w:p>
    <w:p>
      <w:pPr>
        <w:ind w:left="424" w:right="200" w:hanging="424"/>
        <w:spacing w:after="0" w:line="260" w:lineRule="auto"/>
        <w:tabs>
          <w:tab w:leader="none" w:pos="424" w:val="left"/>
        </w:tabs>
        <w:numPr>
          <w:ilvl w:val="0"/>
          <w:numId w:val="14"/>
        </w:numPr>
        <w:rPr>
          <w:rFonts w:ascii="Arial" w:cs="Arial" w:eastAsia="Arial" w:hAnsi="Arial"/>
          <w:sz w:val="18"/>
          <w:szCs w:val="18"/>
          <w:color w:val="auto"/>
        </w:rPr>
      </w:pPr>
      <w:r>
        <w:rPr>
          <w:rFonts w:ascii="Arial" w:cs="Arial" w:eastAsia="Arial" w:hAnsi="Arial"/>
          <w:sz w:val="18"/>
          <w:szCs w:val="18"/>
          <w:color w:val="auto"/>
        </w:rPr>
        <w:t>Calculated based on 282,916,909 shares of Common Stock outstanding as of November 3, 2021 as reported on the Issuer’s Form 10-Q, filed on November 10, 2021.</w:t>
      </w:r>
    </w:p>
    <w:p>
      <w:pPr>
        <w:sectPr>
          <w:pgSz w:w="11900" w:h="16838" w:orient="portrait"/>
          <w:cols w:equalWidth="0" w:num="1">
            <w:col w:w="10964"/>
          </w:cols>
          <w:pgMar w:left="436" w:top="287" w:right="499" w:bottom="1440" w:gutter="0" w:footer="0" w:header="0"/>
        </w:sectPr>
      </w:pPr>
    </w:p>
    <w:bookmarkStart w:id="4" w:name="page5"/>
    <w:bookmarkEnd w:id="4"/>
    <w:p>
      <w:pPr>
        <w:ind w:left="504" w:hanging="257"/>
        <w:spacing w:after="0"/>
        <w:tabs>
          <w:tab w:leader="none" w:pos="504" w:val="left"/>
        </w:tabs>
        <w:numPr>
          <w:ilvl w:val="0"/>
          <w:numId w:val="1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Names of Reporting Persons</w:t>
      </w:r>
    </w:p>
    <w:p>
      <w:pPr>
        <w:spacing w:after="0" w:line="252" w:lineRule="exact"/>
        <w:rPr>
          <w:rFonts w:ascii="Arial" w:cs="Arial" w:eastAsia="Arial" w:hAnsi="Arial"/>
          <w:sz w:val="18"/>
          <w:szCs w:val="18"/>
          <w:color w:val="auto"/>
        </w:rPr>
      </w:pPr>
    </w:p>
    <w:p>
      <w:pPr>
        <w:ind w:left="504"/>
        <w:spacing w:after="0"/>
        <w:rPr>
          <w:rFonts w:ascii="Arial" w:cs="Arial" w:eastAsia="Arial" w:hAnsi="Arial"/>
          <w:sz w:val="18"/>
          <w:szCs w:val="18"/>
          <w:color w:val="auto"/>
        </w:rPr>
      </w:pPr>
      <w:r>
        <w:rPr>
          <w:rFonts w:ascii="Arial" w:cs="Arial" w:eastAsia="Arial" w:hAnsi="Arial"/>
          <w:sz w:val="18"/>
          <w:szCs w:val="18"/>
          <w:color w:val="auto"/>
        </w:rPr>
        <w:t>GTCR CO-INVEST XI LP</w:t>
      </w:r>
    </w:p>
    <w:p>
      <w:pPr>
        <w:spacing w:after="0" w:line="36" w:lineRule="exact"/>
        <w:rPr>
          <w:rFonts w:ascii="Arial" w:cs="Arial" w:eastAsia="Arial" w:hAnsi="Arial"/>
          <w:sz w:val="18"/>
          <w:szCs w:val="18"/>
          <w:color w:val="auto"/>
        </w:rPr>
      </w:pPr>
    </w:p>
    <w:p>
      <w:pPr>
        <w:ind w:left="504" w:hanging="257"/>
        <w:spacing w:after="0"/>
        <w:tabs>
          <w:tab w:leader="none" w:pos="504"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-575945</wp:posOffset>
            </wp:positionV>
            <wp:extent cx="6720840" cy="52203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720840" cy="5220335"/>
                    </a:xfrm>
                    <a:prstGeom prst="rect">
                      <a:avLst/>
                    </a:prstGeom>
                    <a:noFill/>
                  </pic:spPr>
                </pic:pic>
              </a:graphicData>
            </a:graphic>
          </wp:anchor>
        </w:drawing>
      </w:r>
    </w:p>
    <w:p>
      <w:pPr>
        <w:ind w:left="504"/>
        <w:spacing w:after="0" w:line="205" w:lineRule="exact"/>
        <w:tabs>
          <w:tab w:leader="none" w:pos="1304"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504" w:hanging="257"/>
        <w:spacing w:after="0"/>
        <w:tabs>
          <w:tab w:leader="none" w:pos="504"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504" w:right="7820" w:hanging="257"/>
        <w:spacing w:after="0" w:line="406" w:lineRule="auto"/>
        <w:tabs>
          <w:tab w:leader="none" w:pos="504" w:val="left"/>
        </w:tabs>
        <w:numPr>
          <w:ilvl w:val="0"/>
          <w:numId w:val="16"/>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1" w:lineRule="exact"/>
        <w:rPr>
          <w:rFonts w:ascii="Arial" w:cs="Arial" w:eastAsia="Arial" w:hAnsi="Arial"/>
          <w:sz w:val="18"/>
          <w:szCs w:val="18"/>
          <w:color w:val="auto"/>
        </w:rPr>
      </w:pPr>
    </w:p>
    <w:p>
      <w:pPr>
        <w:ind w:left="1464" w:hanging="330"/>
        <w:spacing w:after="0"/>
        <w:tabs>
          <w:tab w:leader="none" w:pos="1464" w:val="left"/>
        </w:tabs>
        <w:numPr>
          <w:ilvl w:val="1"/>
          <w:numId w:val="16"/>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52" w:lineRule="exact"/>
        <w:rPr>
          <w:sz w:val="20"/>
          <w:szCs w:val="20"/>
          <w:color w:val="auto"/>
        </w:rPr>
      </w:pPr>
    </w:p>
    <w:tbl>
      <w:tblPr>
        <w:tblLayout w:type="fixed"/>
        <w:tblInd w:w="164" w:type="dxa"/>
        <w:tblCellMar>
          <w:top w:w="0" w:type="dxa"/>
          <w:left w:w="0" w:type="dxa"/>
          <w:bottom w:w="0" w:type="dxa"/>
          <w:right w:w="0" w:type="dxa"/>
        </w:tblCellMar>
      </w:tblPr>
      <w:tr>
        <w:trPr>
          <w:trHeight w:val="244"/>
        </w:trPr>
        <w:tc>
          <w:tcPr>
            <w:tcW w:w="86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6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2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920" w:type="dxa"/>
            <w:vAlign w:val="bottom"/>
            <w:gridSpan w:val="2"/>
          </w:tcPr>
          <w:p>
            <w:pPr>
              <w:jc w:val="center"/>
              <w:ind w:right="80"/>
              <w:spacing w:after="0"/>
              <w:rPr>
                <w:sz w:val="20"/>
                <w:szCs w:val="20"/>
                <w:color w:val="auto"/>
              </w:rPr>
            </w:pPr>
            <w:r>
              <w:rPr>
                <w:rFonts w:ascii="Arial" w:cs="Arial" w:eastAsia="Arial" w:hAnsi="Arial"/>
                <w:sz w:val="18"/>
                <w:szCs w:val="18"/>
                <w:color w:val="auto"/>
                <w:w w:val="84"/>
              </w:rPr>
              <w:t>Shares</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9220" w:type="dxa"/>
            <w:vAlign w:val="bottom"/>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920" w:type="dxa"/>
            <w:vAlign w:val="bottom"/>
            <w:gridSpan w:val="2"/>
          </w:tcPr>
          <w:p>
            <w:pPr>
              <w:jc w:val="center"/>
              <w:ind w:right="40"/>
              <w:spacing w:after="0"/>
              <w:rPr>
                <w:sz w:val="20"/>
                <w:szCs w:val="20"/>
                <w:color w:val="auto"/>
              </w:rPr>
            </w:pPr>
            <w:r>
              <w:rPr>
                <w:rFonts w:ascii="Arial" w:cs="Arial" w:eastAsia="Arial" w:hAnsi="Arial"/>
                <w:sz w:val="18"/>
                <w:szCs w:val="18"/>
                <w:color w:val="auto"/>
                <w:w w:val="96"/>
              </w:rPr>
              <w:t>Beneficially</w:t>
            </w:r>
          </w:p>
        </w:tc>
        <w:tc>
          <w:tcPr>
            <w:tcW w:w="280" w:type="dxa"/>
            <w:vAlign w:val="bottom"/>
          </w:tcPr>
          <w:p>
            <w:pPr>
              <w:spacing w:after="0"/>
              <w:rPr>
                <w:sz w:val="18"/>
                <w:szCs w:val="18"/>
                <w:color w:val="auto"/>
              </w:rPr>
            </w:pPr>
          </w:p>
        </w:tc>
        <w:tc>
          <w:tcPr>
            <w:tcW w:w="9220" w:type="dxa"/>
            <w:vAlign w:val="bottom"/>
            <w:vMerge w:val="restart"/>
          </w:tcPr>
          <w:p>
            <w:pPr>
              <w:ind w:left="100"/>
              <w:spacing w:after="0"/>
              <w:rPr>
                <w:sz w:val="20"/>
                <w:szCs w:val="20"/>
                <w:color w:val="auto"/>
              </w:rPr>
            </w:pPr>
            <w:r>
              <w:rPr>
                <w:rFonts w:ascii="Arial" w:cs="Arial" w:eastAsia="Arial" w:hAnsi="Arial"/>
                <w:sz w:val="18"/>
                <w:szCs w:val="18"/>
                <w:color w:val="auto"/>
              </w:rPr>
              <w:t>175,695,524 (1)</w:t>
            </w:r>
          </w:p>
        </w:tc>
        <w:tc>
          <w:tcPr>
            <w:tcW w:w="0" w:type="dxa"/>
            <w:vAlign w:val="bottom"/>
          </w:tcPr>
          <w:p>
            <w:pPr>
              <w:spacing w:after="0"/>
              <w:rPr>
                <w:sz w:val="1"/>
                <w:szCs w:val="1"/>
                <w:color w:val="auto"/>
              </w:rPr>
            </w:pPr>
          </w:p>
        </w:tc>
      </w:tr>
      <w:tr>
        <w:trPr>
          <w:trHeight w:val="230"/>
        </w:trPr>
        <w:tc>
          <w:tcPr>
            <w:tcW w:w="920" w:type="dxa"/>
            <w:vAlign w:val="bottom"/>
            <w:gridSpan w:val="2"/>
          </w:tcPr>
          <w:p>
            <w:pPr>
              <w:jc w:val="center"/>
              <w:ind w:right="60"/>
              <w:spacing w:after="0"/>
              <w:rPr>
                <w:sz w:val="20"/>
                <w:szCs w:val="20"/>
                <w:color w:val="auto"/>
              </w:rPr>
            </w:pPr>
            <w:r>
              <w:rPr>
                <w:rFonts w:ascii="Arial" w:cs="Arial" w:eastAsia="Arial" w:hAnsi="Arial"/>
                <w:sz w:val="18"/>
                <w:szCs w:val="18"/>
                <w:color w:val="auto"/>
                <w:w w:val="93"/>
              </w:rPr>
              <w:t>Owned By</w:t>
            </w:r>
          </w:p>
        </w:tc>
        <w:tc>
          <w:tcPr>
            <w:tcW w:w="280" w:type="dxa"/>
            <w:vAlign w:val="bottom"/>
          </w:tcPr>
          <w:p>
            <w:pPr>
              <w:spacing w:after="0"/>
              <w:rPr>
                <w:sz w:val="20"/>
                <w:szCs w:val="20"/>
                <w:color w:val="auto"/>
              </w:rPr>
            </w:pPr>
          </w:p>
        </w:tc>
        <w:tc>
          <w:tcPr>
            <w:tcW w:w="92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860" w:type="dxa"/>
            <w:vAlign w:val="bottom"/>
          </w:tcPr>
          <w:p>
            <w:pPr>
              <w:jc w:val="center"/>
              <w:spacing w:after="0" w:line="182" w:lineRule="exact"/>
              <w:rPr>
                <w:sz w:val="20"/>
                <w:szCs w:val="20"/>
                <w:color w:val="auto"/>
              </w:rPr>
            </w:pPr>
            <w:r>
              <w:rPr>
                <w:rFonts w:ascii="Arial" w:cs="Arial" w:eastAsia="Arial" w:hAnsi="Arial"/>
                <w:sz w:val="18"/>
                <w:szCs w:val="18"/>
                <w:color w:val="auto"/>
                <w:w w:val="87"/>
              </w:rPr>
              <w:t>Each</w:t>
            </w:r>
          </w:p>
        </w:tc>
        <w:tc>
          <w:tcPr>
            <w:tcW w:w="6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jc w:val="right"/>
              <w:ind w:right="10"/>
              <w:spacing w:after="0" w:line="182" w:lineRule="exact"/>
              <w:rPr>
                <w:sz w:val="20"/>
                <w:szCs w:val="20"/>
                <w:color w:val="auto"/>
              </w:rPr>
            </w:pPr>
            <w:r>
              <w:rPr>
                <w:rFonts w:ascii="Arial" w:cs="Arial" w:eastAsia="Arial" w:hAnsi="Arial"/>
                <w:sz w:val="18"/>
                <w:szCs w:val="18"/>
                <w:color w:val="auto"/>
              </w:rPr>
              <w:t>7.</w:t>
            </w:r>
          </w:p>
        </w:tc>
        <w:tc>
          <w:tcPr>
            <w:tcW w:w="9220" w:type="dxa"/>
            <w:vAlign w:val="bottom"/>
            <w:tcBorders>
              <w:top w:val="single" w:sz="8" w:color="auto"/>
            </w:tcBorders>
          </w:tcPr>
          <w:p>
            <w:pPr>
              <w:ind w:left="10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92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Reporting</w:t>
            </w:r>
          </w:p>
        </w:tc>
        <w:tc>
          <w:tcPr>
            <w:tcW w:w="280" w:type="dxa"/>
            <w:vAlign w:val="bottom"/>
          </w:tcPr>
          <w:p>
            <w:pPr>
              <w:spacing w:after="0"/>
              <w:rPr>
                <w:sz w:val="18"/>
                <w:szCs w:val="18"/>
                <w:color w:val="auto"/>
              </w:rPr>
            </w:pPr>
          </w:p>
        </w:tc>
        <w:tc>
          <w:tcPr>
            <w:tcW w:w="9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920" w:type="dxa"/>
            <w:vAlign w:val="bottom"/>
            <w:gridSpan w:val="2"/>
          </w:tcPr>
          <w:p>
            <w:pPr>
              <w:jc w:val="center"/>
              <w:ind w:right="60"/>
              <w:spacing w:after="0"/>
              <w:rPr>
                <w:sz w:val="20"/>
                <w:szCs w:val="20"/>
                <w:color w:val="auto"/>
              </w:rPr>
            </w:pPr>
            <w:r>
              <w:rPr>
                <w:rFonts w:ascii="Arial" w:cs="Arial" w:eastAsia="Arial" w:hAnsi="Arial"/>
                <w:sz w:val="18"/>
                <w:szCs w:val="18"/>
                <w:color w:val="auto"/>
                <w:w w:val="87"/>
              </w:rPr>
              <w:t>Person</w:t>
            </w:r>
          </w:p>
        </w:tc>
        <w:tc>
          <w:tcPr>
            <w:tcW w:w="280" w:type="dxa"/>
            <w:vAlign w:val="bottom"/>
          </w:tcPr>
          <w:p>
            <w:pPr>
              <w:spacing w:after="0"/>
              <w:rPr>
                <w:sz w:val="18"/>
                <w:szCs w:val="18"/>
                <w:color w:val="auto"/>
              </w:rPr>
            </w:pPr>
          </w:p>
        </w:tc>
        <w:tc>
          <w:tcPr>
            <w:tcW w:w="9220" w:type="dxa"/>
            <w:vAlign w:val="bottom"/>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860" w:type="dxa"/>
            <w:vAlign w:val="bottom"/>
            <w:vMerge w:val="restart"/>
          </w:tcPr>
          <w:p>
            <w:pPr>
              <w:jc w:val="center"/>
              <w:spacing w:after="0"/>
              <w:rPr>
                <w:sz w:val="20"/>
                <w:szCs w:val="20"/>
                <w:color w:val="auto"/>
              </w:rPr>
            </w:pPr>
            <w:r>
              <w:rPr>
                <w:rFonts w:ascii="Arial" w:cs="Arial" w:eastAsia="Arial" w:hAnsi="Arial"/>
                <w:sz w:val="18"/>
                <w:szCs w:val="18"/>
                <w:color w:val="auto"/>
                <w:w w:val="94"/>
              </w:rPr>
              <w:t>With</w:t>
            </w:r>
          </w:p>
        </w:tc>
        <w:tc>
          <w:tcPr>
            <w:tcW w:w="6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2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8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vMerge w:val="restart"/>
          </w:tcPr>
          <w:p>
            <w:pPr>
              <w:jc w:val="right"/>
              <w:ind w:right="10"/>
              <w:spacing w:after="0"/>
              <w:rPr>
                <w:sz w:val="20"/>
                <w:szCs w:val="20"/>
                <w:color w:val="auto"/>
              </w:rPr>
            </w:pPr>
            <w:r>
              <w:rPr>
                <w:rFonts w:ascii="Arial" w:cs="Arial" w:eastAsia="Arial" w:hAnsi="Arial"/>
                <w:sz w:val="18"/>
                <w:szCs w:val="18"/>
                <w:color w:val="auto"/>
              </w:rPr>
              <w:t>8.</w:t>
            </w:r>
          </w:p>
        </w:tc>
        <w:tc>
          <w:tcPr>
            <w:tcW w:w="9220" w:type="dxa"/>
            <w:vAlign w:val="bottom"/>
            <w:vMerge w:val="restart"/>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vMerge w:val="continue"/>
          </w:tcPr>
          <w:p>
            <w:pPr>
              <w:spacing w:after="0"/>
              <w:rPr>
                <w:sz w:val="7"/>
                <w:szCs w:val="7"/>
                <w:color w:val="auto"/>
              </w:rPr>
            </w:pPr>
          </w:p>
        </w:tc>
        <w:tc>
          <w:tcPr>
            <w:tcW w:w="92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1464"/>
        <w:spacing w:after="0"/>
        <w:rPr>
          <w:sz w:val="20"/>
          <w:szCs w:val="20"/>
          <w:color w:val="auto"/>
        </w:rPr>
      </w:pPr>
      <w:r>
        <w:rPr>
          <w:rFonts w:ascii="Arial" w:cs="Arial" w:eastAsia="Arial" w:hAnsi="Arial"/>
          <w:sz w:val="18"/>
          <w:szCs w:val="18"/>
          <w:color w:val="auto"/>
        </w:rPr>
        <w:t>447,040</w:t>
      </w:r>
    </w:p>
    <w:p>
      <w:pPr>
        <w:spacing w:after="0" w:line="36" w:lineRule="exact"/>
        <w:rPr>
          <w:sz w:val="20"/>
          <w:szCs w:val="20"/>
          <w:color w:val="auto"/>
        </w:rPr>
      </w:pPr>
    </w:p>
    <w:p>
      <w:pPr>
        <w:ind w:left="544" w:right="5600" w:hanging="297"/>
        <w:spacing w:after="0" w:line="406" w:lineRule="auto"/>
        <w:tabs>
          <w:tab w:leader="none" w:pos="544" w:val="left"/>
        </w:tabs>
        <w:numPr>
          <w:ilvl w:val="1"/>
          <w:numId w:val="1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175,695,524</w:t>
      </w:r>
    </w:p>
    <w:p>
      <w:pPr>
        <w:spacing w:after="0" w:line="1" w:lineRule="exact"/>
        <w:rPr>
          <w:rFonts w:ascii="Arial" w:cs="Arial" w:eastAsia="Arial" w:hAnsi="Arial"/>
          <w:sz w:val="18"/>
          <w:szCs w:val="18"/>
          <w:color w:val="auto"/>
        </w:rPr>
      </w:pPr>
    </w:p>
    <w:p>
      <w:pPr>
        <w:ind w:left="544" w:hanging="387"/>
        <w:spacing w:after="0"/>
        <w:tabs>
          <w:tab w:leader="none" w:pos="544" w:val="left"/>
        </w:tabs>
        <w:numPr>
          <w:ilvl w:val="1"/>
          <w:numId w:val="17"/>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w:t>
      </w:r>
    </w:p>
    <w:p>
      <w:pPr>
        <w:spacing w:after="0" w:line="219" w:lineRule="exact"/>
        <w:rPr>
          <w:rFonts w:ascii="Arial" w:cs="Arial" w:eastAsia="Arial" w:hAnsi="Arial"/>
          <w:sz w:val="18"/>
          <w:szCs w:val="18"/>
          <w:color w:val="auto"/>
        </w:rPr>
      </w:pPr>
    </w:p>
    <w:p>
      <w:pPr>
        <w:ind w:left="54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544" w:hanging="387"/>
        <w:spacing w:after="0"/>
        <w:tabs>
          <w:tab w:leader="none" w:pos="544" w:val="left"/>
        </w:tabs>
        <w:numPr>
          <w:ilvl w:val="1"/>
          <w:numId w:val="17"/>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44" w:lineRule="exact"/>
        <w:rPr>
          <w:rFonts w:ascii="Arial" w:cs="Arial" w:eastAsia="Arial" w:hAnsi="Arial"/>
          <w:sz w:val="18"/>
          <w:szCs w:val="18"/>
          <w:color w:val="auto"/>
        </w:rPr>
      </w:pPr>
    </w:p>
    <w:p>
      <w:pPr>
        <w:ind w:left="544"/>
        <w:spacing w:after="0"/>
        <w:rPr>
          <w:rFonts w:ascii="Arial" w:cs="Arial" w:eastAsia="Arial" w:hAnsi="Arial"/>
          <w:sz w:val="18"/>
          <w:szCs w:val="18"/>
          <w:color w:val="auto"/>
        </w:rPr>
      </w:pPr>
      <w:r>
        <w:rPr>
          <w:rFonts w:ascii="Arial" w:cs="Arial" w:eastAsia="Arial" w:hAnsi="Arial"/>
          <w:sz w:val="18"/>
          <w:szCs w:val="18"/>
          <w:color w:val="auto"/>
        </w:rPr>
        <w:t>62.1% (2)</w:t>
      </w:r>
    </w:p>
    <w:p>
      <w:pPr>
        <w:spacing w:after="0" w:line="36" w:lineRule="exact"/>
        <w:rPr>
          <w:rFonts w:ascii="Arial" w:cs="Arial" w:eastAsia="Arial" w:hAnsi="Arial"/>
          <w:sz w:val="18"/>
          <w:szCs w:val="18"/>
          <w:color w:val="auto"/>
        </w:rPr>
      </w:pPr>
    </w:p>
    <w:p>
      <w:pPr>
        <w:ind w:left="544" w:hanging="387"/>
        <w:spacing w:after="0"/>
        <w:tabs>
          <w:tab w:leader="none" w:pos="544" w:val="left"/>
        </w:tabs>
        <w:numPr>
          <w:ilvl w:val="1"/>
          <w:numId w:val="17"/>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52" w:lineRule="exact"/>
        <w:rPr>
          <w:rFonts w:ascii="Arial" w:cs="Arial" w:eastAsia="Arial" w:hAnsi="Arial"/>
          <w:sz w:val="18"/>
          <w:szCs w:val="18"/>
          <w:color w:val="auto"/>
        </w:rPr>
      </w:pPr>
    </w:p>
    <w:p>
      <w:pPr>
        <w:ind w:left="544"/>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79" w:lineRule="exact"/>
        <w:rPr>
          <w:rFonts w:ascii="Arial" w:cs="Arial" w:eastAsia="Arial" w:hAnsi="Arial"/>
          <w:sz w:val="18"/>
          <w:szCs w:val="18"/>
          <w:color w:val="auto"/>
        </w:rPr>
      </w:pPr>
    </w:p>
    <w:p>
      <w:pPr>
        <w:ind w:left="424" w:hanging="424"/>
        <w:spacing w:after="0" w:line="283" w:lineRule="auto"/>
        <w:tabs>
          <w:tab w:leader="none" w:pos="424" w:val="left"/>
        </w:tabs>
        <w:numPr>
          <w:ilvl w:val="0"/>
          <w:numId w:val="18"/>
        </w:numPr>
        <w:rPr>
          <w:rFonts w:ascii="Arial" w:cs="Arial" w:eastAsia="Arial" w:hAnsi="Arial"/>
          <w:sz w:val="16"/>
          <w:szCs w:val="16"/>
          <w:color w:val="auto"/>
        </w:rPr>
      </w:pPr>
      <w:r>
        <w:rPr>
          <w:rFonts w:ascii="Arial" w:cs="Arial" w:eastAsia="Arial" w:hAnsi="Arial"/>
          <w:sz w:val="16"/>
          <w:szCs w:val="16"/>
          <w:color w:val="auto"/>
        </w:rPr>
        <w:t>As more fully described in Item 4 of this Amendment No. 1 to Schedule 13G, the GTCR Investors are party to a Stockholders Agreement with the Warburg Pincus Investors and certain other holders of Common Stock of the Issuer. The GTCR Investors, together with the Warburg Pincus Investors, hold an aggregate total of 175,695,524 shares of Common Stock of the Issuer (approximately 62.1% of the outstanding shares of Common Stock of the Issuer), of which 105,417,315 shares of Common Stock are publicly reported as being owned by the Warburg Pincus Investors in such entities’ Form 4, filed with the Commission on March 24, 2021. Although the GTCR Reporting Persons may be deemed to beneficially own the Common Stock held as of record by the Warburg Pincus Investors as a result of the Stockholders Agreement, each GTCR Reporting Person expressly disclaims beneficial ownership (within the meaning of Rule 13d-3 of the Exchange Act) with respect to any shares of Common Stock other than the shares of Common Stock of the Issuer owned of record by such GTCR Reporting Person. The percentages used herein have been determined in accordance with footnote 2 below. Capitalized terms used herein are defined in Items 2(a) or 4 below.</w:t>
      </w:r>
    </w:p>
    <w:p>
      <w:pPr>
        <w:spacing w:after="0" w:line="5" w:lineRule="exact"/>
        <w:rPr>
          <w:rFonts w:ascii="Arial" w:cs="Arial" w:eastAsia="Arial" w:hAnsi="Arial"/>
          <w:sz w:val="16"/>
          <w:szCs w:val="16"/>
          <w:color w:val="auto"/>
        </w:rPr>
      </w:pPr>
    </w:p>
    <w:p>
      <w:pPr>
        <w:ind w:left="424" w:right="200" w:hanging="424"/>
        <w:spacing w:after="0" w:line="260" w:lineRule="auto"/>
        <w:tabs>
          <w:tab w:leader="none" w:pos="424" w:val="left"/>
        </w:tabs>
        <w:numPr>
          <w:ilvl w:val="0"/>
          <w:numId w:val="18"/>
        </w:numPr>
        <w:rPr>
          <w:rFonts w:ascii="Arial" w:cs="Arial" w:eastAsia="Arial" w:hAnsi="Arial"/>
          <w:sz w:val="18"/>
          <w:szCs w:val="18"/>
          <w:color w:val="auto"/>
        </w:rPr>
      </w:pPr>
      <w:r>
        <w:rPr>
          <w:rFonts w:ascii="Arial" w:cs="Arial" w:eastAsia="Arial" w:hAnsi="Arial"/>
          <w:sz w:val="18"/>
          <w:szCs w:val="18"/>
          <w:color w:val="auto"/>
        </w:rPr>
        <w:t>Calculated based on 282,916,909 shares of Common Stock outstanding as of November 3, 2021 as reported on the Issuer’s Form 10-Q, filed on November 10, 2021.</w:t>
      </w:r>
    </w:p>
    <w:p>
      <w:pPr>
        <w:sectPr>
          <w:pgSz w:w="11900" w:h="16838" w:orient="portrait"/>
          <w:cols w:equalWidth="0" w:num="1">
            <w:col w:w="10964"/>
          </w:cols>
          <w:pgMar w:left="436" w:top="287" w:right="499" w:bottom="1440" w:gutter="0" w:footer="0" w:header="0"/>
        </w:sectPr>
      </w:pPr>
    </w:p>
    <w:bookmarkStart w:id="5" w:name="page6"/>
    <w:bookmarkEnd w:id="5"/>
    <w:p>
      <w:pPr>
        <w:ind w:left="504" w:hanging="257"/>
        <w:spacing w:after="0"/>
        <w:tabs>
          <w:tab w:leader="none" w:pos="504" w:val="left"/>
        </w:tabs>
        <w:numPr>
          <w:ilvl w:val="0"/>
          <w:numId w:val="1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Names of Reporting Persons</w:t>
      </w:r>
    </w:p>
    <w:p>
      <w:pPr>
        <w:spacing w:after="0" w:line="252" w:lineRule="exact"/>
        <w:rPr>
          <w:rFonts w:ascii="Arial" w:cs="Arial" w:eastAsia="Arial" w:hAnsi="Arial"/>
          <w:sz w:val="18"/>
          <w:szCs w:val="18"/>
          <w:color w:val="auto"/>
        </w:rPr>
      </w:pPr>
    </w:p>
    <w:p>
      <w:pPr>
        <w:ind w:left="504"/>
        <w:spacing w:after="0"/>
        <w:rPr>
          <w:rFonts w:ascii="Arial" w:cs="Arial" w:eastAsia="Arial" w:hAnsi="Arial"/>
          <w:sz w:val="18"/>
          <w:szCs w:val="18"/>
          <w:color w:val="auto"/>
        </w:rPr>
      </w:pPr>
      <w:r>
        <w:rPr>
          <w:rFonts w:ascii="Arial" w:cs="Arial" w:eastAsia="Arial" w:hAnsi="Arial"/>
          <w:sz w:val="18"/>
          <w:szCs w:val="18"/>
          <w:color w:val="auto"/>
        </w:rPr>
        <w:t>GTCR PARTNERS XI/A&amp;C LP</w:t>
      </w:r>
    </w:p>
    <w:p>
      <w:pPr>
        <w:spacing w:after="0" w:line="36" w:lineRule="exact"/>
        <w:rPr>
          <w:rFonts w:ascii="Arial" w:cs="Arial" w:eastAsia="Arial" w:hAnsi="Arial"/>
          <w:sz w:val="18"/>
          <w:szCs w:val="18"/>
          <w:color w:val="auto"/>
        </w:rPr>
      </w:pPr>
    </w:p>
    <w:p>
      <w:pPr>
        <w:ind w:left="504" w:hanging="257"/>
        <w:spacing w:after="0"/>
        <w:tabs>
          <w:tab w:leader="none" w:pos="504"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-575945</wp:posOffset>
            </wp:positionV>
            <wp:extent cx="6720840" cy="52203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720840" cy="5220335"/>
                    </a:xfrm>
                    <a:prstGeom prst="rect">
                      <a:avLst/>
                    </a:prstGeom>
                    <a:noFill/>
                  </pic:spPr>
                </pic:pic>
              </a:graphicData>
            </a:graphic>
          </wp:anchor>
        </w:drawing>
      </w:r>
    </w:p>
    <w:p>
      <w:pPr>
        <w:ind w:left="504"/>
        <w:spacing w:after="0" w:line="205" w:lineRule="exact"/>
        <w:tabs>
          <w:tab w:leader="none" w:pos="1304"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504" w:hanging="257"/>
        <w:spacing w:after="0"/>
        <w:tabs>
          <w:tab w:leader="none" w:pos="504"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504" w:right="7820" w:hanging="257"/>
        <w:spacing w:after="0" w:line="406" w:lineRule="auto"/>
        <w:tabs>
          <w:tab w:leader="none" w:pos="504" w:val="left"/>
        </w:tabs>
        <w:numPr>
          <w:ilvl w:val="0"/>
          <w:numId w:val="20"/>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1" w:lineRule="exact"/>
        <w:rPr>
          <w:rFonts w:ascii="Arial" w:cs="Arial" w:eastAsia="Arial" w:hAnsi="Arial"/>
          <w:sz w:val="18"/>
          <w:szCs w:val="18"/>
          <w:color w:val="auto"/>
        </w:rPr>
      </w:pPr>
    </w:p>
    <w:p>
      <w:pPr>
        <w:ind w:left="1464" w:hanging="330"/>
        <w:spacing w:after="0"/>
        <w:tabs>
          <w:tab w:leader="none" w:pos="1464" w:val="left"/>
        </w:tabs>
        <w:numPr>
          <w:ilvl w:val="1"/>
          <w:numId w:val="20"/>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52" w:lineRule="exact"/>
        <w:rPr>
          <w:sz w:val="20"/>
          <w:szCs w:val="20"/>
          <w:color w:val="auto"/>
        </w:rPr>
      </w:pPr>
    </w:p>
    <w:tbl>
      <w:tblPr>
        <w:tblLayout w:type="fixed"/>
        <w:tblInd w:w="164" w:type="dxa"/>
        <w:tblCellMar>
          <w:top w:w="0" w:type="dxa"/>
          <w:left w:w="0" w:type="dxa"/>
          <w:bottom w:w="0" w:type="dxa"/>
          <w:right w:w="0" w:type="dxa"/>
        </w:tblCellMar>
      </w:tblPr>
      <w:tr>
        <w:trPr>
          <w:trHeight w:val="244"/>
        </w:trPr>
        <w:tc>
          <w:tcPr>
            <w:tcW w:w="86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6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2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920" w:type="dxa"/>
            <w:vAlign w:val="bottom"/>
            <w:gridSpan w:val="2"/>
          </w:tcPr>
          <w:p>
            <w:pPr>
              <w:jc w:val="center"/>
              <w:ind w:right="80"/>
              <w:spacing w:after="0"/>
              <w:rPr>
                <w:sz w:val="20"/>
                <w:szCs w:val="20"/>
                <w:color w:val="auto"/>
              </w:rPr>
            </w:pPr>
            <w:r>
              <w:rPr>
                <w:rFonts w:ascii="Arial" w:cs="Arial" w:eastAsia="Arial" w:hAnsi="Arial"/>
                <w:sz w:val="18"/>
                <w:szCs w:val="18"/>
                <w:color w:val="auto"/>
                <w:w w:val="84"/>
              </w:rPr>
              <w:t>Shares</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9220" w:type="dxa"/>
            <w:vAlign w:val="bottom"/>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920" w:type="dxa"/>
            <w:vAlign w:val="bottom"/>
            <w:gridSpan w:val="2"/>
          </w:tcPr>
          <w:p>
            <w:pPr>
              <w:jc w:val="center"/>
              <w:ind w:right="40"/>
              <w:spacing w:after="0"/>
              <w:rPr>
                <w:sz w:val="20"/>
                <w:szCs w:val="20"/>
                <w:color w:val="auto"/>
              </w:rPr>
            </w:pPr>
            <w:r>
              <w:rPr>
                <w:rFonts w:ascii="Arial" w:cs="Arial" w:eastAsia="Arial" w:hAnsi="Arial"/>
                <w:sz w:val="18"/>
                <w:szCs w:val="18"/>
                <w:color w:val="auto"/>
                <w:w w:val="96"/>
              </w:rPr>
              <w:t>Beneficially</w:t>
            </w:r>
          </w:p>
        </w:tc>
        <w:tc>
          <w:tcPr>
            <w:tcW w:w="280" w:type="dxa"/>
            <w:vAlign w:val="bottom"/>
          </w:tcPr>
          <w:p>
            <w:pPr>
              <w:spacing w:after="0"/>
              <w:rPr>
                <w:sz w:val="18"/>
                <w:szCs w:val="18"/>
                <w:color w:val="auto"/>
              </w:rPr>
            </w:pPr>
          </w:p>
        </w:tc>
        <w:tc>
          <w:tcPr>
            <w:tcW w:w="9220" w:type="dxa"/>
            <w:vAlign w:val="bottom"/>
            <w:vMerge w:val="restart"/>
          </w:tcPr>
          <w:p>
            <w:pPr>
              <w:ind w:left="100"/>
              <w:spacing w:after="0"/>
              <w:rPr>
                <w:sz w:val="20"/>
                <w:szCs w:val="20"/>
                <w:color w:val="auto"/>
              </w:rPr>
            </w:pPr>
            <w:r>
              <w:rPr>
                <w:rFonts w:ascii="Arial" w:cs="Arial" w:eastAsia="Arial" w:hAnsi="Arial"/>
                <w:sz w:val="18"/>
                <w:szCs w:val="18"/>
                <w:color w:val="auto"/>
              </w:rPr>
              <w:t>175,695,524 (1)</w:t>
            </w:r>
          </w:p>
        </w:tc>
        <w:tc>
          <w:tcPr>
            <w:tcW w:w="0" w:type="dxa"/>
            <w:vAlign w:val="bottom"/>
          </w:tcPr>
          <w:p>
            <w:pPr>
              <w:spacing w:after="0"/>
              <w:rPr>
                <w:sz w:val="1"/>
                <w:szCs w:val="1"/>
                <w:color w:val="auto"/>
              </w:rPr>
            </w:pPr>
          </w:p>
        </w:tc>
      </w:tr>
      <w:tr>
        <w:trPr>
          <w:trHeight w:val="230"/>
        </w:trPr>
        <w:tc>
          <w:tcPr>
            <w:tcW w:w="920" w:type="dxa"/>
            <w:vAlign w:val="bottom"/>
            <w:gridSpan w:val="2"/>
          </w:tcPr>
          <w:p>
            <w:pPr>
              <w:jc w:val="center"/>
              <w:ind w:right="60"/>
              <w:spacing w:after="0"/>
              <w:rPr>
                <w:sz w:val="20"/>
                <w:szCs w:val="20"/>
                <w:color w:val="auto"/>
              </w:rPr>
            </w:pPr>
            <w:r>
              <w:rPr>
                <w:rFonts w:ascii="Arial" w:cs="Arial" w:eastAsia="Arial" w:hAnsi="Arial"/>
                <w:sz w:val="18"/>
                <w:szCs w:val="18"/>
                <w:color w:val="auto"/>
                <w:w w:val="93"/>
              </w:rPr>
              <w:t>Owned By</w:t>
            </w:r>
          </w:p>
        </w:tc>
        <w:tc>
          <w:tcPr>
            <w:tcW w:w="280" w:type="dxa"/>
            <w:vAlign w:val="bottom"/>
          </w:tcPr>
          <w:p>
            <w:pPr>
              <w:spacing w:after="0"/>
              <w:rPr>
                <w:sz w:val="20"/>
                <w:szCs w:val="20"/>
                <w:color w:val="auto"/>
              </w:rPr>
            </w:pPr>
          </w:p>
        </w:tc>
        <w:tc>
          <w:tcPr>
            <w:tcW w:w="92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860" w:type="dxa"/>
            <w:vAlign w:val="bottom"/>
          </w:tcPr>
          <w:p>
            <w:pPr>
              <w:jc w:val="center"/>
              <w:spacing w:after="0" w:line="182" w:lineRule="exact"/>
              <w:rPr>
                <w:sz w:val="20"/>
                <w:szCs w:val="20"/>
                <w:color w:val="auto"/>
              </w:rPr>
            </w:pPr>
            <w:r>
              <w:rPr>
                <w:rFonts w:ascii="Arial" w:cs="Arial" w:eastAsia="Arial" w:hAnsi="Arial"/>
                <w:sz w:val="18"/>
                <w:szCs w:val="18"/>
                <w:color w:val="auto"/>
                <w:w w:val="87"/>
              </w:rPr>
              <w:t>Each</w:t>
            </w:r>
          </w:p>
        </w:tc>
        <w:tc>
          <w:tcPr>
            <w:tcW w:w="6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jc w:val="right"/>
              <w:ind w:right="10"/>
              <w:spacing w:after="0" w:line="182" w:lineRule="exact"/>
              <w:rPr>
                <w:sz w:val="20"/>
                <w:szCs w:val="20"/>
                <w:color w:val="auto"/>
              </w:rPr>
            </w:pPr>
            <w:r>
              <w:rPr>
                <w:rFonts w:ascii="Arial" w:cs="Arial" w:eastAsia="Arial" w:hAnsi="Arial"/>
                <w:sz w:val="18"/>
                <w:szCs w:val="18"/>
                <w:color w:val="auto"/>
              </w:rPr>
              <w:t>7.</w:t>
            </w:r>
          </w:p>
        </w:tc>
        <w:tc>
          <w:tcPr>
            <w:tcW w:w="9220" w:type="dxa"/>
            <w:vAlign w:val="bottom"/>
            <w:tcBorders>
              <w:top w:val="single" w:sz="8" w:color="auto"/>
            </w:tcBorders>
          </w:tcPr>
          <w:p>
            <w:pPr>
              <w:ind w:left="10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92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Reporting</w:t>
            </w:r>
          </w:p>
        </w:tc>
        <w:tc>
          <w:tcPr>
            <w:tcW w:w="280" w:type="dxa"/>
            <w:vAlign w:val="bottom"/>
          </w:tcPr>
          <w:p>
            <w:pPr>
              <w:spacing w:after="0"/>
              <w:rPr>
                <w:sz w:val="18"/>
                <w:szCs w:val="18"/>
                <w:color w:val="auto"/>
              </w:rPr>
            </w:pPr>
          </w:p>
        </w:tc>
        <w:tc>
          <w:tcPr>
            <w:tcW w:w="9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920" w:type="dxa"/>
            <w:vAlign w:val="bottom"/>
            <w:gridSpan w:val="2"/>
          </w:tcPr>
          <w:p>
            <w:pPr>
              <w:jc w:val="center"/>
              <w:ind w:right="60"/>
              <w:spacing w:after="0"/>
              <w:rPr>
                <w:sz w:val="20"/>
                <w:szCs w:val="20"/>
                <w:color w:val="auto"/>
              </w:rPr>
            </w:pPr>
            <w:r>
              <w:rPr>
                <w:rFonts w:ascii="Arial" w:cs="Arial" w:eastAsia="Arial" w:hAnsi="Arial"/>
                <w:sz w:val="18"/>
                <w:szCs w:val="18"/>
                <w:color w:val="auto"/>
                <w:w w:val="87"/>
              </w:rPr>
              <w:t>Person</w:t>
            </w:r>
          </w:p>
        </w:tc>
        <w:tc>
          <w:tcPr>
            <w:tcW w:w="280" w:type="dxa"/>
            <w:vAlign w:val="bottom"/>
          </w:tcPr>
          <w:p>
            <w:pPr>
              <w:spacing w:after="0"/>
              <w:rPr>
                <w:sz w:val="18"/>
                <w:szCs w:val="18"/>
                <w:color w:val="auto"/>
              </w:rPr>
            </w:pPr>
          </w:p>
        </w:tc>
        <w:tc>
          <w:tcPr>
            <w:tcW w:w="9220" w:type="dxa"/>
            <w:vAlign w:val="bottom"/>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860" w:type="dxa"/>
            <w:vAlign w:val="bottom"/>
            <w:vMerge w:val="restart"/>
          </w:tcPr>
          <w:p>
            <w:pPr>
              <w:jc w:val="center"/>
              <w:spacing w:after="0"/>
              <w:rPr>
                <w:sz w:val="20"/>
                <w:szCs w:val="20"/>
                <w:color w:val="auto"/>
              </w:rPr>
            </w:pPr>
            <w:r>
              <w:rPr>
                <w:rFonts w:ascii="Arial" w:cs="Arial" w:eastAsia="Arial" w:hAnsi="Arial"/>
                <w:sz w:val="18"/>
                <w:szCs w:val="18"/>
                <w:color w:val="auto"/>
                <w:w w:val="94"/>
              </w:rPr>
              <w:t>With</w:t>
            </w:r>
          </w:p>
        </w:tc>
        <w:tc>
          <w:tcPr>
            <w:tcW w:w="6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2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8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vMerge w:val="restart"/>
          </w:tcPr>
          <w:p>
            <w:pPr>
              <w:jc w:val="right"/>
              <w:ind w:right="10"/>
              <w:spacing w:after="0"/>
              <w:rPr>
                <w:sz w:val="20"/>
                <w:szCs w:val="20"/>
                <w:color w:val="auto"/>
              </w:rPr>
            </w:pPr>
            <w:r>
              <w:rPr>
                <w:rFonts w:ascii="Arial" w:cs="Arial" w:eastAsia="Arial" w:hAnsi="Arial"/>
                <w:sz w:val="18"/>
                <w:szCs w:val="18"/>
                <w:color w:val="auto"/>
              </w:rPr>
              <w:t>8.</w:t>
            </w:r>
          </w:p>
        </w:tc>
        <w:tc>
          <w:tcPr>
            <w:tcW w:w="9220" w:type="dxa"/>
            <w:vAlign w:val="bottom"/>
            <w:vMerge w:val="restart"/>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vMerge w:val="continue"/>
          </w:tcPr>
          <w:p>
            <w:pPr>
              <w:spacing w:after="0"/>
              <w:rPr>
                <w:sz w:val="7"/>
                <w:szCs w:val="7"/>
                <w:color w:val="auto"/>
              </w:rPr>
            </w:pPr>
          </w:p>
        </w:tc>
        <w:tc>
          <w:tcPr>
            <w:tcW w:w="92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1464"/>
        <w:spacing w:after="0"/>
        <w:rPr>
          <w:sz w:val="20"/>
          <w:szCs w:val="20"/>
          <w:color w:val="auto"/>
        </w:rPr>
      </w:pPr>
      <w:r>
        <w:rPr>
          <w:rFonts w:ascii="Arial" w:cs="Arial" w:eastAsia="Arial" w:hAnsi="Arial"/>
          <w:sz w:val="18"/>
          <w:szCs w:val="18"/>
          <w:color w:val="auto"/>
        </w:rPr>
        <w:t>70,278,209</w:t>
      </w:r>
    </w:p>
    <w:p>
      <w:pPr>
        <w:spacing w:after="0" w:line="36" w:lineRule="exact"/>
        <w:rPr>
          <w:sz w:val="20"/>
          <w:szCs w:val="20"/>
          <w:color w:val="auto"/>
        </w:rPr>
      </w:pPr>
    </w:p>
    <w:p>
      <w:pPr>
        <w:ind w:left="544" w:right="5600" w:hanging="297"/>
        <w:spacing w:after="0" w:line="406" w:lineRule="auto"/>
        <w:tabs>
          <w:tab w:leader="none" w:pos="544" w:val="left"/>
        </w:tabs>
        <w:numPr>
          <w:ilvl w:val="1"/>
          <w:numId w:val="21"/>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175,695,524</w:t>
      </w:r>
    </w:p>
    <w:p>
      <w:pPr>
        <w:spacing w:after="0" w:line="1" w:lineRule="exact"/>
        <w:rPr>
          <w:rFonts w:ascii="Arial" w:cs="Arial" w:eastAsia="Arial" w:hAnsi="Arial"/>
          <w:sz w:val="18"/>
          <w:szCs w:val="18"/>
          <w:color w:val="auto"/>
        </w:rPr>
      </w:pPr>
    </w:p>
    <w:p>
      <w:pPr>
        <w:ind w:left="544" w:hanging="387"/>
        <w:spacing w:after="0"/>
        <w:tabs>
          <w:tab w:leader="none" w:pos="544" w:val="left"/>
        </w:tabs>
        <w:numPr>
          <w:ilvl w:val="1"/>
          <w:numId w:val="21"/>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w:t>
      </w:r>
    </w:p>
    <w:p>
      <w:pPr>
        <w:spacing w:after="0" w:line="219" w:lineRule="exact"/>
        <w:rPr>
          <w:rFonts w:ascii="Arial" w:cs="Arial" w:eastAsia="Arial" w:hAnsi="Arial"/>
          <w:sz w:val="18"/>
          <w:szCs w:val="18"/>
          <w:color w:val="auto"/>
        </w:rPr>
      </w:pPr>
    </w:p>
    <w:p>
      <w:pPr>
        <w:ind w:left="54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544" w:hanging="387"/>
        <w:spacing w:after="0"/>
        <w:tabs>
          <w:tab w:leader="none" w:pos="544" w:val="left"/>
        </w:tabs>
        <w:numPr>
          <w:ilvl w:val="1"/>
          <w:numId w:val="21"/>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44" w:lineRule="exact"/>
        <w:rPr>
          <w:rFonts w:ascii="Arial" w:cs="Arial" w:eastAsia="Arial" w:hAnsi="Arial"/>
          <w:sz w:val="18"/>
          <w:szCs w:val="18"/>
          <w:color w:val="auto"/>
        </w:rPr>
      </w:pPr>
    </w:p>
    <w:p>
      <w:pPr>
        <w:ind w:left="544"/>
        <w:spacing w:after="0"/>
        <w:rPr>
          <w:rFonts w:ascii="Arial" w:cs="Arial" w:eastAsia="Arial" w:hAnsi="Arial"/>
          <w:sz w:val="18"/>
          <w:szCs w:val="18"/>
          <w:color w:val="auto"/>
        </w:rPr>
      </w:pPr>
      <w:r>
        <w:rPr>
          <w:rFonts w:ascii="Arial" w:cs="Arial" w:eastAsia="Arial" w:hAnsi="Arial"/>
          <w:sz w:val="18"/>
          <w:szCs w:val="18"/>
          <w:color w:val="auto"/>
        </w:rPr>
        <w:t>62.1% (2)</w:t>
      </w:r>
    </w:p>
    <w:p>
      <w:pPr>
        <w:spacing w:after="0" w:line="36" w:lineRule="exact"/>
        <w:rPr>
          <w:rFonts w:ascii="Arial" w:cs="Arial" w:eastAsia="Arial" w:hAnsi="Arial"/>
          <w:sz w:val="18"/>
          <w:szCs w:val="18"/>
          <w:color w:val="auto"/>
        </w:rPr>
      </w:pPr>
    </w:p>
    <w:p>
      <w:pPr>
        <w:ind w:left="544" w:hanging="387"/>
        <w:spacing w:after="0"/>
        <w:tabs>
          <w:tab w:leader="none" w:pos="544" w:val="left"/>
        </w:tabs>
        <w:numPr>
          <w:ilvl w:val="1"/>
          <w:numId w:val="21"/>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52" w:lineRule="exact"/>
        <w:rPr>
          <w:rFonts w:ascii="Arial" w:cs="Arial" w:eastAsia="Arial" w:hAnsi="Arial"/>
          <w:sz w:val="18"/>
          <w:szCs w:val="18"/>
          <w:color w:val="auto"/>
        </w:rPr>
      </w:pPr>
    </w:p>
    <w:p>
      <w:pPr>
        <w:ind w:left="544"/>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79" w:lineRule="exact"/>
        <w:rPr>
          <w:rFonts w:ascii="Arial" w:cs="Arial" w:eastAsia="Arial" w:hAnsi="Arial"/>
          <w:sz w:val="18"/>
          <w:szCs w:val="18"/>
          <w:color w:val="auto"/>
        </w:rPr>
      </w:pPr>
    </w:p>
    <w:p>
      <w:pPr>
        <w:ind w:left="424" w:hanging="424"/>
        <w:spacing w:after="0" w:line="283" w:lineRule="auto"/>
        <w:tabs>
          <w:tab w:leader="none" w:pos="424" w:val="left"/>
        </w:tabs>
        <w:numPr>
          <w:ilvl w:val="0"/>
          <w:numId w:val="22"/>
        </w:numPr>
        <w:rPr>
          <w:rFonts w:ascii="Arial" w:cs="Arial" w:eastAsia="Arial" w:hAnsi="Arial"/>
          <w:sz w:val="16"/>
          <w:szCs w:val="16"/>
          <w:color w:val="auto"/>
        </w:rPr>
      </w:pPr>
      <w:r>
        <w:rPr>
          <w:rFonts w:ascii="Arial" w:cs="Arial" w:eastAsia="Arial" w:hAnsi="Arial"/>
          <w:sz w:val="16"/>
          <w:szCs w:val="16"/>
          <w:color w:val="auto"/>
        </w:rPr>
        <w:t>As more fully described in Item 4 of this Amendment No. 1 to Schedule 13G, the GTCR Investors are party to a Stockholders Agreement with the Warburg Pincus Investors and certain other holders of Common Stock of the Issuer. The GTCR Investors, together with the Warburg Pincus Investors, hold an aggregate total of 175,695,524 shares of Common Stock of the Issuer (approximately 62.1% of the outstanding shares of Common Stock of the Issuer), of which 105,417,315 shares of Common Stock are publicly reported as being owned by the Warburg Pincus Investors in such entities’ Form 4, filed with the Commission on March 24, 2021. Although the GTCR Reporting Persons may be deemed to beneficially own the Common Stock held as of record by the Warburg Pincus Investors as a result of the Stockholders Agreement, each GTCR Reporting Person expressly disclaims beneficial ownership (within the meaning of Rule 13d-3 of the Exchange Act) with respect to any shares of Common Stock other than the shares of Common Stock of the Issuer owned of record by such GTCR Reporting Person. The percentages used herein have been determined in accordance with footnote 2 below. Capitalized terms used herein are defined in Items 2(a) or 4 below.</w:t>
      </w:r>
    </w:p>
    <w:p>
      <w:pPr>
        <w:spacing w:after="0" w:line="5" w:lineRule="exact"/>
        <w:rPr>
          <w:rFonts w:ascii="Arial" w:cs="Arial" w:eastAsia="Arial" w:hAnsi="Arial"/>
          <w:sz w:val="16"/>
          <w:szCs w:val="16"/>
          <w:color w:val="auto"/>
        </w:rPr>
      </w:pPr>
    </w:p>
    <w:p>
      <w:pPr>
        <w:ind w:left="424" w:right="200" w:hanging="424"/>
        <w:spacing w:after="0" w:line="260" w:lineRule="auto"/>
        <w:tabs>
          <w:tab w:leader="none" w:pos="424" w:val="left"/>
        </w:tabs>
        <w:numPr>
          <w:ilvl w:val="0"/>
          <w:numId w:val="22"/>
        </w:numPr>
        <w:rPr>
          <w:rFonts w:ascii="Arial" w:cs="Arial" w:eastAsia="Arial" w:hAnsi="Arial"/>
          <w:sz w:val="18"/>
          <w:szCs w:val="18"/>
          <w:color w:val="auto"/>
        </w:rPr>
      </w:pPr>
      <w:r>
        <w:rPr>
          <w:rFonts w:ascii="Arial" w:cs="Arial" w:eastAsia="Arial" w:hAnsi="Arial"/>
          <w:sz w:val="18"/>
          <w:szCs w:val="18"/>
          <w:color w:val="auto"/>
        </w:rPr>
        <w:t>Calculated based on 282,916,909 shares of Common Stock outstanding as of November 3, 2021 as reported on the Issuer’s Form 10-Q, filed on November 10, 2021.</w:t>
      </w:r>
    </w:p>
    <w:p>
      <w:pPr>
        <w:sectPr>
          <w:pgSz w:w="11900" w:h="16838" w:orient="portrait"/>
          <w:cols w:equalWidth="0" w:num="1">
            <w:col w:w="10964"/>
          </w:cols>
          <w:pgMar w:left="436" w:top="287" w:right="499" w:bottom="1440" w:gutter="0" w:footer="0" w:header="0"/>
        </w:sectPr>
      </w:pPr>
    </w:p>
    <w:bookmarkStart w:id="6" w:name="page7"/>
    <w:bookmarkEnd w:id="6"/>
    <w:p>
      <w:pPr>
        <w:spacing w:after="0"/>
        <w:rPr>
          <w:sz w:val="20"/>
          <w:szCs w:val="20"/>
          <w:color w:val="auto"/>
        </w:rPr>
      </w:pPr>
      <w:r>
        <w:rPr>
          <w:rFonts w:ascii="Arial" w:cs="Arial" w:eastAsia="Arial" w:hAnsi="Arial"/>
          <w:sz w:val="16"/>
          <w:szCs w:val="16"/>
          <w:b w:val="1"/>
          <w:bCs w:val="1"/>
          <w:color w:val="auto"/>
        </w:rPr>
        <w:t>Item 1(a).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Name of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-1200785</wp:posOffset>
            </wp:positionH>
            <wp:positionV relativeFrom="paragraph">
              <wp:posOffset>-198755</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144" w:lineRule="exact"/>
        <w:rPr>
          <w:sz w:val="20"/>
          <w:szCs w:val="20"/>
          <w:color w:val="auto"/>
        </w:rPr>
      </w:pPr>
    </w:p>
    <w:p>
      <w:pPr>
        <w:sectPr>
          <w:pgSz w:w="11900" w:h="16838" w:orient="portrait"/>
          <w:cols w:equalWidth="0" w:num="2">
            <w:col w:w="1040" w:space="720"/>
            <w:col w:w="9220"/>
          </w:cols>
          <w:pgMar w:left="440" w:top="270" w:right="479" w:bottom="1440" w:gutter="0" w:footer="0" w:header="0"/>
        </w:sectPr>
      </w:pPr>
    </w:p>
    <w:p>
      <w:pPr>
        <w:ind w:left="1760"/>
        <w:spacing w:after="0"/>
        <w:rPr>
          <w:sz w:val="20"/>
          <w:szCs w:val="20"/>
          <w:color w:val="auto"/>
        </w:rPr>
      </w:pPr>
      <w:r>
        <w:rPr>
          <w:rFonts w:ascii="Arial" w:cs="Arial" w:eastAsia="Arial" w:hAnsi="Arial"/>
          <w:sz w:val="16"/>
          <w:szCs w:val="16"/>
          <w:color w:val="auto"/>
        </w:rPr>
        <w:t>The name of the issuer is Sotera Health Co. (the “Issuer”).</w:t>
      </w:r>
    </w:p>
    <w:p>
      <w:pPr>
        <w:sectPr>
          <w:pgSz w:w="11900" w:h="16838" w:orient="portrait"/>
          <w:cols w:equalWidth="0" w:num="1">
            <w:col w:w="10980"/>
          </w:cols>
          <w:pgMar w:left="440" w:top="270" w:right="479" w:bottom="1440" w:gutter="0" w:footer="0" w:header="0"/>
          <w:type w:val="continuous"/>
        </w:sectPr>
      </w:pP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1(b).</w:t>
      </w:r>
    </w:p>
    <w:p>
      <w:pPr>
        <w:spacing w:after="0" w:line="20" w:lineRule="exact"/>
        <w:rPr>
          <w:sz w:val="20"/>
          <w:szCs w:val="20"/>
          <w:color w:val="auto"/>
        </w:rPr>
      </w:pPr>
      <w:r>
        <w:rPr>
          <w:sz w:val="20"/>
          <w:szCs w:val="20"/>
          <w:color w:val="auto"/>
        </w:rPr>
        <w:br w:type="column"/>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Address of the Issuer’s Principal Executive Offices</w:t>
      </w:r>
    </w:p>
    <w:p>
      <w:pPr>
        <w:spacing w:after="0" w:line="144" w:lineRule="exact"/>
        <w:rPr>
          <w:sz w:val="20"/>
          <w:szCs w:val="20"/>
          <w:color w:val="auto"/>
        </w:rPr>
      </w:pPr>
    </w:p>
    <w:p>
      <w:pPr>
        <w:sectPr>
          <w:pgSz w:w="11900" w:h="16838" w:orient="portrait"/>
          <w:cols w:equalWidth="0" w:num="2">
            <w:col w:w="1040" w:space="720"/>
            <w:col w:w="9220"/>
          </w:cols>
          <w:pgMar w:left="440" w:top="270" w:right="479" w:bottom="1440" w:gutter="0" w:footer="0" w:header="0"/>
          <w:type w:val="continuous"/>
        </w:sectPr>
      </w:pPr>
    </w:p>
    <w:p>
      <w:pPr>
        <w:ind w:left="1760"/>
        <w:spacing w:after="0"/>
        <w:rPr>
          <w:sz w:val="20"/>
          <w:szCs w:val="20"/>
          <w:color w:val="auto"/>
        </w:rPr>
      </w:pPr>
      <w:r>
        <w:rPr>
          <w:rFonts w:ascii="Arial" w:cs="Arial" w:eastAsia="Arial" w:hAnsi="Arial"/>
          <w:sz w:val="16"/>
          <w:szCs w:val="16"/>
          <w:color w:val="auto"/>
        </w:rPr>
        <w:t>The Company’s principal executive offices are located at 9100 South Hills Blvd, Suite 300, Broadview Heights, OH, 44147.</w:t>
      </w:r>
    </w:p>
    <w:p>
      <w:pPr>
        <w:sectPr>
          <w:pgSz w:w="11900" w:h="16838" w:orient="portrait"/>
          <w:cols w:equalWidth="0" w:num="1">
            <w:col w:w="10980"/>
          </w:cols>
          <w:pgMar w:left="440" w:top="270" w:right="479" w:bottom="1440" w:gutter="0" w:footer="0" w:header="0"/>
          <w:type w:val="continuous"/>
        </w:sectPr>
      </w:pP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2(a)/(b)/(c).</w:t>
      </w:r>
    </w:p>
    <w:p>
      <w:pPr>
        <w:spacing w:after="0" w:line="20" w:lineRule="exact"/>
        <w:rPr>
          <w:sz w:val="20"/>
          <w:szCs w:val="20"/>
          <w:color w:val="auto"/>
        </w:rPr>
      </w:pPr>
      <w:r>
        <w:rPr>
          <w:sz w:val="20"/>
          <w:szCs w:val="20"/>
          <w:color w:val="auto"/>
        </w:rPr>
        <w:br w:type="column"/>
      </w:r>
    </w:p>
    <w:p>
      <w:pPr>
        <w:spacing w:after="0" w:line="11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Names of Persons Filing</w:t>
      </w:r>
    </w:p>
    <w:p>
      <w:pPr>
        <w:spacing w:after="0" w:line="169" w:lineRule="exact"/>
        <w:rPr>
          <w:sz w:val="20"/>
          <w:szCs w:val="20"/>
          <w:color w:val="auto"/>
        </w:rPr>
      </w:pPr>
    </w:p>
    <w:p>
      <w:pPr>
        <w:sectPr>
          <w:pgSz w:w="11900" w:h="16838" w:orient="portrait"/>
          <w:cols w:equalWidth="0" w:num="2">
            <w:col w:w="1260" w:space="500"/>
            <w:col w:w="9220"/>
          </w:cols>
          <w:pgMar w:left="440" w:top="270" w:right="479" w:bottom="1440" w:gutter="0" w:footer="0" w:header="0"/>
          <w:type w:val="continuous"/>
        </w:sectPr>
      </w:pPr>
    </w:p>
    <w:p>
      <w:pPr>
        <w:ind w:left="1760"/>
        <w:spacing w:after="0" w:line="253" w:lineRule="auto"/>
        <w:rPr>
          <w:sz w:val="20"/>
          <w:szCs w:val="20"/>
          <w:color w:val="auto"/>
        </w:rPr>
      </w:pPr>
      <w:r>
        <w:rPr>
          <w:rFonts w:ascii="Arial" w:cs="Arial" w:eastAsia="Arial" w:hAnsi="Arial"/>
          <w:sz w:val="18"/>
          <w:szCs w:val="18"/>
          <w:color w:val="auto"/>
        </w:rPr>
        <w:t>This Amendment No. 1 to Schedule 13G is being filed jointly by (i) GTCR Fund XI/A LP, a Delaware limited partnership (“Fund XI/A”), (ii) GTCR Fund XI/C LP, a Delaware limited partnership (“Fund XI/C”), (iii) GTCR Co-Invest XI LP, a Delaware limited partnership (“Co-Invest XI”, and together, with Fund XI/A and Fund XI/C, the “GTCR XI Funds”), (iv) GTCR Partners XI/A&amp;C LP, a Delaware limited partnership (“Partners XI/A&amp;C”) and the general partner of each of Fund XI/A and Fund XI/C, and (v) GTCR Investment XI LLC, a Delaware limited liability company (“Investment XI”) and the general partner of Co-Invest XI and Partners XI/A&amp;C. Investment XI is managed by a board of managers (the “GTCR Board of Managers”) consisting of Mark M. Anderson, Craig A. Bondy, Aaron D. Cohen, Sean L. Cunningham, Benjamin J. Daverman, David A Donnini, Constantine S. Mihas and Collin E. Roche, and no single person has voting or dispositive authority over the shares of Common Stock. The GTCR XI Funds, Partners XI/A&amp;C and Investment XI are collectively referred to herein as the “GTCR Reporting Persons”.</w:t>
      </w:r>
    </w:p>
    <w:p>
      <w:pPr>
        <w:spacing w:after="0" w:line="100" w:lineRule="exact"/>
        <w:rPr>
          <w:sz w:val="20"/>
          <w:szCs w:val="20"/>
          <w:color w:val="auto"/>
        </w:rPr>
      </w:pPr>
    </w:p>
    <w:p>
      <w:pPr>
        <w:ind w:left="1760" w:right="280"/>
        <w:spacing w:after="0" w:line="277" w:lineRule="auto"/>
        <w:rPr>
          <w:sz w:val="20"/>
          <w:szCs w:val="20"/>
          <w:color w:val="auto"/>
        </w:rPr>
      </w:pPr>
      <w:r>
        <w:rPr>
          <w:rFonts w:ascii="Arial" w:cs="Arial" w:eastAsia="Arial" w:hAnsi="Arial"/>
          <w:sz w:val="18"/>
          <w:szCs w:val="18"/>
          <w:color w:val="auto"/>
        </w:rPr>
        <w:t>The principal business address of each of the GTCR Reporting Persons is 300 North LaSalle Street, Suite 5600, Chicago, IL 60654.</w:t>
      </w:r>
    </w:p>
    <w:p>
      <w:pPr>
        <w:sectPr>
          <w:pgSz w:w="11900" w:h="16838" w:orient="portrait"/>
          <w:cols w:equalWidth="0" w:num="1">
            <w:col w:w="10980"/>
          </w:cols>
          <w:pgMar w:left="440" w:top="270" w:right="479" w:bottom="1440" w:gutter="0" w:footer="0" w:header="0"/>
          <w:type w:val="continuous"/>
        </w:sectPr>
      </w:pP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2(d).</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Title of Class of Securities</w:t>
      </w:r>
    </w:p>
    <w:p>
      <w:pPr>
        <w:spacing w:after="0" w:line="155" w:lineRule="exact"/>
        <w:rPr>
          <w:sz w:val="20"/>
          <w:szCs w:val="20"/>
          <w:color w:val="auto"/>
        </w:rPr>
      </w:pPr>
    </w:p>
    <w:p>
      <w:pPr>
        <w:sectPr>
          <w:pgSz w:w="11900" w:h="16838" w:orient="portrait"/>
          <w:cols w:equalWidth="0" w:num="2">
            <w:col w:w="1040" w:space="720"/>
            <w:col w:w="9220"/>
          </w:cols>
          <w:pgMar w:left="440" w:top="270" w:right="479" w:bottom="1440" w:gutter="0" w:footer="0" w:header="0"/>
          <w:type w:val="continuous"/>
        </w:sectPr>
      </w:pPr>
    </w:p>
    <w:p>
      <w:pPr>
        <w:ind w:left="1760"/>
        <w:spacing w:after="0"/>
        <w:rPr>
          <w:sz w:val="20"/>
          <w:szCs w:val="20"/>
          <w:color w:val="auto"/>
        </w:rPr>
      </w:pPr>
      <w:r>
        <w:rPr>
          <w:rFonts w:ascii="Arial" w:cs="Arial" w:eastAsia="Arial" w:hAnsi="Arial"/>
          <w:sz w:val="16"/>
          <w:szCs w:val="16"/>
          <w:color w:val="auto"/>
        </w:rPr>
        <w:t>Common Stock, par value $0.01 per share (the “Common Stock”).</w:t>
      </w:r>
    </w:p>
    <w:p>
      <w:pPr>
        <w:sectPr>
          <w:pgSz w:w="11900" w:h="16838" w:orient="portrait"/>
          <w:cols w:equalWidth="0" w:num="1">
            <w:col w:w="10980"/>
          </w:cols>
          <w:pgMar w:left="440" w:top="270" w:right="479" w:bottom="1440" w:gutter="0" w:footer="0" w:header="0"/>
          <w:type w:val="continuous"/>
        </w:sectPr>
      </w:pP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2(e).</w:t>
      </w:r>
    </w:p>
    <w:p>
      <w:pPr>
        <w:spacing w:after="0" w:line="20" w:lineRule="exact"/>
        <w:rPr>
          <w:sz w:val="20"/>
          <w:szCs w:val="20"/>
          <w:color w:val="auto"/>
        </w:rPr>
      </w:pPr>
      <w:r>
        <w:rPr>
          <w:sz w:val="20"/>
          <w:szCs w:val="20"/>
          <w:color w:val="auto"/>
        </w:rPr>
        <w:br w:type="column"/>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CUSIP Number</w:t>
      </w:r>
    </w:p>
    <w:p>
      <w:pPr>
        <w:spacing w:after="0" w:line="133" w:lineRule="exact"/>
        <w:rPr>
          <w:sz w:val="20"/>
          <w:szCs w:val="20"/>
          <w:color w:val="auto"/>
        </w:rPr>
      </w:pPr>
    </w:p>
    <w:p>
      <w:pPr>
        <w:sectPr>
          <w:pgSz w:w="11900" w:h="16838" w:orient="portrait"/>
          <w:cols w:equalWidth="0" w:num="2">
            <w:col w:w="1040" w:space="720"/>
            <w:col w:w="9220"/>
          </w:cols>
          <w:pgMar w:left="440" w:top="270" w:right="479" w:bottom="1440" w:gutter="0" w:footer="0" w:header="0"/>
          <w:type w:val="continuous"/>
        </w:sectPr>
      </w:pPr>
    </w:p>
    <w:p>
      <w:pPr>
        <w:ind w:left="1760"/>
        <w:spacing w:after="0"/>
        <w:rPr>
          <w:sz w:val="20"/>
          <w:szCs w:val="20"/>
          <w:color w:val="auto"/>
        </w:rPr>
      </w:pPr>
      <w:r>
        <w:rPr>
          <w:rFonts w:ascii="Arial" w:cs="Arial" w:eastAsia="Arial" w:hAnsi="Arial"/>
          <w:sz w:val="16"/>
          <w:szCs w:val="16"/>
          <w:color w:val="auto"/>
        </w:rPr>
        <w:t>83601L 102</w:t>
      </w:r>
    </w:p>
    <w:p>
      <w:pPr>
        <w:sectPr>
          <w:pgSz w:w="11900" w:h="16838" w:orient="portrait"/>
          <w:cols w:equalWidth="0" w:num="1">
            <w:col w:w="10980"/>
          </w:cols>
          <w:pgMar w:left="440" w:top="270" w:right="479" w:bottom="1440" w:gutter="0" w:footer="0" w:header="0"/>
          <w:type w:val="continuous"/>
        </w:sectPr>
      </w:pP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w:t>
      </w:r>
    </w:p>
    <w:p>
      <w:pPr>
        <w:spacing w:after="0" w:line="20" w:lineRule="exact"/>
        <w:rPr>
          <w:sz w:val="20"/>
          <w:szCs w:val="20"/>
          <w:color w:val="auto"/>
        </w:rPr>
      </w:pPr>
      <w:r>
        <w:rPr>
          <w:sz w:val="20"/>
          <w:szCs w:val="20"/>
          <w:color w:val="auto"/>
        </w:rPr>
        <w:br w:type="column"/>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If this statement is filed pursuant to Rules 13d-1(b), or 13d-2(b) or (c), check whether the person filing is a(n):</w:t>
      </w:r>
    </w:p>
    <w:p>
      <w:pPr>
        <w:spacing w:after="0" w:line="144" w:lineRule="exact"/>
        <w:rPr>
          <w:sz w:val="20"/>
          <w:szCs w:val="20"/>
          <w:color w:val="auto"/>
        </w:rPr>
      </w:pPr>
    </w:p>
    <w:p>
      <w:pPr>
        <w:sectPr>
          <w:pgSz w:w="11900" w:h="16838" w:orient="portrait"/>
          <w:cols w:equalWidth="0" w:num="2">
            <w:col w:w="1040" w:space="720"/>
            <w:col w:w="9220"/>
          </w:cols>
          <w:pgMar w:left="440" w:top="270" w:right="479" w:bottom="1440" w:gutter="0" w:footer="0" w:header="0"/>
          <w:type w:val="continuous"/>
        </w:sectPr>
      </w:pPr>
    </w:p>
    <w:p>
      <w:pPr>
        <w:ind w:left="1760"/>
        <w:spacing w:after="0"/>
        <w:rPr>
          <w:sz w:val="20"/>
          <w:szCs w:val="20"/>
          <w:color w:val="auto"/>
        </w:rPr>
      </w:pPr>
      <w:r>
        <w:rPr>
          <w:rFonts w:ascii="Arial" w:cs="Arial" w:eastAsia="Arial" w:hAnsi="Arial"/>
          <w:sz w:val="17"/>
          <w:szCs w:val="17"/>
          <w:color w:val="auto"/>
        </w:rPr>
        <w:t>Not Applicable.</w:t>
      </w:r>
    </w:p>
    <w:p>
      <w:pPr>
        <w:sectPr>
          <w:pgSz w:w="11900" w:h="16838" w:orient="portrait"/>
          <w:cols w:equalWidth="0" w:num="1">
            <w:col w:w="10980"/>
          </w:cols>
          <w:pgMar w:left="440" w:top="270" w:right="479" w:bottom="1440" w:gutter="0" w:footer="0" w:header="0"/>
          <w:type w:val="continuous"/>
        </w:sectPr>
      </w:pP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Ownership</w:t>
      </w:r>
    </w:p>
    <w:p>
      <w:pPr>
        <w:spacing w:after="0" w:line="144" w:lineRule="exact"/>
        <w:rPr>
          <w:sz w:val="20"/>
          <w:szCs w:val="20"/>
          <w:color w:val="auto"/>
        </w:rPr>
      </w:pPr>
    </w:p>
    <w:p>
      <w:pPr>
        <w:sectPr>
          <w:pgSz w:w="11900" w:h="16838" w:orient="portrait"/>
          <w:cols w:equalWidth="0" w:num="2">
            <w:col w:w="1040" w:space="720"/>
            <w:col w:w="9220"/>
          </w:cols>
          <w:pgMar w:left="440" w:top="270" w:right="479" w:bottom="1440" w:gutter="0" w:footer="0" w:header="0"/>
          <w:type w:val="continuous"/>
        </w:sectPr>
      </w:pPr>
    </w:p>
    <w:p>
      <w:pPr>
        <w:ind w:left="1760" w:right="80"/>
        <w:spacing w:after="0" w:line="277" w:lineRule="auto"/>
        <w:rPr>
          <w:sz w:val="20"/>
          <w:szCs w:val="20"/>
          <w:color w:val="auto"/>
        </w:rPr>
      </w:pPr>
      <w:r>
        <w:rPr>
          <w:rFonts w:ascii="Arial" w:cs="Arial" w:eastAsia="Arial" w:hAnsi="Arial"/>
          <w:sz w:val="18"/>
          <w:szCs w:val="18"/>
          <w:color w:val="auto"/>
        </w:rPr>
        <w:t>The information required by Items 4(a)-(c) is set forth in Rows 5-11 of the cover page hereto for each GTCR Reporting Person and is incorporated herein by reference for each such GTCR Reporting Person.</w:t>
      </w:r>
    </w:p>
    <w:p>
      <w:pPr>
        <w:spacing w:after="0" w:line="62" w:lineRule="exact"/>
        <w:rPr>
          <w:sz w:val="20"/>
          <w:szCs w:val="20"/>
          <w:color w:val="auto"/>
        </w:rPr>
      </w:pPr>
    </w:p>
    <w:p>
      <w:pPr>
        <w:ind w:left="1760" w:right="200"/>
        <w:spacing w:after="0" w:line="275" w:lineRule="auto"/>
        <w:rPr>
          <w:sz w:val="20"/>
          <w:szCs w:val="20"/>
          <w:color w:val="auto"/>
        </w:rPr>
      </w:pPr>
      <w:r>
        <w:rPr>
          <w:rFonts w:ascii="Arial" w:cs="Arial" w:eastAsia="Arial" w:hAnsi="Arial"/>
          <w:sz w:val="17"/>
          <w:szCs w:val="17"/>
          <w:color w:val="auto"/>
        </w:rPr>
        <w:t>On November 19, 2020, (i) the Issuer, (ii) Warburg Pincus Private Equity XI, L.P., Warburg Pincus Private Equity XI-B, L.P., Warburg Pincus Private Equity XI-C, L.P., WP XI Partners, L.P. and Bull Co-Invest, L.P. (collectively, the “Warburg Pincus Sponsors”), (iii) the GTCR XI Funds and (iv) certain other holders of Common Stock of the issuer ( the “Other Investors”), entered into a Stockholders Agreement (the “Stockholders Agreement”). The Stockholders Agreement sets forth certain governance arrangements with respect to the Issuer, transfer restrictions on Other Investors and</w:t>
      </w:r>
    </w:p>
    <w:p>
      <w:pPr>
        <w:sectPr>
          <w:pgSz w:w="11900" w:h="16838" w:orient="portrait"/>
          <w:cols w:equalWidth="0" w:num="1">
            <w:col w:w="10980"/>
          </w:cols>
          <w:pgMar w:left="440" w:top="270" w:right="479" w:bottom="1440" w:gutter="0" w:footer="0" w:header="0"/>
          <w:type w:val="continuous"/>
        </w:sectPr>
      </w:pPr>
    </w:p>
    <w:bookmarkStart w:id="7" w:name="page8"/>
    <w:bookmarkEnd w:id="7"/>
    <w:p>
      <w:pPr>
        <w:ind w:left="1760" w:right="2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indemnification matters. Pursuant to the Stockholders Agreement, each of the Warburg Pincus Sponsors and the GTCR XI Funds has agreed to vote the shares of Common Stock of the Issuer that each holds of record in a certain manner on matters related to the election of certain directors appointed by the Warburg Pincus Sponsors and the GTCR XI Funds. The Warburg Pincus Sponsors and the GTCR XI Funds hold an aggregate total of 175,695,524 shares of Common Stock of the Issuer (approximately 62.1% of the outstanding shares of Common Stock of the Issuer), including 70,278,209 shares of Common Stock of the Issuer that are publicly reported as being owned by the GTCR XI Funds and 105,417,315 shares of Common Stock of the Issuer that are publicly reported as being owned by the Warburg Pincus Sponsors. The GTCR Reporting Persons are not entitled to any rights as a stockholder of the Issuer with respect to the shares of Common Stock of the Issuer beneficially owned by the Other Investors or the Warburg Pincus Sponsors except as expressly set forth in the Stockholders Agreement and the GTCR Reporting Persons do not have dispositive power over the Common Stock owned by the Warburg Pincus Sponsors. Each GTCR Reporting Person and each of the individual members of the GTCR Board of Managers expressly disclaims beneficial ownership (within the meaning of Rule 13d-3 of the Exchange Act) with respect to any shares of Common Stock of the Issuer other than the shares of Common Stock of the Issuer owned of record by a GTCR Reporting Person. The number of shares of Common Stock of the Issuer owned by each GTCR Reporting Person as set forth in Rows 5 – 11 of their respective cover pages to this Schedule 13G does not reflect the aggregate shares of Common Stock of the Issuer owned by the Other Investors.</w:t>
      </w:r>
    </w:p>
    <w:p>
      <w:pPr>
        <w:spacing w:after="0" w:line="73" w:lineRule="exact"/>
        <w:rPr>
          <w:sz w:val="20"/>
          <w:szCs w:val="20"/>
          <w:color w:val="auto"/>
        </w:rPr>
      </w:pPr>
    </w:p>
    <w:p>
      <w:pPr>
        <w:jc w:val="both"/>
        <w:ind w:left="1760" w:right="60"/>
        <w:spacing w:after="0" w:line="272" w:lineRule="auto"/>
        <w:rPr>
          <w:sz w:val="20"/>
          <w:szCs w:val="20"/>
          <w:color w:val="auto"/>
        </w:rPr>
      </w:pPr>
      <w:r>
        <w:rPr>
          <w:rFonts w:ascii="Arial" w:cs="Arial" w:eastAsia="Arial" w:hAnsi="Arial"/>
          <w:sz w:val="17"/>
          <w:szCs w:val="17"/>
          <w:color w:val="auto"/>
        </w:rPr>
        <w:t>The aggregate total of 105,417,315 shares of Common Stock of the Issuer indicated in this Amendment No. 1 to Schedule 13G as being beneficially owned by the Warburg Pincus Sponsors is derived from the Warburg Pincus Sponsors’ Form 4, filed with the U.S. Securities and Exchange Commission (the “Commission”) on March 24, 2021, and is not purported to be an accurate representation of the Warburg Pincus Sponsors’ beneficial ownership as of the date of this Amendment No. 1 to Schedule 13G. The Warburg Pincus Sponsors are responsible for reporting their beneficial ownership of shares of Common Stock of the Issuer on their own behalf, and the GTCR Reporting Persons disclaim responsibility for reporting the shares of Common Stock of the Issuer beneficially owned by the Warburg Pincus Sponsors.</w:t>
      </w:r>
    </w:p>
    <w:p>
      <w:pPr>
        <w:spacing w:after="0" w:line="83" w:lineRule="exact"/>
        <w:rPr>
          <w:sz w:val="20"/>
          <w:szCs w:val="20"/>
          <w:color w:val="auto"/>
        </w:rPr>
      </w:pPr>
    </w:p>
    <w:p>
      <w:pPr>
        <w:ind w:left="1760" w:right="380"/>
        <w:spacing w:after="0" w:line="263" w:lineRule="auto"/>
        <w:rPr>
          <w:sz w:val="20"/>
          <w:szCs w:val="20"/>
          <w:color w:val="auto"/>
        </w:rPr>
      </w:pPr>
      <w:r>
        <w:rPr>
          <w:rFonts w:ascii="Arial" w:cs="Arial" w:eastAsia="Arial" w:hAnsi="Arial"/>
          <w:sz w:val="18"/>
          <w:szCs w:val="18"/>
          <w:color w:val="auto"/>
        </w:rPr>
        <w:t>The percentages used herein are calculated based on 282,916,909 shares of Common Stock of Sotera Health Company (the “Issuer”) outstanding as of November 3, 2021 as reported on the Issuer’s Form 10-Q, filed with the Commission on November 10, 2021.</w:t>
      </w:r>
    </w:p>
    <w:p>
      <w:pPr>
        <w:sectPr>
          <w:pgSz w:w="11900" w:h="16838" w:orient="portrait"/>
          <w:cols w:equalWidth="0" w:num="1">
            <w:col w:w="11000"/>
          </w:cols>
          <w:pgMar w:left="440" w:top="274" w:right="459" w:bottom="1440" w:gutter="0" w:footer="0" w:header="0"/>
        </w:sectPr>
      </w:pPr>
    </w:p>
    <w:p>
      <w:pPr>
        <w:spacing w:after="0" w:line="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5.</w:t>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Ownership of Five Percent or Less of a Class</w:t>
      </w:r>
    </w:p>
    <w:p>
      <w:pPr>
        <w:spacing w:after="0" w:line="144" w:lineRule="exact"/>
        <w:rPr>
          <w:sz w:val="20"/>
          <w:szCs w:val="20"/>
          <w:color w:val="auto"/>
        </w:rPr>
      </w:pPr>
    </w:p>
    <w:p>
      <w:pPr>
        <w:sectPr>
          <w:pgSz w:w="11900" w:h="16838" w:orient="portrait"/>
          <w:cols w:equalWidth="0" w:num="2">
            <w:col w:w="1040" w:space="720"/>
            <w:col w:w="9240"/>
          </w:cols>
          <w:pgMar w:left="440" w:top="274" w:right="459" w:bottom="1440" w:gutter="0" w:footer="0" w:header="0"/>
          <w:type w:val="continuous"/>
        </w:sectPr>
      </w:pPr>
    </w:p>
    <w:p>
      <w:pPr>
        <w:ind w:left="1760"/>
        <w:spacing w:after="0"/>
        <w:rPr>
          <w:sz w:val="20"/>
          <w:szCs w:val="20"/>
          <w:color w:val="auto"/>
        </w:rPr>
      </w:pPr>
      <w:r>
        <w:rPr>
          <w:rFonts w:ascii="Arial" w:cs="Arial" w:eastAsia="Arial" w:hAnsi="Arial"/>
          <w:sz w:val="17"/>
          <w:szCs w:val="17"/>
          <w:color w:val="auto"/>
        </w:rPr>
        <w:t>Not Applicable.</w:t>
      </w:r>
    </w:p>
    <w:p>
      <w:pPr>
        <w:sectPr>
          <w:pgSz w:w="11900" w:h="16838" w:orient="portrait"/>
          <w:cols w:equalWidth="0" w:num="1">
            <w:col w:w="11000"/>
          </w:cols>
          <w:pgMar w:left="440" w:top="274" w:right="459" w:bottom="1440" w:gutter="0" w:footer="0" w:header="0"/>
          <w:type w:val="continuous"/>
        </w:sectPr>
      </w:pP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6.</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Ownership of More than Five Percent on Behalf of Another Person</w:t>
      </w:r>
    </w:p>
    <w:p>
      <w:pPr>
        <w:spacing w:after="0" w:line="144" w:lineRule="exact"/>
        <w:rPr>
          <w:sz w:val="20"/>
          <w:szCs w:val="20"/>
          <w:color w:val="auto"/>
        </w:rPr>
      </w:pPr>
    </w:p>
    <w:p>
      <w:pPr>
        <w:sectPr>
          <w:pgSz w:w="11900" w:h="16838" w:orient="portrait"/>
          <w:cols w:equalWidth="0" w:num="2">
            <w:col w:w="1040" w:space="720"/>
            <w:col w:w="9240"/>
          </w:cols>
          <w:pgMar w:left="440" w:top="274" w:right="459" w:bottom="1440" w:gutter="0" w:footer="0" w:header="0"/>
          <w:type w:val="continuous"/>
        </w:sectPr>
      </w:pPr>
    </w:p>
    <w:p>
      <w:pPr>
        <w:ind w:left="1760"/>
        <w:spacing w:after="0"/>
        <w:rPr>
          <w:sz w:val="20"/>
          <w:szCs w:val="20"/>
          <w:color w:val="auto"/>
        </w:rPr>
      </w:pPr>
      <w:r>
        <w:rPr>
          <w:rFonts w:ascii="Arial" w:cs="Arial" w:eastAsia="Arial" w:hAnsi="Arial"/>
          <w:sz w:val="17"/>
          <w:szCs w:val="17"/>
          <w:color w:val="auto"/>
        </w:rPr>
        <w:t>Not Applicable.</w:t>
      </w:r>
    </w:p>
    <w:p>
      <w:pPr>
        <w:sectPr>
          <w:pgSz w:w="11900" w:h="16838" w:orient="portrait"/>
          <w:cols w:equalWidth="0" w:num="1">
            <w:col w:w="11000"/>
          </w:cols>
          <w:pgMar w:left="440" w:top="274" w:right="459" w:bottom="1440" w:gutter="0" w:footer="0" w:header="0"/>
          <w:type w:val="continuous"/>
        </w:sectPr>
      </w:pP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ind w:right="580"/>
        <w:spacing w:after="0" w:line="282" w:lineRule="auto"/>
        <w:rPr>
          <w:sz w:val="20"/>
          <w:szCs w:val="20"/>
          <w:color w:val="auto"/>
        </w:rPr>
      </w:pPr>
      <w:r>
        <w:rPr>
          <w:rFonts w:ascii="Arial" w:cs="Arial" w:eastAsia="Arial" w:hAnsi="Arial"/>
          <w:sz w:val="18"/>
          <w:szCs w:val="18"/>
          <w:b w:val="1"/>
          <w:bCs w:val="1"/>
          <w:color w:val="auto"/>
        </w:rPr>
        <w:t>Identification and Classification of the Subsidiary Which Acquired the Security Being Reported on by the Parent Holding Company</w:t>
      </w:r>
    </w:p>
    <w:p>
      <w:pPr>
        <w:spacing w:after="0" w:line="58" w:lineRule="exact"/>
        <w:rPr>
          <w:sz w:val="20"/>
          <w:szCs w:val="20"/>
          <w:color w:val="auto"/>
        </w:rPr>
      </w:pPr>
    </w:p>
    <w:p>
      <w:pPr>
        <w:sectPr>
          <w:pgSz w:w="11900" w:h="16838" w:orient="portrait"/>
          <w:cols w:equalWidth="0" w:num="2">
            <w:col w:w="1040" w:space="720"/>
            <w:col w:w="9240"/>
          </w:cols>
          <w:pgMar w:left="440" w:top="274" w:right="459" w:bottom="1440" w:gutter="0" w:footer="0" w:header="0"/>
          <w:type w:val="continuous"/>
        </w:sectPr>
      </w:pPr>
    </w:p>
    <w:p>
      <w:pPr>
        <w:ind w:left="1760"/>
        <w:spacing w:after="0"/>
        <w:rPr>
          <w:sz w:val="20"/>
          <w:szCs w:val="20"/>
          <w:color w:val="auto"/>
        </w:rPr>
      </w:pPr>
      <w:r>
        <w:rPr>
          <w:rFonts w:ascii="Arial" w:cs="Arial" w:eastAsia="Arial" w:hAnsi="Arial"/>
          <w:sz w:val="17"/>
          <w:szCs w:val="17"/>
          <w:color w:val="auto"/>
        </w:rPr>
        <w:t>Not Applicable.</w:t>
      </w:r>
    </w:p>
    <w:p>
      <w:pPr>
        <w:sectPr>
          <w:pgSz w:w="11900" w:h="16838" w:orient="portrait"/>
          <w:cols w:equalWidth="0" w:num="1">
            <w:col w:w="11000"/>
          </w:cols>
          <w:pgMar w:left="440" w:top="274" w:right="459" w:bottom="1440" w:gutter="0" w:footer="0" w:header="0"/>
          <w:type w:val="continuous"/>
        </w:sectPr>
      </w:pP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8.</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Identification and Classification of Members of the Group</w:t>
      </w:r>
    </w:p>
    <w:p>
      <w:pPr>
        <w:spacing w:after="0" w:line="144" w:lineRule="exact"/>
        <w:rPr>
          <w:sz w:val="20"/>
          <w:szCs w:val="20"/>
          <w:color w:val="auto"/>
        </w:rPr>
      </w:pPr>
    </w:p>
    <w:p>
      <w:pPr>
        <w:sectPr>
          <w:pgSz w:w="11900" w:h="16838" w:orient="portrait"/>
          <w:cols w:equalWidth="0" w:num="2">
            <w:col w:w="1040" w:space="720"/>
            <w:col w:w="9240"/>
          </w:cols>
          <w:pgMar w:left="440" w:top="274" w:right="459" w:bottom="1440" w:gutter="0" w:footer="0" w:header="0"/>
          <w:type w:val="continuous"/>
        </w:sectPr>
      </w:pPr>
    </w:p>
    <w:p>
      <w:pPr>
        <w:jc w:val="both"/>
        <w:ind w:left="1760"/>
        <w:spacing w:after="0" w:line="311" w:lineRule="auto"/>
        <w:rPr>
          <w:sz w:val="20"/>
          <w:szCs w:val="20"/>
          <w:color w:val="auto"/>
        </w:rPr>
      </w:pPr>
      <w:r>
        <w:rPr>
          <w:rFonts w:ascii="Arial" w:cs="Arial" w:eastAsia="Arial" w:hAnsi="Arial"/>
          <w:sz w:val="16"/>
          <w:szCs w:val="16"/>
          <w:color w:val="auto"/>
        </w:rPr>
        <w:t>(1) The GTCR Reporting Persons are making this single, joint filing because they may be deemed to constitute a “group” within the meaning of the Exchange Act. The joint filing agreement among the GTCR Reporting Persons to file this Amendment No. 1 to Schedule 13G jointly in accordance with Rule 13d-1(k) of the Exchange Act is attached hereto as Exhibit 99.1.</w:t>
      </w:r>
    </w:p>
    <w:p>
      <w:pPr>
        <w:sectPr>
          <w:pgSz w:w="11900" w:h="16838" w:orient="portrait"/>
          <w:cols w:equalWidth="0" w:num="1">
            <w:col w:w="11000"/>
          </w:cols>
          <w:pgMar w:left="440" w:top="274" w:right="459" w:bottom="1440" w:gutter="0" w:footer="0" w:header="0"/>
          <w:type w:val="continuous"/>
        </w:sectPr>
      </w:pPr>
    </w:p>
    <w:bookmarkStart w:id="8" w:name="page9"/>
    <w:bookmarkEnd w:id="8"/>
    <w:p>
      <w:pPr>
        <w:ind w:left="17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 Each GTCR Reporting Person expressly disclaims beneficial ownership (within the meaning of Rule 13d-3 of the Exchange Act) with respect to any shares of Common Stock of the Issuer other than the shares of Common Stock of the issuer owned of record by such GTCR Reporting Person.</w:t>
      </w:r>
    </w:p>
    <w:p>
      <w:pPr>
        <w:sectPr>
          <w:pgSz w:w="11900" w:h="16838" w:orient="portrait"/>
          <w:cols w:equalWidth="0" w:num="1">
            <w:col w:w="10960"/>
          </w:cols>
          <w:pgMar w:left="440" w:top="274" w:right="499" w:bottom="1440" w:gutter="0" w:footer="0" w:header="0"/>
        </w:sectPr>
      </w:pP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Notice of Dissolution of Group</w:t>
      </w:r>
    </w:p>
    <w:p>
      <w:pPr>
        <w:spacing w:after="0" w:line="144" w:lineRule="exact"/>
        <w:rPr>
          <w:sz w:val="20"/>
          <w:szCs w:val="20"/>
          <w:color w:val="auto"/>
        </w:rPr>
      </w:pPr>
    </w:p>
    <w:p>
      <w:pPr>
        <w:sectPr>
          <w:pgSz w:w="11900" w:h="16838" w:orient="portrait"/>
          <w:cols w:equalWidth="0" w:num="2">
            <w:col w:w="1040" w:space="720"/>
            <w:col w:w="9200"/>
          </w:cols>
          <w:pgMar w:left="440" w:top="274" w:right="499" w:bottom="1440" w:gutter="0" w:footer="0" w:header="0"/>
          <w:type w:val="continuous"/>
        </w:sectPr>
      </w:pPr>
    </w:p>
    <w:p>
      <w:pPr>
        <w:ind w:left="1760"/>
        <w:spacing w:after="0"/>
        <w:rPr>
          <w:sz w:val="20"/>
          <w:szCs w:val="20"/>
          <w:color w:val="auto"/>
        </w:rPr>
      </w:pPr>
      <w:r>
        <w:rPr>
          <w:rFonts w:ascii="Arial" w:cs="Arial" w:eastAsia="Arial" w:hAnsi="Arial"/>
          <w:sz w:val="17"/>
          <w:szCs w:val="17"/>
          <w:color w:val="auto"/>
        </w:rPr>
        <w:t>Not Applicable.</w:t>
      </w:r>
    </w:p>
    <w:p>
      <w:pPr>
        <w:sectPr>
          <w:pgSz w:w="11900" w:h="16838" w:orient="portrait"/>
          <w:cols w:equalWidth="0" w:num="1">
            <w:col w:w="10960"/>
          </w:cols>
          <w:pgMar w:left="440" w:top="274" w:right="499" w:bottom="1440" w:gutter="0" w:footer="0" w:header="0"/>
          <w:type w:val="continuous"/>
        </w:sectPr>
      </w:pP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10.</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Certification</w:t>
      </w:r>
    </w:p>
    <w:p>
      <w:pPr>
        <w:spacing w:after="0" w:line="144" w:lineRule="exact"/>
        <w:rPr>
          <w:sz w:val="20"/>
          <w:szCs w:val="20"/>
          <w:color w:val="auto"/>
        </w:rPr>
      </w:pPr>
    </w:p>
    <w:p>
      <w:pPr>
        <w:sectPr>
          <w:pgSz w:w="11900" w:h="16838" w:orient="portrait"/>
          <w:cols w:equalWidth="0" w:num="2">
            <w:col w:w="1040" w:space="720"/>
            <w:col w:w="9200"/>
          </w:cols>
          <w:pgMar w:left="440" w:top="274" w:right="499" w:bottom="1440" w:gutter="0" w:footer="0" w:header="0"/>
          <w:type w:val="continuous"/>
        </w:sectPr>
      </w:pPr>
    </w:p>
    <w:p>
      <w:pPr>
        <w:ind w:left="1760"/>
        <w:spacing w:after="0"/>
        <w:rPr>
          <w:sz w:val="20"/>
          <w:szCs w:val="20"/>
          <w:color w:val="auto"/>
        </w:rPr>
      </w:pPr>
      <w:r>
        <w:rPr>
          <w:rFonts w:ascii="Arial" w:cs="Arial" w:eastAsia="Arial" w:hAnsi="Arial"/>
          <w:sz w:val="17"/>
          <w:szCs w:val="17"/>
          <w:color w:val="auto"/>
        </w:rPr>
        <w:t>Not Applicable.</w:t>
      </w:r>
    </w:p>
    <w:p>
      <w:pPr>
        <w:sectPr>
          <w:pgSz w:w="11900" w:h="16838" w:orient="portrait"/>
          <w:cols w:equalWidth="0" w:num="1">
            <w:col w:w="10960"/>
          </w:cols>
          <w:pgMar w:left="440" w:top="274" w:right="499" w:bottom="1440" w:gutter="0" w:footer="0" w:header="0"/>
          <w:type w:val="continuous"/>
        </w:sectPr>
      </w:pPr>
    </w:p>
    <w:bookmarkStart w:id="9" w:name="page10"/>
    <w:bookmarkEnd w:id="9"/>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w:t>
      </w:r>
    </w:p>
    <w:p>
      <w:pPr>
        <w:spacing w:after="0" w:line="22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11, 2022</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GTCR INVESTMENT XI LLC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Jeffrey Wright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Jeffrey Wright</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Chief Legal Officer</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GTCR FUND XI/A LP</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Jeffrey Wright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Jeffrey Wright</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Title: Chief Legal Officer of GTCR Investment XI LLC, the</w:t>
      </w:r>
    </w:p>
    <w:p>
      <w:pPr>
        <w:spacing w:after="0" w:line="21" w:lineRule="exact"/>
        <w:rPr>
          <w:sz w:val="20"/>
          <w:szCs w:val="20"/>
          <w:color w:val="auto"/>
        </w:rPr>
      </w:pPr>
    </w:p>
    <w:p>
      <w:pPr>
        <w:ind w:left="6620"/>
        <w:spacing w:after="0"/>
        <w:rPr>
          <w:sz w:val="20"/>
          <w:szCs w:val="20"/>
          <w:color w:val="auto"/>
        </w:rPr>
      </w:pPr>
      <w:r>
        <w:rPr>
          <w:rFonts w:ascii="Arial" w:cs="Arial" w:eastAsia="Arial" w:hAnsi="Arial"/>
          <w:sz w:val="16"/>
          <w:szCs w:val="16"/>
          <w:color w:val="auto"/>
        </w:rPr>
        <w:t>general partner of GTCR Partners XI/A&amp;C LP, the general</w:t>
      </w:r>
    </w:p>
    <w:p>
      <w:pPr>
        <w:spacing w:after="0" w:line="3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partner of GTCR FUND XI/A LP</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GTCR FUND XI/C LP</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Jeffrey Wright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Jeffrey Wright</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Title: Chief Legal Officer of GTCR Investment XI LLC, the</w:t>
      </w:r>
    </w:p>
    <w:p>
      <w:pPr>
        <w:spacing w:after="0" w:line="21" w:lineRule="exact"/>
        <w:rPr>
          <w:sz w:val="20"/>
          <w:szCs w:val="20"/>
          <w:color w:val="auto"/>
        </w:rPr>
      </w:pPr>
    </w:p>
    <w:p>
      <w:pPr>
        <w:ind w:left="6620"/>
        <w:spacing w:after="0"/>
        <w:rPr>
          <w:sz w:val="20"/>
          <w:szCs w:val="20"/>
          <w:color w:val="auto"/>
        </w:rPr>
      </w:pPr>
      <w:r>
        <w:rPr>
          <w:rFonts w:ascii="Arial" w:cs="Arial" w:eastAsia="Arial" w:hAnsi="Arial"/>
          <w:sz w:val="16"/>
          <w:szCs w:val="16"/>
          <w:color w:val="auto"/>
        </w:rPr>
        <w:t>general partner of GTCR Partners XI/A&amp;C LP, the general</w:t>
      </w:r>
    </w:p>
    <w:p>
      <w:pPr>
        <w:spacing w:after="0" w:line="3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partner of GTCR FUND XI/C LP</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GTCR CO-INVEST XI LP</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Jeffrey Wright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Jeffrey Wright</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Title: Chief Legal Officer of GTCR Investment XI LLC, the</w:t>
      </w:r>
    </w:p>
    <w:p>
      <w:pPr>
        <w:spacing w:after="0" w:line="2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general partner of GTCR CO-INVEST XI LP</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GTCR PARTNERS XI/A&amp;C LP</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Jeffrey Wright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Jeffrey Wright</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Title: Chief Legal Officer of GTCR Investment XI LLC, the</w:t>
      </w:r>
    </w:p>
    <w:p>
      <w:pPr>
        <w:spacing w:after="0" w:line="2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general partner of GTCR PARTNERS XI/A&amp;C LP</w:t>
      </w:r>
    </w:p>
    <w:p>
      <w:pPr>
        <w:sectPr>
          <w:pgSz w:w="11900" w:h="16838" w:orient="portrait"/>
          <w:cols w:equalWidth="0" w:num="1">
            <w:col w:w="10940"/>
          </w:cols>
          <w:pgMar w:left="440" w:top="270" w:right="519" w:bottom="1440" w:gutter="0" w:footer="0" w:header="0"/>
        </w:sectPr>
      </w:pPr>
    </w:p>
    <w:bookmarkStart w:id="10" w:name="page11"/>
    <w:bookmarkEnd w:id="10"/>
    <w:p>
      <w:pPr>
        <w:jc w:val="right"/>
        <w:ind w:right="39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LIST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 A Joint Filing Agreement, dated as of February 11, 2022</w:t>
      </w:r>
    </w:p>
    <w:p>
      <w:pPr>
        <w:sectPr>
          <w:pgSz w:w="11900" w:h="16838" w:orient="portrait"/>
          <w:cols w:equalWidth="0" w:num="1">
            <w:col w:w="10019"/>
          </w:cols>
          <w:pgMar w:left="440" w:top="274" w:right="1440" w:bottom="1440" w:gutter="0" w:footer="0" w:header="0"/>
        </w:sectPr>
      </w:pPr>
    </w:p>
    <w:bookmarkStart w:id="11" w:name="page12"/>
    <w:bookmarkEnd w:id="11"/>
    <w:p>
      <w:pPr>
        <w:jc w:val="center"/>
        <w:ind w:right="-39"/>
        <w:spacing w:after="0"/>
        <w:rPr>
          <w:sz w:val="20"/>
          <w:szCs w:val="20"/>
          <w:color w:val="auto"/>
        </w:rPr>
      </w:pPr>
      <w:r>
        <w:rPr>
          <w:rFonts w:ascii="Arial" w:cs="Arial" w:eastAsia="Arial" w:hAnsi="Arial"/>
          <w:sz w:val="18"/>
          <w:szCs w:val="18"/>
          <w:color w:val="auto"/>
        </w:rPr>
        <w:t>EXHIBIT A</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JOINT FILING AGREEMENT</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This will confirm the agreement by and among the undersigned that the Schedule 13G filed with the Securities and Exchange Commission on or about the date hereof with respect to the beneficial ownership by the undersigned of the common Stock, par value $0.01 per share, of Sotera Health Co. (this “Agreement”), is being filed, and all amendments thereto will be filed, by GTCR Investment XI LLC as the designated filer on behalf of each of the persons and entities named below that is named as a reporting person in such filing in accordance with Rule 13d-1(k) under the Securities Exchange Act of 1934, as amended. This Agreement may be executed in two or more counterparts, each of which shall be deemed an original, but all of which together shall constitute one and the same instrument.</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11, 2022</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GTCR INVESTMENT XI LLC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Jeffrey Wright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Jeffrey Wright</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Chief Legal Officer</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GTCR FUND XI/A LP</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Jeffrey Wright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Jeffrey Wright</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Title: Chief Legal Officer of GTCR Investment XI LLC, the</w:t>
      </w:r>
    </w:p>
    <w:p>
      <w:pPr>
        <w:spacing w:after="0" w:line="21" w:lineRule="exact"/>
        <w:rPr>
          <w:sz w:val="20"/>
          <w:szCs w:val="20"/>
          <w:color w:val="auto"/>
        </w:rPr>
      </w:pPr>
    </w:p>
    <w:p>
      <w:pPr>
        <w:ind w:left="6620"/>
        <w:spacing w:after="0"/>
        <w:rPr>
          <w:sz w:val="20"/>
          <w:szCs w:val="20"/>
          <w:color w:val="auto"/>
        </w:rPr>
      </w:pPr>
      <w:r>
        <w:rPr>
          <w:rFonts w:ascii="Arial" w:cs="Arial" w:eastAsia="Arial" w:hAnsi="Arial"/>
          <w:sz w:val="16"/>
          <w:szCs w:val="16"/>
          <w:color w:val="auto"/>
        </w:rPr>
        <w:t>general partner of GTCR Partners XI/A&amp;C LP, the general</w:t>
      </w:r>
    </w:p>
    <w:p>
      <w:pPr>
        <w:spacing w:after="0" w:line="3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partner of GTCR FUND XI/A LP</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GTCR FUND XI/C LP</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Jeffrey Wright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Jeffrey Wright</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Title: Chief Legal Officer of GTCR Investment XI LLC, the</w:t>
      </w:r>
    </w:p>
    <w:p>
      <w:pPr>
        <w:spacing w:after="0" w:line="21" w:lineRule="exact"/>
        <w:rPr>
          <w:sz w:val="20"/>
          <w:szCs w:val="20"/>
          <w:color w:val="auto"/>
        </w:rPr>
      </w:pPr>
    </w:p>
    <w:p>
      <w:pPr>
        <w:ind w:left="6620"/>
        <w:spacing w:after="0"/>
        <w:rPr>
          <w:sz w:val="20"/>
          <w:szCs w:val="20"/>
          <w:color w:val="auto"/>
        </w:rPr>
      </w:pPr>
      <w:r>
        <w:rPr>
          <w:rFonts w:ascii="Arial" w:cs="Arial" w:eastAsia="Arial" w:hAnsi="Arial"/>
          <w:sz w:val="16"/>
          <w:szCs w:val="16"/>
          <w:color w:val="auto"/>
        </w:rPr>
        <w:t>general partner of GTCR Partners XI/A&amp;C LP, the general</w:t>
      </w:r>
    </w:p>
    <w:p>
      <w:pPr>
        <w:spacing w:after="0" w:line="3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partner of GTCR FUND XI/C LP</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GTCR CO-INVEST XI LP</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Jeffrey Wright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Jeffrey Wright</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Title: Chief Legal Officer of GTCR Investment XI LLC, the</w:t>
      </w:r>
    </w:p>
    <w:p>
      <w:pPr>
        <w:spacing w:after="0" w:line="2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general partner of GTCR CO-INVEST XI LP</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GTCR PARTNERS XI/A&amp;C LP</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Jeffrey Wright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Jeffrey Wright</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Title: Chief Legal Officer of GTCR Investment XI LLC, the</w:t>
      </w:r>
    </w:p>
    <w:p>
      <w:pPr>
        <w:spacing w:after="0" w:line="2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general partner of GTCR PARTNERS XI/A&amp;C LP</w:t>
      </w:r>
    </w:p>
    <w:sectPr>
      <w:pgSz w:w="11900" w:h="16838" w:orient="portrait"/>
      <w:cols w:equalWidth="0" w:num="1">
        <w:col w:w="10960"/>
      </w:cols>
      <w:pgMar w:left="440" w:top="125"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1."/>
      <w:numFmt w:val="decimal"/>
      <w:start w:val="1"/>
    </w:lvl>
  </w:abstractNum>
  <w:abstractNum w:abstractNumId="3">
    <w:nsid w:val="3352255A"/>
    <w:multiLevelType w:val="hybridMultilevel"/>
    <w:lvl w:ilvl="0">
      <w:lvlJc w:val="left"/>
      <w:lvlText w:val="%1."/>
      <w:numFmt w:val="decimal"/>
      <w:start w:val="3"/>
    </w:lvl>
    <w:lvl w:ilvl="1">
      <w:lvlJc w:val="left"/>
      <w:lvlText w:val="%2."/>
      <w:numFmt w:val="decimal"/>
      <w:start w:val="5"/>
    </w:lvl>
  </w:abstractNum>
  <w:abstractNum w:abstractNumId="4">
    <w:nsid w:val="109CF92E"/>
    <w:multiLevelType w:val="hybridMultilevel"/>
    <w:lvl w:ilvl="0">
      <w:lvlJc w:val="left"/>
      <w:lvlText w:val="%1"/>
      <w:numFmt w:val="decimal"/>
      <w:start w:val="1"/>
    </w:lvl>
    <w:lvl w:ilvl="1">
      <w:lvlJc w:val="left"/>
      <w:lvlText w:val="%2."/>
      <w:numFmt w:val="decimal"/>
      <w:start w:val="9"/>
    </w:lvl>
  </w:abstractNum>
  <w:abstractNum w:abstractNumId="5">
    <w:nsid w:val="DED7263"/>
    <w:multiLevelType w:val="hybridMultilevel"/>
    <w:lvl w:ilvl="0">
      <w:lvlJc w:val="left"/>
      <w:lvlText w:val="(%1)"/>
      <w:numFmt w:val="decimal"/>
      <w:start w:val="1"/>
    </w:lvl>
    <w:lvl w:ilvl="1">
      <w:lvlJc w:val="left"/>
      <w:lvlText w:val="%2"/>
      <w:numFmt w:val="decimal"/>
      <w:start w:val="1"/>
    </w:lvl>
  </w:abstractNum>
  <w:abstractNum w:abstractNumId="6">
    <w:nsid w:val="7FDCC233"/>
    <w:multiLevelType w:val="hybridMultilevel"/>
    <w:lvl w:ilvl="0">
      <w:lvlJc w:val="left"/>
      <w:lvlText w:val="%1."/>
      <w:numFmt w:val="decimal"/>
      <w:start w:val="1"/>
    </w:lvl>
  </w:abstractNum>
  <w:abstractNum w:abstractNumId="7">
    <w:nsid w:val="1BEFD79F"/>
    <w:multiLevelType w:val="hybridMultilevel"/>
    <w:lvl w:ilvl="0">
      <w:lvlJc w:val="left"/>
      <w:lvlText w:val="%1."/>
      <w:numFmt w:val="decimal"/>
      <w:start w:val="3"/>
    </w:lvl>
    <w:lvl w:ilvl="1">
      <w:lvlJc w:val="left"/>
      <w:lvlText w:val="%2."/>
      <w:numFmt w:val="decimal"/>
      <w:start w:val="5"/>
    </w:lvl>
  </w:abstractNum>
  <w:abstractNum w:abstractNumId="8">
    <w:nsid w:val="41A7C4C9"/>
    <w:multiLevelType w:val="hybridMultilevel"/>
    <w:lvl w:ilvl="0">
      <w:lvlJc w:val="left"/>
      <w:lvlText w:val="%1"/>
      <w:numFmt w:val="decimal"/>
      <w:start w:val="1"/>
    </w:lvl>
    <w:lvl w:ilvl="1">
      <w:lvlJc w:val="left"/>
      <w:lvlText w:val="%2."/>
      <w:numFmt w:val="decimal"/>
      <w:start w:val="9"/>
    </w:lvl>
  </w:abstractNum>
  <w:abstractNum w:abstractNumId="9">
    <w:nsid w:val="6B68079A"/>
    <w:multiLevelType w:val="hybridMultilevel"/>
    <w:lvl w:ilvl="0">
      <w:lvlJc w:val="left"/>
      <w:lvlText w:val="(%1)"/>
      <w:numFmt w:val="decimal"/>
      <w:start w:val="1"/>
    </w:lvl>
    <w:lvl w:ilvl="1">
      <w:lvlJc w:val="left"/>
      <w:lvlText w:val="%2"/>
      <w:numFmt w:val="decimal"/>
      <w:start w:val="1"/>
    </w:lvl>
  </w:abstractNum>
  <w:abstractNum w:abstractNumId="10">
    <w:nsid w:val="4E6AFB66"/>
    <w:multiLevelType w:val="hybridMultilevel"/>
    <w:lvl w:ilvl="0">
      <w:lvlJc w:val="left"/>
      <w:lvlText w:val="%1."/>
      <w:numFmt w:val="decimal"/>
      <w:start w:val="1"/>
    </w:lvl>
  </w:abstractNum>
  <w:abstractNum w:abstractNumId="11">
    <w:nsid w:val="25E45D32"/>
    <w:multiLevelType w:val="hybridMultilevel"/>
    <w:lvl w:ilvl="0">
      <w:lvlJc w:val="left"/>
      <w:lvlText w:val="%1."/>
      <w:numFmt w:val="decimal"/>
      <w:start w:val="3"/>
    </w:lvl>
    <w:lvl w:ilvl="1">
      <w:lvlJc w:val="left"/>
      <w:lvlText w:val="%2."/>
      <w:numFmt w:val="decimal"/>
      <w:start w:val="5"/>
    </w:lvl>
  </w:abstractNum>
  <w:abstractNum w:abstractNumId="12">
    <w:nsid w:val="519B500D"/>
    <w:multiLevelType w:val="hybridMultilevel"/>
    <w:lvl w:ilvl="0">
      <w:lvlJc w:val="left"/>
      <w:lvlText w:val="%1"/>
      <w:numFmt w:val="decimal"/>
      <w:start w:val="1"/>
    </w:lvl>
    <w:lvl w:ilvl="1">
      <w:lvlJc w:val="left"/>
      <w:lvlText w:val="%2."/>
      <w:numFmt w:val="decimal"/>
      <w:start w:val="9"/>
    </w:lvl>
  </w:abstractNum>
  <w:abstractNum w:abstractNumId="13">
    <w:nsid w:val="431BD7B7"/>
    <w:multiLevelType w:val="hybridMultilevel"/>
    <w:lvl w:ilvl="0">
      <w:lvlJc w:val="left"/>
      <w:lvlText w:val="(%1)"/>
      <w:numFmt w:val="decimal"/>
      <w:start w:val="1"/>
    </w:lvl>
    <w:lvl w:ilvl="1">
      <w:lvlJc w:val="left"/>
      <w:lvlText w:val="%2"/>
      <w:numFmt w:val="decimal"/>
      <w:start w:val="1"/>
    </w:lvl>
  </w:abstractNum>
  <w:abstractNum w:abstractNumId="14">
    <w:nsid w:val="3F2DBA31"/>
    <w:multiLevelType w:val="hybridMultilevel"/>
    <w:lvl w:ilvl="0">
      <w:lvlJc w:val="left"/>
      <w:lvlText w:val="%1."/>
      <w:numFmt w:val="decimal"/>
      <w:start w:val="1"/>
    </w:lvl>
  </w:abstractNum>
  <w:abstractNum w:abstractNumId="15">
    <w:nsid w:val="7C83E458"/>
    <w:multiLevelType w:val="hybridMultilevel"/>
    <w:lvl w:ilvl="0">
      <w:lvlJc w:val="left"/>
      <w:lvlText w:val="%1."/>
      <w:numFmt w:val="decimal"/>
      <w:start w:val="3"/>
    </w:lvl>
    <w:lvl w:ilvl="1">
      <w:lvlJc w:val="left"/>
      <w:lvlText w:val="%2."/>
      <w:numFmt w:val="decimal"/>
      <w:start w:val="5"/>
    </w:lvl>
  </w:abstractNum>
  <w:abstractNum w:abstractNumId="16">
    <w:nsid w:val="257130A3"/>
    <w:multiLevelType w:val="hybridMultilevel"/>
    <w:lvl w:ilvl="0">
      <w:lvlJc w:val="left"/>
      <w:lvlText w:val="%1"/>
      <w:numFmt w:val="decimal"/>
      <w:start w:val="1"/>
    </w:lvl>
    <w:lvl w:ilvl="1">
      <w:lvlJc w:val="left"/>
      <w:lvlText w:val="%2."/>
      <w:numFmt w:val="decimal"/>
      <w:start w:val="9"/>
    </w:lvl>
  </w:abstractNum>
  <w:abstractNum w:abstractNumId="17">
    <w:nsid w:val="62BBD95A"/>
    <w:multiLevelType w:val="hybridMultilevel"/>
    <w:lvl w:ilvl="0">
      <w:lvlJc w:val="left"/>
      <w:lvlText w:val="(%1)"/>
      <w:numFmt w:val="decimal"/>
      <w:start w:val="1"/>
    </w:lvl>
    <w:lvl w:ilvl="1">
      <w:lvlJc w:val="left"/>
      <w:lvlText w:val="%2"/>
      <w:numFmt w:val="decimal"/>
      <w:start w:val="1"/>
    </w:lvl>
  </w:abstractNum>
  <w:abstractNum w:abstractNumId="18">
    <w:nsid w:val="436C6125"/>
    <w:multiLevelType w:val="hybridMultilevel"/>
    <w:lvl w:ilvl="0">
      <w:lvlJc w:val="left"/>
      <w:lvlText w:val="%1."/>
      <w:numFmt w:val="decimal"/>
      <w:start w:val="1"/>
    </w:lvl>
  </w:abstractNum>
  <w:abstractNum w:abstractNumId="19">
    <w:nsid w:val="628C895D"/>
    <w:multiLevelType w:val="hybridMultilevel"/>
    <w:lvl w:ilvl="0">
      <w:lvlJc w:val="left"/>
      <w:lvlText w:val="%1."/>
      <w:numFmt w:val="decimal"/>
      <w:start w:val="3"/>
    </w:lvl>
    <w:lvl w:ilvl="1">
      <w:lvlJc w:val="left"/>
      <w:lvlText w:val="%2."/>
      <w:numFmt w:val="decimal"/>
      <w:start w:val="5"/>
    </w:lvl>
  </w:abstractNum>
  <w:abstractNum w:abstractNumId="20">
    <w:nsid w:val="333AB105"/>
    <w:multiLevelType w:val="hybridMultilevel"/>
    <w:lvl w:ilvl="0">
      <w:lvlJc w:val="left"/>
      <w:lvlText w:val="%1"/>
      <w:numFmt w:val="decimal"/>
      <w:start w:val="1"/>
    </w:lvl>
    <w:lvl w:ilvl="1">
      <w:lvlJc w:val="left"/>
      <w:lvlText w:val="%2."/>
      <w:numFmt w:val="decimal"/>
      <w:start w:val="9"/>
    </w:lvl>
  </w:abstractNum>
  <w:abstractNum w:abstractNumId="21">
    <w:nsid w:val="721DA317"/>
    <w:multiLevelType w:val="hybridMultilevel"/>
    <w:lvl w:ilvl="0">
      <w:lvlJc w:val="left"/>
      <w:lvlText w:val="(%1)"/>
      <w:numFmt w:val="decimal"/>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2022-02-12T02:48:28Z</dcterms:created>
  <dcterms:modified xsi:type="dcterms:W3CDTF">2022-02-12T02:48:28Z</dcterms:modified>
</cp:coreProperties>
</file>