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WARBURG PINCUS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5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(as defined in Item 2) are party to a Stockholders Agreement with the GTCR Investors (as defined in Item 4)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U.S. Securities and Exchange Commission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Securities Exchange Act of 1934, as amended (the "Exchange Act")) with respect to any shares of Common Stock other than the shares of Common Stock of the Issuer owned of record by such Warburg Pincus Reporting Person (as defined in Item 2).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WP XI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66" w:right="35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31,838,253.00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31,838,253.00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00"/>
          </w:cols>
          <w:pgMar w:left="320" w:top="102" w:right="379" w:bottom="0" w:gutter="0" w:footer="0" w:header="0"/>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5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5730"/>
                    </a:xfrm>
                    <a:prstGeom prst="rect">
                      <a:avLst/>
                    </a:prstGeom>
                    <a:noFill/>
                  </pic:spPr>
                </pic:pic>
              </a:graphicData>
            </a:graphic>
          </wp:anchor>
        </w:drawing>
      </w:r>
    </w:p>
    <w:p>
      <w:pPr>
        <w:sectPr>
          <w:pgSz w:w="11900" w:h="16838" w:orient="portrait"/>
          <w:cols w:equalWidth="0" w:num="1">
            <w:col w:w="11200"/>
          </w:cols>
          <w:pgMar w:left="320" w:top="112" w:right="37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XI-B,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53"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40"/>
          </w:cols>
          <w:pgMar w:left="320" w:top="153" w:right="379" w:bottom="0" w:gutter="0" w:footer="0" w:header="0"/>
          <w:type w:val="continuous"/>
        </w:sectPr>
      </w:pPr>
    </w:p>
    <w:bookmarkStart w:id="5" w:name="page6"/>
    <w:bookmarkEnd w:id="5"/>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351" w:right="379" w:bottom="0" w:gutter="0" w:footer="0" w:header="0"/>
          <w:type w:val="continuous"/>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w:t>
      </w:r>
    </w:p>
    <w:p>
      <w:pPr>
        <w:sectPr>
          <w:pgSz w:w="11900" w:h="16838" w:orient="portrait"/>
          <w:cols w:equalWidth="0" w:num="1">
            <w:col w:w="11200"/>
          </w:cols>
          <w:pgMar w:left="320" w:top="351" w:right="379" w:bottom="0" w:gutter="0" w:footer="0" w:header="0"/>
          <w:type w:val="continuous"/>
        </w:sectPr>
      </w:pPr>
    </w:p>
    <w:bookmarkStart w:id="6" w:name="page7"/>
    <w:bookmarkEnd w:id="6"/>
    <w:p>
      <w:pPr>
        <w:ind w:right="20"/>
        <w:spacing w:after="0" w:line="236" w:lineRule="auto"/>
        <w:rPr>
          <w:sz w:val="20"/>
          <w:szCs w:val="20"/>
          <w:color w:val="auto"/>
        </w:rPr>
      </w:pPr>
      <w:r>
        <w:rPr>
          <w:rFonts w:ascii="Times New Roman" w:cs="Times New Roman" w:eastAsia="Times New Roman" w:hAnsi="Times New Roman"/>
          <w:sz w:val="22"/>
          <w:szCs w:val="22"/>
          <w:color w:val="auto"/>
        </w:rPr>
        <w:t>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Bull Co-Invest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ectPr>
          <w:pgSz w:w="11900" w:h="16838" w:orient="portrait"/>
          <w:cols w:equalWidth="0" w:num="1">
            <w:col w:w="11200"/>
          </w:cols>
          <w:pgMar w:left="320" w:top="111" w:right="379" w:bottom="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567" w:right="379" w:bottom="10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567" w:right="379" w:bottom="104" w:gutter="0" w:footer="0" w:header="0"/>
          <w:type w:val="continuous"/>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567" w:right="379" w:bottom="104"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ectPr>
          <w:pgSz w:w="11900" w:h="16838" w:orient="portrait"/>
          <w:cols w:equalWidth="0" w:num="1">
            <w:col w:w="11200"/>
          </w:cols>
          <w:pgMar w:left="320" w:top="567" w:right="379" w:bottom="104" w:gutter="0" w:footer="0" w:header="0"/>
          <w:type w:val="continuous"/>
        </w:sectPr>
      </w:pPr>
    </w:p>
    <w:bookmarkStart w:id="8" w:name="page9"/>
    <w:bookmarkEnd w:id="8"/>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WP Global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4" w:orient="portrait"/>
          <w:cols w:equalWidth="0" w:num="1">
            <w:col w:w="11200"/>
          </w:cols>
          <w:pgMar w:left="320" w:top="153"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4" w:orient="portrait"/>
          <w:cols w:equalWidth="0" w:num="2">
            <w:col w:w="1100" w:space="60"/>
            <w:col w:w="10040"/>
          </w:cols>
          <w:pgMar w:left="320" w:top="153" w:right="379" w:bottom="0" w:gutter="0" w:footer="0" w:header="0"/>
          <w:type w:val="continuous"/>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Partners II, L.P.</w:t>
      </w:r>
    </w:p>
    <w:p>
      <w:pPr>
        <w:spacing w:after="0" w:line="2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6"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4" w:orient="portrait"/>
          <w:cols w:equalWidth="0" w:num="1">
            <w:col w:w="11200"/>
          </w:cols>
          <w:pgMar w:left="320" w:top="153" w:right="379" w:bottom="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Partners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00"/>
          </w:cols>
          <w:pgMar w:left="320" w:top="166" w:right="379" w:bottom="0" w:gutter="0" w:footer="0" w:header="0"/>
          <w:type w:val="continuous"/>
        </w:sectPr>
      </w:pPr>
    </w:p>
    <w:bookmarkStart w:id="10" w:name="page11"/>
    <w:bookmarkEnd w:id="10"/>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0" w:orient="portrait"/>
          <w:cols w:equalWidth="0" w:num="2">
            <w:col w:w="1100" w:space="60"/>
            <w:col w:w="10040"/>
          </w:cols>
          <w:pgMar w:left="320" w:top="112" w:right="37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(Cayman)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31,838,253.00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00"/>
          </w:cols>
          <w:pgMar w:left="320" w:top="112" w:right="37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900" w:orient="portrait"/>
          <w:cols w:equalWidth="0" w:num="1">
            <w:col w:w="11200"/>
          </w:cols>
          <w:pgMar w:left="320" w:top="112" w:right="379" w:bottom="0" w:gutter="0" w:footer="0" w:header="0"/>
          <w:type w:val="continuous"/>
        </w:sectPr>
      </w:pPr>
    </w:p>
    <w:bookmarkStart w:id="11" w:name="page12"/>
    <w:bookmarkEnd w:id="11"/>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XI-C,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31,838,253.00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19,102,952.00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53" w:right="379" w:bottom="46" w:gutter="0" w:footer="0" w:header="0"/>
        </w:sectPr>
      </w:pPr>
    </w:p>
    <w:bookmarkStart w:id="12" w:name="page13"/>
    <w:bookmarkEnd w:id="12"/>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31,838,253.00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Partners II (Cayman),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7"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ectPr>
          <w:pgSz w:w="11900" w:h="16847" w:orient="portrait"/>
          <w:cols w:equalWidth="0" w:num="2">
            <w:col w:w="1100" w:space="60"/>
            <w:col w:w="10040"/>
          </w:cols>
          <w:pgMar w:left="320" w:top="112" w:right="379" w:bottom="0" w:gutter="0" w:footer="0" w:header="0"/>
          <w:type w:val="continuous"/>
        </w:sectPr>
      </w:pPr>
    </w:p>
    <w:bookmarkStart w:id="13" w:name="page14"/>
    <w:bookmarkEnd w:id="13"/>
    <w:p>
      <w:pPr>
        <w:spacing w:after="0" w:line="32"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(Bermuda) Private Equity GP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0"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0"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w:t>
      </w:r>
    </w:p>
    <w:p>
      <w:pPr>
        <w:sectPr>
          <w:pgSz w:w="11900" w:h="16870" w:orient="portrait"/>
          <w:cols w:equalWidth="0" w:num="1">
            <w:col w:w="11200"/>
          </w:cols>
          <w:pgMar w:left="320" w:top="112" w:right="379" w:bottom="0" w:gutter="0" w:footer="0" w:header="0"/>
          <w:type w:val="continuous"/>
        </w:sectPr>
      </w:pPr>
    </w:p>
    <w:bookmarkStart w:id="14" w:name="page15"/>
    <w:bookmarkEnd w:id="14"/>
    <w:p>
      <w:pPr>
        <w:ind w:right="20"/>
        <w:spacing w:after="0" w:line="246" w:lineRule="auto"/>
        <w:rPr>
          <w:sz w:val="20"/>
          <w:szCs w:val="20"/>
          <w:color w:val="auto"/>
        </w:rPr>
      </w:pPr>
      <w:r>
        <w:rPr>
          <w:rFonts w:ascii="Times New Roman" w:cs="Times New Roman" w:eastAsia="Times New Roman" w:hAnsi="Times New Roman"/>
          <w:sz w:val="21"/>
          <w:szCs w:val="21"/>
          <w:color w:val="auto"/>
        </w:rPr>
        <w:t>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 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19,102,952.00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31,838,253 shares of Common Stock of the Issuer (approximately 11.2% of the outstanding shares of Common Stock of the Issuer), of which 12,735,301 shares of Common Stock are publicly reported as being owned by the GTCR Investors in such entities' Form 4, filed with the Commission on March 10, 2026. Although the Warburg Pincus Reporting Persons may be deemed to beneficially own the Common Stock held as of record by the GTCR Investors as a result of the Stockholders Agreement, each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herein have been determined in accordance with footnote 2 below. Capitalized terms used herein are defined in</w:t>
      </w:r>
    </w:p>
    <w:p>
      <w:pPr>
        <w:sectPr>
          <w:pgSz w:w="11900" w:h="16838" w:orient="portrait"/>
          <w:cols w:equalWidth="0" w:num="1">
            <w:col w:w="11200"/>
          </w:cols>
          <w:pgMar w:left="320" w:top="112" w:right="379" w:bottom="0" w:gutter="0" w:footer="0" w:header="0"/>
          <w:type w:val="continuous"/>
        </w:sectPr>
      </w:pPr>
    </w:p>
    <w:bookmarkStart w:id="15" w:name="page16"/>
    <w:bookmarkEnd w:id="15"/>
    <w:p>
      <w:pPr>
        <w:spacing w:after="0" w:line="62"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2"/>
          <w:szCs w:val="22"/>
          <w:color w:val="auto"/>
        </w:rPr>
        <w:t>Items 2(a) or 4 below. (2) Calculated based on 284,392,079 shares of Common Stock outstanding as of February 17, 2026 as reported on the Issuer's final prospectus reported on Form 424B7, filed on March 5,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Sotera Health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9100 South Hills Blvd, Suite 300, Broadview Heights, OH, 44147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60"/>
        <w:spacing w:after="0" w:line="244" w:lineRule="auto"/>
        <w:rPr>
          <w:sz w:val="20"/>
          <w:szCs w:val="20"/>
          <w:color w:val="auto"/>
        </w:rPr>
      </w:pPr>
      <w:r>
        <w:rPr>
          <w:rFonts w:ascii="Times New Roman" w:cs="Times New Roman" w:eastAsia="Times New Roman" w:hAnsi="Times New Roman"/>
          <w:sz w:val="21"/>
          <w:szCs w:val="21"/>
          <w:color w:val="auto"/>
        </w:rPr>
        <w:t>This Amendment No. 5 to Schedule 13G is being filed jointly by (i) Warburg Pincus Private Equity XI, L.P. ("WP XI"), (ii) Warburg Pincus Private Equity XI-B, L.P. ("WP XI-B"), (iii) WP XI Partners, L.P. ("WP XI Partners"), (iv) Warburg Pincus XI Partners, L.P. ("Warburg Pincus XI Partners"), (v) Warburg Pincus Private Equity XI-C, L.P. ("WP XI-C" and, together with WP XI, WP XI-B, WP XI Partners and Warburg Pincus XI Partners, the "WP XI Funds"), (vi) Bull Co-Invest L.P. ("Bull Co-Invest"), (vii) Warburg Pincus XI, L.P. ("WP XI GP"), (viii) WP Global LLC ("WP Global"), (ix) Warburg Pincus Partners II, L.P. ("WPP II"), (x) Warburg Pincus Partners GP LLC ("WPP GP LLC"), (xi) Warburg Pincus &amp; Co. ("WP"), (xii) Warburg Pincus (Cayman) XI, L.P. ("WP XI Cayman GP"),</w:t>
      </w:r>
    </w:p>
    <w:p>
      <w:pPr>
        <w:spacing w:after="0" w:line="6" w:lineRule="exact"/>
        <w:rPr>
          <w:sz w:val="20"/>
          <w:szCs w:val="20"/>
          <w:color w:val="auto"/>
        </w:rPr>
      </w:pPr>
    </w:p>
    <w:p>
      <w:pPr>
        <w:ind w:left="960" w:right="160"/>
        <w:spacing w:after="0" w:line="241" w:lineRule="auto"/>
        <w:rPr>
          <w:sz w:val="20"/>
          <w:szCs w:val="20"/>
          <w:color w:val="auto"/>
        </w:rPr>
      </w:pPr>
      <w:r>
        <w:rPr>
          <w:rFonts w:ascii="Times New Roman" w:cs="Times New Roman" w:eastAsia="Times New Roman" w:hAnsi="Times New Roman"/>
          <w:sz w:val="21"/>
          <w:szCs w:val="21"/>
          <w:color w:val="auto"/>
        </w:rPr>
        <w:t>(xiii) Warburg Pincus XI-C, LLC ("WP XI-C LLC"), (xiv) Warburg Pincus Partners II (Cayman), L.P. ("WPP II Cayman"), (xv) Warburg Pincus (Bermuda) Private Equity GP Ltd. ("WP Bermuda GP"), and (xvi) Warburg Pincus</w:t>
      </w:r>
    </w:p>
    <w:p>
      <w:pPr>
        <w:spacing w:after="0" w:line="1" w:lineRule="exact"/>
        <w:rPr>
          <w:sz w:val="20"/>
          <w:szCs w:val="20"/>
          <w:color w:val="auto"/>
        </w:rPr>
      </w:pPr>
    </w:p>
    <w:p>
      <w:pPr>
        <w:ind w:left="960" w:hanging="912"/>
        <w:spacing w:after="0" w:line="225" w:lineRule="auto"/>
        <w:tabs>
          <w:tab w:leader="none" w:pos="960" w:val="left"/>
        </w:tabs>
        <w:numPr>
          <w:ilvl w:val="0"/>
          <w:numId w:val="2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LLC ("WP LLC"). The WP XI Funds, Bull Co-Invest, Bull Holdco, WP Global, WPP II, WPP GP LLC, WP XI Cayman GP, WP XI-C LLC, WPP II Cayman, WP Bermuda GP, WP Bull Manager, WP LLC and WP are collectively referred to herein as the "Warburg Pincus Entities." WP XI GP is the general partner of each of WP XI, WP XI-B, WP XI Partners and Warburg Pincus XI Partners. WP Global is the general partner of WP XI GP. WPP II is the managing member of WP Global. WPP GP LLC is the general partner of WPP II. WP is the managing member of WPP GP LLC. WP XI Cayman GP is the general partner of WP XI-C. WP XI-C LLC is the general partner of WP XI Cayman GP. WPP II Cayman is the managing member of WP XI-C LLC. WP Bermuda GP is the general partner of WPP II Cayman. WP Bull Manager LLC ("WP Bull Manager") is the general partner of Bull Co-Invest. WP is the managing member of WP Bull Manager. WP LLC is the manager of the WP XI Funds. The WP XI Funds share limited partnership ownership in Bull Holdco on a pro rata basis in accordance with their respective numbers of Contributed Shares. The WP XI Funds, Bull Co-Invest, WP XI GP, WP Global, WPP II, WPP GP LLC, WP XI Cayman GP, WP XI-C LLC, WPP II Cayman, WP Bermuda GP, WP Bull Manager, WP LLC and WP are collectively referred to herein as the "Warburg Pincus Reporting Persons" or "WP Investors."</w:t>
      </w:r>
    </w:p>
    <w:p>
      <w:pPr>
        <w:spacing w:after="0" w:line="19"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Warburg Pincus Reporting Persons is 450 Lexington Avenue, New York, New York 10017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Item 2(a)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2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ectPr>
          <w:pgSz w:w="11900" w:h="16901" w:orient="portrait"/>
          <w:cols w:equalWidth="0" w:num="1">
            <w:col w:w="11120"/>
          </w:cols>
          <w:pgMar w:left="320" w:top="112" w:right="459" w:bottom="0" w:gutter="0" w:footer="0" w:header="0"/>
        </w:sectPr>
      </w:pPr>
    </w:p>
    <w:bookmarkStart w:id="16" w:name="page17"/>
    <w:bookmarkEnd w:id="16"/>
    <w:p>
      <w:pPr>
        <w:spacing w:after="0" w:line="134" w:lineRule="exact"/>
        <w:rPr>
          <w:sz w:val="20"/>
          <w:szCs w:val="20"/>
          <w:color w:val="auto"/>
        </w:rPr>
      </w:pPr>
    </w:p>
    <w:p>
      <w:pPr>
        <w:ind w:left="920" w:right="860"/>
        <w:spacing w:after="0" w:line="241" w:lineRule="auto"/>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 accordance with Â§ 240.13d-1(b)(1)(ii)(J),</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4(a)-(c) is set forth in Rows 5-11 of the cover page hereto for each Warburg Pincus Reporting Person and is incorporated herein by reference for each such Warburg Pincus Reporting Person. On November 19, 2020, (i) the Issuer, (ii) Warburg Pincus Private Equity XI, L.P., Warburg Pincus Private Equity XI_B, L.P., Warburg Pincus Private Equity XI-C, L.P., WP XI Partners, L.P.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 aggregate total of 31,838,253 shares of Common Stock of the Issuer (approximately 11.2% of the outstanding shares of Common Stock of the Issuer), including 12,735,301 shares of Common Stock of the Issuer that are publicly reported as being owned by the GTCR Sponsors and 19,102,952 shares</w:t>
      </w:r>
    </w:p>
    <w:p>
      <w:pPr>
        <w:spacing w:after="0" w:line="3" w:lineRule="exact"/>
        <w:rPr>
          <w:sz w:val="20"/>
          <w:szCs w:val="20"/>
          <w:color w:val="auto"/>
        </w:rPr>
      </w:pPr>
    </w:p>
    <w:p>
      <w:pPr>
        <w:ind w:left="920" w:right="20" w:hanging="912"/>
        <w:spacing w:after="0" w:line="231" w:lineRule="auto"/>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Common Stock of the Issuer that are publicly reported as being owned by the Warburg Pincus Reporting Persons.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 The aggregate total of 12,735,301 shares of Common Stock of the Issuer indicated in this Amendment No. 5 to Schedule 13G as being beneficially owned by the GTCR Sponsors is derived from the GTCR Sponsors' Form 4, filed with the Commission on March 10, 2026, and is not purported to be an accurate representation of the GTCR Sponsors' beneficial ownership as of the date of this Amendment No. 5 to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p>
      <w:pPr>
        <w:spacing w:after="0" w:line="2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2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percentages used herein are calculated based on 284,392,079 shares of Common Stock outstanding as of February 17, 2026 as reported on the Issuer's final prospectus reported on Form 424B7, filed on March 5, 2026.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31,838,253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19,102,952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w:t>
      </w:r>
    </w:p>
    <w:p>
      <w:pPr>
        <w:sectPr>
          <w:pgSz w:w="11900" w:h="16972" w:orient="portrait"/>
          <w:cols w:equalWidth="0" w:num="1">
            <w:col w:w="11140"/>
          </w:cols>
          <w:pgMar w:left="360" w:top="126" w:right="399" w:bottom="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Other than as set forth herein, no other person has the right to receive or the power to direct the receipt of dividends from, or the proceeds from the sale of, in excess of 5%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firstLine="6"/>
        <w:spacing w:after="0" w:line="235" w:lineRule="auto"/>
        <w:tabs>
          <w:tab w:leader="none" w:pos="122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Warburg Pincus Reporting Persons are making this single, joint filing because they may be deemed to constitute a "group" within the meaning of the Exchange Act. The joint filing agreement among the Warburg Pincus Reporting Persons to file this Amendment No. 5 to Schedule 13G jointly in accordance with Rule 13d-1(k) of the Exchange Act is incorporated by reference as Exhibit 99.1. (2)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WARBURG PINCUS &amp; CO.</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WP XI Partners, L.P.</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Pincus Partners II, L.P. /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Harsha Marti / Partner</w:t>
      </w:r>
    </w:p>
    <w:p>
      <w:pPr>
        <w:sectPr>
          <w:pgSz w:w="11900" w:h="16887" w:orient="portrait"/>
          <w:cols w:equalWidth="0" w:num="1">
            <w:col w:w="11140"/>
          </w:cols>
          <w:pgMar w:left="360" w:top="112" w:right="399" w:bottom="0" w:gutter="0" w:footer="0" w:header="0"/>
          <w:type w:val="continuous"/>
        </w:sectPr>
      </w:pPr>
    </w:p>
    <w:bookmarkStart w:id="18" w:name="page19"/>
    <w:bookmarkEnd w:id="18"/>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Warburg Pincus Private Equity XI, L.P.</w:t>
      </w:r>
    </w:p>
    <w:p>
      <w:pPr>
        <w:spacing w:after="0" w:line="152" w:lineRule="exact"/>
        <w:rPr>
          <w:sz w:val="20"/>
          <w:szCs w:val="20"/>
          <w:color w:val="auto"/>
        </w:rPr>
      </w:pPr>
    </w:p>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Harsha Marti, Partner</w:t>
      </w:r>
    </w:p>
    <w:p>
      <w:pPr>
        <w:spacing w:after="0" w:line="44" w:lineRule="exact"/>
        <w:rPr>
          <w:sz w:val="20"/>
          <w:szCs w:val="20"/>
          <w:color w:val="auto"/>
        </w:rPr>
      </w:pPr>
    </w:p>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Warburg</w:t>
      </w:r>
      <w:r>
        <w:rPr>
          <w:rFonts w:ascii="Times New Roman" w:cs="Times New Roman" w:eastAsia="Times New Roman" w:hAnsi="Times New Roman"/>
          <w:sz w:val="31"/>
          <w:szCs w:val="31"/>
          <w:color w:val="auto"/>
          <w:vertAlign w:val="subscript"/>
        </w:rPr>
        <w:t>Member</w:t>
      </w:r>
      <w:r>
        <w:rPr>
          <w:rFonts w:ascii="Times New Roman" w:cs="Times New Roman" w:eastAsia="Times New Roman" w:hAnsi="Times New Roman"/>
          <w:sz w:val="17"/>
          <w:szCs w:val="17"/>
          <w:color w:val="auto"/>
        </w:rPr>
        <w:t xml:space="preserve"> Pincus Partners II, L.P. / Managing</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2"/>
          <w:szCs w:val="32"/>
          <w:color w:val="auto"/>
          <w:vertAlign w:val="subscript"/>
        </w:rPr>
        <w:t>Partner</w:t>
      </w:r>
      <w:r>
        <w:rPr>
          <w:rFonts w:ascii="Times New Roman" w:cs="Times New Roman" w:eastAsia="Times New Roman" w:hAnsi="Times New Roman"/>
          <w:sz w:val="18"/>
          <w:szCs w:val="18"/>
          <w:color w:val="auto"/>
        </w:rPr>
        <w:t xml:space="preserve"> Pincus Partners GP LLC / General</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Warburg Pincus XI Partners, L.P.</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Warburg</w:t>
      </w:r>
      <w:r>
        <w:rPr>
          <w:rFonts w:ascii="Times New Roman" w:cs="Times New Roman" w:eastAsia="Times New Roman" w:hAnsi="Times New Roman"/>
          <w:sz w:val="31"/>
          <w:szCs w:val="31"/>
          <w:color w:val="auto"/>
          <w:vertAlign w:val="subscript"/>
        </w:rPr>
        <w:t>Member</w:t>
      </w:r>
      <w:r>
        <w:rPr>
          <w:rFonts w:ascii="Times New Roman" w:cs="Times New Roman" w:eastAsia="Times New Roman" w:hAnsi="Times New Roman"/>
          <w:sz w:val="17"/>
          <w:szCs w:val="17"/>
          <w:color w:val="auto"/>
        </w:rPr>
        <w:t xml:space="preserve"> Pincus Partners II, L.P. / Managing</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2"/>
          <w:szCs w:val="32"/>
          <w:color w:val="auto"/>
          <w:vertAlign w:val="subscript"/>
        </w:rPr>
        <w:t>Partner</w:t>
      </w:r>
      <w:r>
        <w:rPr>
          <w:rFonts w:ascii="Times New Roman" w:cs="Times New Roman" w:eastAsia="Times New Roman" w:hAnsi="Times New Roman"/>
          <w:sz w:val="18"/>
          <w:szCs w:val="18"/>
          <w:color w:val="auto"/>
        </w:rPr>
        <w:t xml:space="preserve"> Pincus Partners GP LLC / General</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Warburg Pincus Private Equity XI-B, L.P.</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ectPr>
          <w:pgSz w:w="11900" w:h="16838" w:orient="portrait"/>
          <w:cols w:equalWidth="0" w:num="1">
            <w:col w:w="9480"/>
          </w:cols>
          <w:pgMar w:left="1440" w:top="153" w:right="979" w:bottom="0" w:gutter="0" w:footer="0" w:header="0"/>
        </w:sectPr>
      </w:pPr>
    </w:p>
    <w:bookmarkStart w:id="19" w:name="page20"/>
    <w:bookmarkEnd w:id="19"/>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4"/>
          <w:szCs w:val="34"/>
          <w:color w:val="auto"/>
          <w:vertAlign w:val="subscript"/>
        </w:rPr>
        <w:t>Member</w:t>
      </w:r>
      <w:r>
        <w:rPr>
          <w:rFonts w:ascii="Times New Roman" w:cs="Times New Roman" w:eastAsia="Times New Roman" w:hAnsi="Times New Roman"/>
          <w:sz w:val="18"/>
          <w:szCs w:val="18"/>
          <w:color w:val="auto"/>
        </w:rPr>
        <w:t xml:space="preserve"> Pincus Partners II, L.P. / Managing</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Warburg Pincus Private Equity XI-C,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(Cayman) XI,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5"/>
          <w:szCs w:val="35"/>
          <w:color w:val="auto"/>
          <w:vertAlign w:val="subscript"/>
        </w:rPr>
        <w:t>Partner</w:t>
      </w:r>
      <w:r>
        <w:rPr>
          <w:rFonts w:ascii="Times New Roman" w:cs="Times New Roman" w:eastAsia="Times New Roman" w:hAnsi="Times New Roman"/>
          <w:sz w:val="19"/>
          <w:szCs w:val="19"/>
          <w:color w:val="auto"/>
        </w:rPr>
        <w:t xml:space="preserve"> Pincus (Cayman) XI, L.P. / General</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XI-C,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Warburg Pincus XI-C, LLC / General Partner</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29" w:lineRule="exact"/>
        <w:rPr>
          <w:sz w:val="20"/>
          <w:szCs w:val="20"/>
          <w:color w:val="auto"/>
        </w:rPr>
      </w:pPr>
    </w:p>
    <w:p>
      <w:pPr>
        <w:ind w:left="5660" w:hanging="1079"/>
        <w:spacing w:after="0" w:line="185" w:lineRule="auto"/>
        <w:tabs>
          <w:tab w:leader="none" w:pos="5640" w:val="left"/>
        </w:tabs>
        <w:rPr>
          <w:sz w:val="20"/>
          <w:szCs w:val="20"/>
          <w:color w:val="auto"/>
        </w:rPr>
      </w:pPr>
      <w:r>
        <w:rPr>
          <w:rFonts w:ascii="Times New Roman" w:cs="Times New Roman" w:eastAsia="Times New Roman" w:hAnsi="Times New Roman"/>
          <w:sz w:val="39"/>
          <w:szCs w:val="39"/>
          <w:color w:val="auto"/>
          <w:vertAlign w:val="subscript"/>
        </w:rPr>
        <w:t>Signature:</w:t>
      </w:r>
      <w:r>
        <w:rPr>
          <w:sz w:val="20"/>
          <w:szCs w:val="20"/>
          <w:color w:val="auto"/>
        </w:rPr>
        <w:tab/>
      </w:r>
      <w:r>
        <w:rPr>
          <w:rFonts w:ascii="Times New Roman" w:cs="Times New Roman" w:eastAsia="Times New Roman" w:hAnsi="Times New Roman"/>
          <w:sz w:val="20"/>
          <w:szCs w:val="20"/>
          <w:color w:val="auto"/>
        </w:rPr>
        <w:t>/s/ Warburg Pincus (Bermuda) Private Equity GP Ltd.</w:t>
      </w:r>
    </w:p>
    <w:p>
      <w:pPr>
        <w:spacing w:after="0" w:line="125" w:lineRule="exact"/>
        <w:rPr>
          <w:sz w:val="20"/>
          <w:szCs w:val="20"/>
          <w:color w:val="auto"/>
        </w:rPr>
      </w:pPr>
    </w:p>
    <w:p>
      <w:pPr>
        <w:ind w:left="5660" w:right="2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Warburg Pincus (Bermuda) Private Equity GP Ltd. / General Partner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Bull Co-Invest L.P.</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Bull Manager LLC</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WP Bull Manager LLC / General Partner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Warburg Pincus XI,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4"/>
          <w:szCs w:val="34"/>
          <w:color w:val="auto"/>
          <w:vertAlign w:val="subscript"/>
        </w:rPr>
        <w:t>Member</w:t>
      </w:r>
      <w:r>
        <w:rPr>
          <w:rFonts w:ascii="Times New Roman" w:cs="Times New Roman" w:eastAsia="Times New Roman" w:hAnsi="Times New Roman"/>
          <w:sz w:val="18"/>
          <w:szCs w:val="18"/>
          <w:color w:val="auto"/>
        </w:rPr>
        <w:t xml:space="preserve"> Pincus Partners II, L.P. / Managing</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Warburg Pincus Partners GP LLC / General</w:t>
      </w:r>
    </w:p>
    <w:p>
      <w:pPr>
        <w:sectPr>
          <w:pgSz w:w="11900" w:h="16838" w:orient="portrait"/>
          <w:cols w:equalWidth="0" w:num="1">
            <w:col w:w="9920"/>
          </w:cols>
          <w:pgMar w:left="1440" w:top="153" w:right="539" w:bottom="0" w:gutter="0" w:footer="0" w:header="0"/>
        </w:sectPr>
      </w:pPr>
    </w:p>
    <w:bookmarkStart w:id="20" w:name="page21"/>
    <w:bookmarkEnd w:id="20"/>
    <w:p>
      <w:pPr>
        <w:spacing w:after="0" w:line="3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Partner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03/10/2026</w:t>
      </w:r>
    </w:p>
    <w:p>
      <w:pPr>
        <w:spacing w:after="0" w:line="164" w:lineRule="exact"/>
        <w:rPr>
          <w:sz w:val="20"/>
          <w:szCs w:val="20"/>
          <w:color w:val="auto"/>
        </w:rPr>
      </w:pPr>
    </w:p>
    <w:p>
      <w:pPr>
        <w:sectPr>
          <w:pgSz w:w="11900" w:h="16847" w:orient="portrait"/>
          <w:cols w:equalWidth="0" w:num="2">
            <w:col w:w="5040" w:space="620"/>
            <w:col w:w="4260"/>
          </w:cols>
          <w:pgMar w:left="1440" w:top="111" w:right="539" w:bottom="0" w:gutter="0" w:footer="0" w:header="0"/>
        </w:sect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Name/Title: Warburg Pincus &amp; Co. / Managing Member</w:t>
      </w:r>
    </w:p>
    <w:p>
      <w:pPr>
        <w:spacing w:after="0" w:line="56"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ectPr>
          <w:pgSz w:w="11900" w:h="16847" w:orient="portrait"/>
          <w:cols w:equalWidth="0" w:num="1">
            <w:col w:w="9920"/>
          </w:cols>
          <w:pgMar w:left="1440" w:top="111" w:right="539" w:bottom="0" w:gutter="0" w:footer="0" w:header="0"/>
          <w:type w:val="continuous"/>
        </w:sectPr>
      </w:pP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WP Global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4"/>
          <w:szCs w:val="34"/>
          <w:color w:val="auto"/>
          <w:vertAlign w:val="subscript"/>
        </w:rPr>
        <w:t>Member</w:t>
      </w:r>
      <w:r>
        <w:rPr>
          <w:rFonts w:ascii="Times New Roman" w:cs="Times New Roman" w:eastAsia="Times New Roman" w:hAnsi="Times New Roman"/>
          <w:sz w:val="18"/>
          <w:szCs w:val="18"/>
          <w:color w:val="auto"/>
        </w:rPr>
        <w:t xml:space="preserve"> Pincus Partners II, L.P. / Managing</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Warburg Pincus Partners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Warburg Pincus Partners GP LLC</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Warburg Pincus (Cayman) XI,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XI-C,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Warburg Pincus XI-C, LLC / General Partner</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jc w:val="right"/>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ectPr>
          <w:pgSz w:w="11900" w:h="16847" w:orient="portrait"/>
          <w:cols w:equalWidth="0" w:num="1">
            <w:col w:w="9920"/>
          </w:cols>
          <w:pgMar w:left="1440" w:top="111" w:right="539" w:bottom="0" w:gutter="0" w:footer="0" w:header="0"/>
          <w:type w:val="continuous"/>
        </w:sectPr>
      </w:pPr>
    </w:p>
    <w:bookmarkStart w:id="21" w:name="page22"/>
    <w:bookmarkEnd w:id="21"/>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Warburg Pincus XI-C,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Warburg Pincus Partners II (Cayman),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Warburg Pincus (Bermuda) Private Equity GP Ltd.</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Warburg Pincus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Harsha Marti / Managing Director, Chief Legal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and Head of New Solutions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Exhibit 99.1 Agreement of Joint Filing as required by Rule 13d-1(k)(1) under the Act.* * Incorporated herein by reference to the Agreement of Joint Filing by Warburg Pincus Private Equity XI, L.P., Warburg Pincus XI Partners, L.P., Warburg Pincus Private Equity XI-B, L.P., WP XI Partners, L.P., Warburg Pincus Private Equity XI-C, L.P., Bull Co-Invest L.P., Warburg Pincus XI, L.P., WP Global LLC, Warburg Pincus Partners II, L.P., Warburg Pincus Partners GP LLC, Warburg Pincus &amp; Co., Warburg Pincus (Cayman) XI, L.P., Warburg Pincus XI-C, LLC, Warburg Pincus Partners II (Cayman), L.P., Warburg Pincus (Bermuda) Private Equity GP LTD., and Warburg Pincus LLC ("Warburg Pincus Funds") dated as of February 14, 2022, which was previously filed with the Commission as Exhibit 99.1 to Amendment No. 1 to Schedule 13G filed by the Warburg Pincus Funds on February 14, 2022 with respect to the shares of common stock of Sotera Health Co.</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2"/>
      <w:numFmt w:val="bullet"/>
      <w:start w:val="1"/>
    </w:lvl>
  </w:abstractNum>
  <w:abstractNum w:abstractNumId="1">
    <w:nsid w:val="6B68079A"/>
    <w:multiLevelType w:val="hybridMultilevel"/>
    <w:lvl w:ilvl="0">
      <w:lvlJc w:val="left"/>
      <w:lvlText w:val="3"/>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2"/>
      <w:numFmt w:val="bullet"/>
      <w:start w:val="1"/>
    </w:lvl>
  </w:abstractNum>
  <w:abstractNum w:abstractNumId="5">
    <w:nsid w:val="431BD7B7"/>
    <w:multiLevelType w:val="hybridMultilevel"/>
    <w:lvl w:ilvl="0">
      <w:lvlJc w:val="left"/>
      <w:lvlText w:val="3"/>
      <w:numFmt w:val="bullet"/>
      <w:start w:val="1"/>
    </w:lvl>
  </w:abstractNum>
  <w:abstractNum w:abstractNumId="6">
    <w:nsid w:val="3F2DBA31"/>
    <w:multiLevelType w:val="hybridMultilevel"/>
    <w:lvl w:ilvl="0">
      <w:lvlJc w:val="left"/>
      <w:lvlText w:val="2"/>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2"/>
      <w:numFmt w:val="bullet"/>
      <w:start w:val="1"/>
    </w:lvl>
  </w:abstractNum>
  <w:abstractNum w:abstractNumId="11">
    <w:nsid w:val="628C895D"/>
    <w:multiLevelType w:val="hybridMultilevel"/>
    <w:lvl w:ilvl="0">
      <w:lvlJc w:val="left"/>
      <w:lvlText w:val="2"/>
      <w:numFmt w:val="bullet"/>
      <w:start w:val="1"/>
    </w:lvl>
  </w:abstractNum>
  <w:abstractNum w:abstractNumId="12">
    <w:nsid w:val="333AB105"/>
    <w:multiLevelType w:val="hybridMultilevel"/>
    <w:lvl w:ilvl="0">
      <w:lvlJc w:val="left"/>
      <w:lvlText w:val="2"/>
      <w:numFmt w:val="bullet"/>
      <w:start w:val="1"/>
    </w:lvl>
  </w:abstractNum>
  <w:abstractNum w:abstractNumId="13">
    <w:nsid w:val="721DA317"/>
    <w:multiLevelType w:val="hybridMultilevel"/>
    <w:lvl w:ilvl="0">
      <w:lvlJc w:val="left"/>
      <w:lvlText w:val="2"/>
      <w:numFmt w:val="bullet"/>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2"/>
      <w:numFmt w:val="bullet"/>
      <w:start w:val="1"/>
    </w:lvl>
  </w:abstractNum>
  <w:abstractNum w:abstractNumId="16">
    <w:nsid w:val="6763845E"/>
    <w:multiLevelType w:val="hybridMultilevel"/>
    <w:lvl w:ilvl="0">
      <w:lvlJc w:val="left"/>
      <w:lvlText w:val="3"/>
      <w:numFmt w:val="bullet"/>
      <w:start w:val="1"/>
    </w:lvl>
  </w:abstractNum>
  <w:abstractNum w:abstractNumId="17">
    <w:nsid w:val="75A2A8D4"/>
    <w:multiLevelType w:val="hybridMultilevel"/>
    <w:lvl w:ilvl="0">
      <w:lvlJc w:val="left"/>
      <w:lvlText w:val="2"/>
      <w:numFmt w:val="bullet"/>
      <w:start w:val="1"/>
    </w:lvl>
  </w:abstractNum>
  <w:abstractNum w:abstractNumId="18">
    <w:nsid w:val="8EDBDAB"/>
    <w:multiLevelType w:val="hybridMultilevel"/>
    <w:lvl w:ilvl="0">
      <w:lvlJc w:val="left"/>
      <w:lvlText w:val="3"/>
      <w:numFmt w:val="bullet"/>
      <w:start w:val="1"/>
    </w:lvl>
  </w:abstractNum>
  <w:abstractNum w:abstractNumId="19">
    <w:nsid w:val="79838CB2"/>
    <w:multiLevelType w:val="hybridMultilevel"/>
    <w:lvl w:ilvl="0">
      <w:lvlJc w:val="left"/>
      <w:lvlText w:val="9"/>
      <w:numFmt w:val="bullet"/>
      <w:start w:val="1"/>
    </w:lvl>
  </w:abstractNum>
  <w:abstractNum w:abstractNumId="20">
    <w:nsid w:val="4353D0CD"/>
    <w:multiLevelType w:val="hybridMultilevel"/>
    <w:lvl w:ilvl="0">
      <w:lvlJc w:val="left"/>
      <w:lvlText w:val="2"/>
      <w:numFmt w:val="bullet"/>
      <w:start w:val="1"/>
    </w:lvl>
  </w:abstractNum>
  <w:abstractNum w:abstractNumId="21">
    <w:nsid w:val="B03E0C6"/>
    <w:multiLevelType w:val="hybridMultilevel"/>
    <w:lvl w:ilvl="0">
      <w:lvlJc w:val="left"/>
      <w:lvlText w:val="%1"/>
      <w:numFmt w:val="decimal"/>
      <w:start w:val="12"/>
    </w:lvl>
  </w:abstractNum>
  <w:abstractNum w:abstractNumId="22">
    <w:nsid w:val="189A769B"/>
    <w:multiLevelType w:val="hybridMultilevel"/>
    <w:lvl w:ilvl="0">
      <w:lvlJc w:val="left"/>
      <w:lvlText w:val="2"/>
      <w:numFmt w:val="bullet"/>
      <w:start w:val="1"/>
    </w:lvl>
  </w:abstractNum>
  <w:abstractNum w:abstractNumId="23">
    <w:nsid w:val="54E49EB4"/>
    <w:multiLevelType w:val="hybridMultilevel"/>
    <w:lvl w:ilvl="0">
      <w:lvlJc w:val="left"/>
      <w:lvlText w:val="2"/>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Roman"/>
      <w:start w:val="2"/>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2026-03-10T22:02:56Z</dcterms:created>
  <dcterms:modified xsi:type="dcterms:W3CDTF">2026-03-10T22:02:56Z</dcterms:modified>
</cp:coreProperties>
</file>