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Petras Michael B. Jr.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202"/>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Chairman &amp; CEO</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2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6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572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722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 ("Common</w:t>
            </w:r>
          </w:p>
        </w:tc>
        <w:tc>
          <w:tcPr>
            <w:tcW w:w="1580" w:type="dxa"/>
            <w:vAlign w:val="bottom"/>
            <w:vMerge w:val="restart"/>
          </w:tcPr>
          <w:p>
            <w:pPr>
              <w:jc w:val="center"/>
              <w:ind w:right="177"/>
              <w:spacing w:after="0"/>
              <w:rPr>
                <w:sz w:val="20"/>
                <w:szCs w:val="20"/>
                <w:color w:val="auto"/>
              </w:rPr>
            </w:pPr>
            <w:r>
              <w:rPr>
                <w:rFonts w:ascii="Times New Roman" w:cs="Times New Roman" w:eastAsia="Times New Roman" w:hAnsi="Times New Roman"/>
                <w:sz w:val="20"/>
                <w:szCs w:val="20"/>
                <w:color w:val="0000FF"/>
              </w:rPr>
              <w:t>8,140,726</w:t>
            </w:r>
            <w:r>
              <w:rPr>
                <w:rFonts w:ascii="Times New Roman" w:cs="Times New Roman" w:eastAsia="Times New Roman" w:hAnsi="Times New Roman"/>
                <w:sz w:val="25"/>
                <w:szCs w:val="25"/>
                <w:color w:val="008000"/>
                <w:vertAlign w:val="superscript"/>
              </w:rPr>
              <w:t>(2)</w:t>
            </w:r>
          </w:p>
        </w:tc>
        <w:tc>
          <w:tcPr>
            <w:tcW w:w="860" w:type="dxa"/>
            <w:vAlign w:val="bottom"/>
          </w:tcPr>
          <w:p>
            <w:pPr>
              <w:spacing w:after="0"/>
              <w:rPr>
                <w:sz w:val="20"/>
                <w:szCs w:val="20"/>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20"/>
                <w:szCs w:val="20"/>
                <w:color w:val="0000FF"/>
              </w:rPr>
              <w:t>By grantor trust</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r>
              <w:rPr>
                <w:rFonts w:ascii="Times New Roman" w:cs="Times New Roman" w:eastAsia="Times New Roman" w:hAnsi="Times New Roman"/>
                <w:sz w:val="25"/>
                <w:szCs w:val="25"/>
                <w:color w:val="008000"/>
                <w:vertAlign w:val="superscript"/>
              </w:rPr>
              <w:t>(1)</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vMerge w:val="continue"/>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 ("Common</w:t>
            </w:r>
          </w:p>
        </w:tc>
        <w:tc>
          <w:tcPr>
            <w:tcW w:w="1580" w:type="dxa"/>
            <w:vAlign w:val="bottom"/>
            <w:vMerge w:val="restart"/>
          </w:tcPr>
          <w:p>
            <w:pPr>
              <w:jc w:val="center"/>
              <w:ind w:right="237"/>
              <w:spacing w:after="0"/>
              <w:rPr>
                <w:sz w:val="20"/>
                <w:szCs w:val="20"/>
                <w:color w:val="auto"/>
              </w:rPr>
            </w:pPr>
            <w:r>
              <w:rPr>
                <w:rFonts w:ascii="Times New Roman" w:cs="Times New Roman" w:eastAsia="Times New Roman" w:hAnsi="Times New Roman"/>
                <w:sz w:val="20"/>
                <w:szCs w:val="20"/>
                <w:color w:val="0000FF"/>
              </w:rPr>
              <w:t>437,821</w:t>
            </w:r>
            <w:r>
              <w:rPr>
                <w:rFonts w:ascii="Times New Roman" w:cs="Times New Roman" w:eastAsia="Times New Roman" w:hAnsi="Times New Roman"/>
                <w:sz w:val="25"/>
                <w:szCs w:val="25"/>
                <w:color w:val="008000"/>
                <w:vertAlign w:val="superscript"/>
              </w:rPr>
              <w:t>(2)</w:t>
            </w:r>
          </w:p>
        </w:tc>
        <w:tc>
          <w:tcPr>
            <w:tcW w:w="86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vMerge w:val="restart"/>
          </w:tcPr>
          <w:p>
            <w:pPr>
              <w:ind w:left="600"/>
              <w:spacing w:after="0"/>
              <w:rPr>
                <w:sz w:val="20"/>
                <w:szCs w:val="20"/>
                <w:color w:val="auto"/>
              </w:rPr>
            </w:pPr>
            <w:r>
              <w:rPr>
                <w:rFonts w:ascii="Times New Roman" w:cs="Times New Roman" w:eastAsia="Times New Roman" w:hAnsi="Times New Roman"/>
                <w:sz w:val="20"/>
                <w:szCs w:val="20"/>
                <w:color w:val="0000FF"/>
              </w:rPr>
              <w:t>By grantor retained annuity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r>
              <w:rPr>
                <w:rFonts w:ascii="Times New Roman" w:cs="Times New Roman" w:eastAsia="Times New Roman" w:hAnsi="Times New Roman"/>
                <w:sz w:val="25"/>
                <w:szCs w:val="25"/>
                <w:color w:val="008000"/>
                <w:vertAlign w:val="superscript"/>
              </w:rPr>
              <w:t>(1)</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3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vMerge w:val="continue"/>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60" w:type="dxa"/>
            <w:vAlign w:val="bottom"/>
            <w:vMerge w:val="restart"/>
          </w:tcPr>
          <w:p>
            <w:pPr>
              <w:ind w:left="2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6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3"/>
                <w:szCs w:val="13"/>
                <w:color w:val="auto"/>
              </w:rPr>
            </w:pPr>
          </w:p>
        </w:tc>
        <w:tc>
          <w:tcPr>
            <w:tcW w:w="860" w:type="dxa"/>
            <w:vAlign w:val="bottom"/>
          </w:tcPr>
          <w:p>
            <w:pPr>
              <w:ind w:left="280"/>
              <w:spacing w:after="0" w:line="159"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vMerge w:val="continue"/>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being filed in connection with the effectiveness of the Registration Statement on Form 8-A relating to the registration under Section 12 of the Securities Exchange Act of 1934, as amended (the "Exchange Act") of Sotera Health Company (the "Issuer").</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received as a liquidating distribution from Sotera Health Topco Parent, L.P. ("Topco Parent") on November 19, 2020.</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Jessica L. M. H. Epp,</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9"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34" w:lineRule="exact"/>
        <w:rPr>
          <w:sz w:val="20"/>
          <w:szCs w:val="20"/>
          <w:color w:val="auto"/>
        </w:rPr>
      </w:pPr>
    </w:p>
    <w:p>
      <w:pPr>
        <w:ind w:right="20" w:firstLine="360"/>
        <w:spacing w:after="0" w:line="256" w:lineRule="auto"/>
        <w:tabs>
          <w:tab w:leader="none" w:pos="59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Times New Roman" w:cs="Times New Roman" w:eastAsia="Times New Roman" w:hAnsi="Times New Roman"/>
          <w:sz w:val="20"/>
          <w:szCs w:val="20"/>
          <w:color w:val="auto"/>
        </w:rPr>
      </w:pPr>
    </w:p>
    <w:p>
      <w:pPr>
        <w:ind w:right="280" w:firstLine="360"/>
        <w:spacing w:after="0" w:line="266" w:lineRule="auto"/>
        <w:tabs>
          <w:tab w:leader="none" w:pos="65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0" w:lineRule="exact"/>
        <w:rPr>
          <w:rFonts w:ascii="Times New Roman" w:cs="Times New Roman" w:eastAsia="Times New Roman" w:hAnsi="Times New Roman"/>
          <w:sz w:val="20"/>
          <w:szCs w:val="20"/>
          <w:color w:val="auto"/>
        </w:rPr>
      </w:pPr>
    </w:p>
    <w:p>
      <w:pPr>
        <w:jc w:val="both"/>
        <w:ind w:right="140" w:firstLine="360"/>
        <w:spacing w:after="0" w:line="261" w:lineRule="auto"/>
        <w:tabs>
          <w:tab w:leader="none" w:pos="7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55"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0"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bookmarkStart w:id="2" w:name="page3"/>
    <w:bookmarkEnd w:id="2"/>
    <w:p>
      <w:pPr>
        <w:ind w:firstLine="360"/>
        <w:spacing w:after="0" w:line="213"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November, 2020.</w:t>
      </w:r>
    </w:p>
    <w:p>
      <w:pPr>
        <w:spacing w:after="0" w:line="19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B. Petras</w:t>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Michael B. Petras</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721360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4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32387"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2020-11-20T20:24:43Z</dcterms:created>
  <dcterms:modified xsi:type="dcterms:W3CDTF">2020-11-20T20:24:43Z</dcterms:modified>
</cp:coreProperties>
</file>