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Company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9100 South Hills Blvd,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Broadview Heights, OH 44147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Sotera Health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333-249648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Petras: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some of our comments, we may ask you to provide us with information so we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comment,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Exhibits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 in the prospectus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stating that your amended and restated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certificate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incorporation provides that derivative actions will be brought in the Court of Chancery, or any 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federal court located within the State of Delaware if the Court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Chancery does not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 However, the exclusive forum provision set forth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Exhibit 3.1 does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include the reference to a federal court if the Court of Chancery does not have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 Please revise to clarify whether this provision applies to actions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 Act, and please also ensure that the exclusive forum provision in the governing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documents states this clearly, or tell us how you will inform investors in future filings that the</w:t>
      </w:r>
    </w:p>
    <w:p>
      <w:pPr>
        <w:ind w:left="5900" w:right="31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provision does not apply to any actions arising under the Exchange Act.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7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Sasha Parikh at 202-551-3627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Christopher Edwards at 202-551-6761 or Dorrie Yale at 202-551-8776 with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Petras, Jr.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NameSotera Health Company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Lopez,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2020-12-21T23:13:15Z</dcterms:created>
  <dcterms:modified xsi:type="dcterms:W3CDTF">2020-12-21T23:13:15Z</dcterms:modified>
</cp:coreProperties>
</file>