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November 23, 2020</w:t>
      </w:r>
    </w:p>
    <w:p>
      <w:pPr>
        <w:spacing w:after="0" w:line="117" w:lineRule="exact"/>
        <w:rPr>
          <w:sz w:val="24"/>
          <w:szCs w:val="24"/>
          <w:color w:val="auto"/>
        </w:rPr>
      </w:pPr>
    </w:p>
    <w:p>
      <w:pPr>
        <w:ind w:left="884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120015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S-8</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REGISTRATION STATEMENT</w:t>
      </w:r>
    </w:p>
    <w:p>
      <w:pPr>
        <w:jc w:val="center"/>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Sotera Health Company</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920" w:type="dxa"/>
        <w:tblCellMar>
          <w:top w:w="0" w:type="dxa"/>
          <w:left w:w="0" w:type="dxa"/>
          <w:bottom w:w="0" w:type="dxa"/>
          <w:right w:w="0" w:type="dxa"/>
        </w:tblCellMar>
      </w:tblPr>
      <w:tr>
        <w:trPr>
          <w:trHeight w:val="212"/>
        </w:trPr>
        <w:tc>
          <w:tcPr>
            <w:tcW w:w="2000" w:type="dxa"/>
            <w:vAlign w:val="bottom"/>
          </w:tcPr>
          <w:p>
            <w:pPr>
              <w:jc w:val="center"/>
              <w:ind w:right="42"/>
              <w:spacing w:after="0"/>
              <w:rPr>
                <w:sz w:val="20"/>
                <w:szCs w:val="20"/>
                <w:color w:val="auto"/>
              </w:rPr>
            </w:pPr>
            <w:r>
              <w:rPr>
                <w:rFonts w:ascii="Arial" w:cs="Arial" w:eastAsia="Arial" w:hAnsi="Arial"/>
                <w:sz w:val="18"/>
                <w:szCs w:val="18"/>
                <w:b w:val="1"/>
                <w:bCs w:val="1"/>
                <w:color w:val="auto"/>
                <w:w w:val="91"/>
              </w:rPr>
              <w:t>Delaware</w:t>
            </w:r>
          </w:p>
        </w:tc>
        <w:tc>
          <w:tcPr>
            <w:tcW w:w="3740" w:type="dxa"/>
            <w:vAlign w:val="bottom"/>
            <w:gridSpan w:val="2"/>
          </w:tcPr>
          <w:p>
            <w:pPr>
              <w:jc w:val="center"/>
              <w:ind w:left="1573"/>
              <w:spacing w:after="0"/>
              <w:rPr>
                <w:sz w:val="20"/>
                <w:szCs w:val="20"/>
                <w:color w:val="auto"/>
              </w:rPr>
            </w:pPr>
            <w:r>
              <w:rPr>
                <w:rFonts w:ascii="Arial" w:cs="Arial" w:eastAsia="Arial" w:hAnsi="Arial"/>
                <w:sz w:val="18"/>
                <w:szCs w:val="18"/>
                <w:b w:val="1"/>
                <w:bCs w:val="1"/>
                <w:color w:val="auto"/>
                <w:w w:val="89"/>
              </w:rPr>
              <w:t>7389</w:t>
            </w:r>
          </w:p>
        </w:tc>
        <w:tc>
          <w:tcPr>
            <w:tcW w:w="1580" w:type="dxa"/>
            <w:vAlign w:val="bottom"/>
          </w:tcPr>
          <w:p>
            <w:pPr>
              <w:spacing w:after="0"/>
              <w:rPr>
                <w:sz w:val="18"/>
                <w:szCs w:val="18"/>
                <w:color w:val="auto"/>
              </w:rPr>
            </w:pPr>
          </w:p>
        </w:tc>
        <w:tc>
          <w:tcPr>
            <w:tcW w:w="1720" w:type="dxa"/>
            <w:vAlign w:val="bottom"/>
          </w:tcPr>
          <w:p>
            <w:pPr>
              <w:jc w:val="center"/>
              <w:ind w:left="222"/>
              <w:spacing w:after="0"/>
              <w:rPr>
                <w:sz w:val="20"/>
                <w:szCs w:val="20"/>
                <w:color w:val="auto"/>
              </w:rPr>
            </w:pPr>
            <w:r>
              <w:rPr>
                <w:rFonts w:ascii="Arial" w:cs="Arial" w:eastAsia="Arial" w:hAnsi="Arial"/>
                <w:sz w:val="18"/>
                <w:szCs w:val="18"/>
                <w:b w:val="1"/>
                <w:bCs w:val="1"/>
                <w:color w:val="auto"/>
                <w:w w:val="89"/>
              </w:rPr>
              <w:t>47-3531161</w:t>
            </w:r>
          </w:p>
        </w:tc>
      </w:tr>
      <w:tr>
        <w:trPr>
          <w:trHeight w:val="148"/>
        </w:trPr>
        <w:tc>
          <w:tcPr>
            <w:tcW w:w="200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420" w:type="dxa"/>
            <w:vAlign w:val="bottom"/>
          </w:tcPr>
          <w:p>
            <w:pPr>
              <w:spacing w:after="0"/>
              <w:rPr>
                <w:sz w:val="12"/>
                <w:szCs w:val="12"/>
                <w:color w:val="auto"/>
              </w:rPr>
            </w:pPr>
          </w:p>
        </w:tc>
        <w:tc>
          <w:tcPr>
            <w:tcW w:w="3900" w:type="dxa"/>
            <w:vAlign w:val="bottom"/>
            <w:gridSpan w:val="2"/>
          </w:tcPr>
          <w:p>
            <w:pPr>
              <w:jc w:val="center"/>
              <w:ind w:right="1340"/>
              <w:spacing w:after="0" w:line="149" w:lineRule="exact"/>
              <w:rPr>
                <w:sz w:val="20"/>
                <w:szCs w:val="20"/>
                <w:color w:val="auto"/>
              </w:rPr>
            </w:pPr>
            <w:r>
              <w:rPr>
                <w:rFonts w:ascii="Arial" w:cs="Arial" w:eastAsia="Arial" w:hAnsi="Arial"/>
                <w:sz w:val="14"/>
                <w:szCs w:val="14"/>
                <w:b w:val="1"/>
                <w:bCs w:val="1"/>
                <w:color w:val="auto"/>
                <w:w w:val="97"/>
              </w:rPr>
              <w:t>(Primary Standard Industrial</w:t>
            </w:r>
          </w:p>
        </w:tc>
        <w:tc>
          <w:tcPr>
            <w:tcW w:w="1720" w:type="dxa"/>
            <w:vAlign w:val="bottom"/>
          </w:tcPr>
          <w:p>
            <w:pPr>
              <w:jc w:val="center"/>
              <w:ind w:left="222"/>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2000" w:type="dxa"/>
            <w:vAlign w:val="bottom"/>
          </w:tcPr>
          <w:p>
            <w:pPr>
              <w:jc w:val="center"/>
              <w:ind w:right="42"/>
              <w:spacing w:after="0"/>
              <w:rPr>
                <w:sz w:val="20"/>
                <w:szCs w:val="20"/>
                <w:color w:val="auto"/>
              </w:rPr>
            </w:pPr>
            <w:r>
              <w:rPr>
                <w:rFonts w:ascii="Arial" w:cs="Arial" w:eastAsia="Arial" w:hAnsi="Arial"/>
                <w:sz w:val="14"/>
                <w:szCs w:val="14"/>
                <w:b w:val="1"/>
                <w:bCs w:val="1"/>
                <w:color w:val="auto"/>
                <w:w w:val="94"/>
              </w:rPr>
              <w:t>incorporation or organization)</w:t>
            </w:r>
          </w:p>
        </w:tc>
        <w:tc>
          <w:tcPr>
            <w:tcW w:w="1420" w:type="dxa"/>
            <w:vAlign w:val="bottom"/>
          </w:tcPr>
          <w:p>
            <w:pPr>
              <w:spacing w:after="0"/>
              <w:rPr>
                <w:sz w:val="16"/>
                <w:szCs w:val="16"/>
                <w:color w:val="auto"/>
              </w:rPr>
            </w:pPr>
          </w:p>
        </w:tc>
        <w:tc>
          <w:tcPr>
            <w:tcW w:w="3900" w:type="dxa"/>
            <w:vAlign w:val="bottom"/>
            <w:gridSpan w:val="2"/>
          </w:tcPr>
          <w:p>
            <w:pPr>
              <w:jc w:val="center"/>
              <w:ind w:right="1340"/>
              <w:spacing w:after="0"/>
              <w:rPr>
                <w:sz w:val="20"/>
                <w:szCs w:val="20"/>
                <w:color w:val="auto"/>
              </w:rPr>
            </w:pPr>
            <w:r>
              <w:rPr>
                <w:rFonts w:ascii="Arial" w:cs="Arial" w:eastAsia="Arial" w:hAnsi="Arial"/>
                <w:sz w:val="14"/>
                <w:szCs w:val="14"/>
                <w:b w:val="1"/>
                <w:bCs w:val="1"/>
                <w:color w:val="auto"/>
                <w:w w:val="94"/>
              </w:rPr>
              <w:t>Classification Code Number)</w:t>
            </w:r>
          </w:p>
        </w:tc>
        <w:tc>
          <w:tcPr>
            <w:tcW w:w="1720" w:type="dxa"/>
            <w:vAlign w:val="bottom"/>
          </w:tcPr>
          <w:p>
            <w:pPr>
              <w:jc w:val="center"/>
              <w:ind w:left="222"/>
              <w:spacing w:after="0"/>
              <w:rPr>
                <w:sz w:val="20"/>
                <w:szCs w:val="20"/>
                <w:color w:val="auto"/>
              </w:rPr>
            </w:pPr>
            <w:r>
              <w:rPr>
                <w:rFonts w:ascii="Arial" w:cs="Arial" w:eastAsia="Arial" w:hAnsi="Arial"/>
                <w:sz w:val="14"/>
                <w:szCs w:val="14"/>
                <w:b w:val="1"/>
                <w:bCs w:val="1"/>
                <w:color w:val="auto"/>
                <w:w w:val="95"/>
              </w:rPr>
              <w:t>Identification Number)</w:t>
            </w:r>
          </w:p>
        </w:tc>
      </w:tr>
      <w:tr>
        <w:trPr>
          <w:trHeight w:val="412"/>
        </w:trPr>
        <w:tc>
          <w:tcPr>
            <w:tcW w:w="2000" w:type="dxa"/>
            <w:vAlign w:val="bottom"/>
          </w:tcPr>
          <w:p>
            <w:pPr>
              <w:spacing w:after="0"/>
              <w:rPr>
                <w:sz w:val="24"/>
                <w:szCs w:val="24"/>
                <w:color w:val="auto"/>
              </w:rPr>
            </w:pPr>
          </w:p>
        </w:tc>
        <w:tc>
          <w:tcPr>
            <w:tcW w:w="532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0"/>
              </w:rPr>
              <w:t>9100 South Hills Blvd, Suite 300</w:t>
            </w:r>
          </w:p>
        </w:tc>
        <w:tc>
          <w:tcPr>
            <w:tcW w:w="1720" w:type="dxa"/>
            <w:vAlign w:val="bottom"/>
          </w:tcPr>
          <w:p>
            <w:pPr>
              <w:spacing w:after="0"/>
              <w:rPr>
                <w:sz w:val="24"/>
                <w:szCs w:val="24"/>
                <w:color w:val="auto"/>
              </w:rPr>
            </w:pPr>
          </w:p>
        </w:tc>
      </w:tr>
      <w:tr>
        <w:trPr>
          <w:trHeight w:val="216"/>
        </w:trPr>
        <w:tc>
          <w:tcPr>
            <w:tcW w:w="2000" w:type="dxa"/>
            <w:vAlign w:val="bottom"/>
          </w:tcPr>
          <w:p>
            <w:pPr>
              <w:spacing w:after="0"/>
              <w:rPr>
                <w:sz w:val="18"/>
                <w:szCs w:val="18"/>
                <w:color w:val="auto"/>
              </w:rPr>
            </w:pPr>
          </w:p>
        </w:tc>
        <w:tc>
          <w:tcPr>
            <w:tcW w:w="532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0"/>
              </w:rPr>
              <w:t>Broadview Heights, Ohio 44147</w:t>
            </w:r>
          </w:p>
        </w:tc>
        <w:tc>
          <w:tcPr>
            <w:tcW w:w="1720" w:type="dxa"/>
            <w:vAlign w:val="bottom"/>
          </w:tcPr>
          <w:p>
            <w:pPr>
              <w:spacing w:after="0"/>
              <w:rPr>
                <w:sz w:val="18"/>
                <w:szCs w:val="18"/>
                <w:color w:val="auto"/>
              </w:rPr>
            </w:pPr>
          </w:p>
        </w:tc>
      </w:tr>
      <w:tr>
        <w:trPr>
          <w:trHeight w:val="212"/>
        </w:trPr>
        <w:tc>
          <w:tcPr>
            <w:tcW w:w="2000" w:type="dxa"/>
            <w:vAlign w:val="bottom"/>
          </w:tcPr>
          <w:p>
            <w:pPr>
              <w:spacing w:after="0"/>
              <w:rPr>
                <w:sz w:val="18"/>
                <w:szCs w:val="18"/>
                <w:color w:val="auto"/>
              </w:rPr>
            </w:pPr>
          </w:p>
        </w:tc>
        <w:tc>
          <w:tcPr>
            <w:tcW w:w="3740" w:type="dxa"/>
            <w:vAlign w:val="bottom"/>
            <w:gridSpan w:val="2"/>
          </w:tcPr>
          <w:p>
            <w:pPr>
              <w:jc w:val="center"/>
              <w:ind w:left="1333"/>
              <w:spacing w:after="0"/>
              <w:rPr>
                <w:sz w:val="20"/>
                <w:szCs w:val="20"/>
                <w:color w:val="auto"/>
              </w:rPr>
            </w:pPr>
            <w:r>
              <w:rPr>
                <w:rFonts w:ascii="Arial" w:cs="Arial" w:eastAsia="Arial" w:hAnsi="Arial"/>
                <w:sz w:val="18"/>
                <w:szCs w:val="18"/>
                <w:b w:val="1"/>
                <w:bCs w:val="1"/>
                <w:color w:val="auto"/>
                <w:w w:val="90"/>
              </w:rPr>
              <w:t>(440) 262-1410</w:t>
            </w:r>
          </w:p>
        </w:tc>
        <w:tc>
          <w:tcPr>
            <w:tcW w:w="158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186"/>
        </w:trPr>
        <w:tc>
          <w:tcPr>
            <w:tcW w:w="2000" w:type="dxa"/>
            <w:vAlign w:val="bottom"/>
          </w:tcPr>
          <w:p>
            <w:pPr>
              <w:spacing w:after="0"/>
              <w:rPr>
                <w:sz w:val="16"/>
                <w:szCs w:val="16"/>
                <w:color w:val="auto"/>
              </w:rPr>
            </w:pPr>
          </w:p>
        </w:tc>
        <w:tc>
          <w:tcPr>
            <w:tcW w:w="53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0"/>
              </w:rPr>
              <w:t>(Address of principal executive offices, including zip code)</w:t>
            </w:r>
          </w:p>
        </w:tc>
        <w:tc>
          <w:tcPr>
            <w:tcW w:w="1720" w:type="dxa"/>
            <w:vAlign w:val="bottom"/>
          </w:tcPr>
          <w:p>
            <w:pPr>
              <w:spacing w:after="0"/>
              <w:rPr>
                <w:sz w:val="16"/>
                <w:szCs w:val="16"/>
                <w:color w:val="auto"/>
              </w:rPr>
            </w:pPr>
          </w:p>
        </w:tc>
      </w:tr>
      <w:tr>
        <w:trPr>
          <w:trHeight w:val="394"/>
        </w:trPr>
        <w:tc>
          <w:tcPr>
            <w:tcW w:w="2000" w:type="dxa"/>
            <w:vAlign w:val="bottom"/>
          </w:tcPr>
          <w:p>
            <w:pPr>
              <w:spacing w:after="0"/>
              <w:rPr>
                <w:sz w:val="24"/>
                <w:szCs w:val="24"/>
                <w:color w:val="auto"/>
              </w:rPr>
            </w:pPr>
          </w:p>
        </w:tc>
        <w:tc>
          <w:tcPr>
            <w:tcW w:w="532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0"/>
              </w:rPr>
              <w:t>Sotera Health Company 2020 Omnibus Incentive Plan</w:t>
            </w:r>
          </w:p>
        </w:tc>
        <w:tc>
          <w:tcPr>
            <w:tcW w:w="1720" w:type="dxa"/>
            <w:vAlign w:val="bottom"/>
          </w:tcPr>
          <w:p>
            <w:pPr>
              <w:spacing w:after="0"/>
              <w:rPr>
                <w:sz w:val="24"/>
                <w:szCs w:val="24"/>
                <w:color w:val="auto"/>
              </w:rPr>
            </w:pPr>
          </w:p>
        </w:tc>
      </w:tr>
      <w:tr>
        <w:trPr>
          <w:trHeight w:val="186"/>
        </w:trPr>
        <w:tc>
          <w:tcPr>
            <w:tcW w:w="20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3900" w:type="dxa"/>
            <w:vAlign w:val="bottom"/>
            <w:gridSpan w:val="2"/>
          </w:tcPr>
          <w:p>
            <w:pPr>
              <w:jc w:val="center"/>
              <w:ind w:right="1580"/>
              <w:spacing w:after="0"/>
              <w:rPr>
                <w:sz w:val="20"/>
                <w:szCs w:val="20"/>
                <w:color w:val="auto"/>
              </w:rPr>
            </w:pPr>
            <w:r>
              <w:rPr>
                <w:rFonts w:ascii="Arial" w:cs="Arial" w:eastAsia="Arial" w:hAnsi="Arial"/>
                <w:sz w:val="14"/>
                <w:szCs w:val="14"/>
                <w:b w:val="1"/>
                <w:bCs w:val="1"/>
                <w:color w:val="auto"/>
                <w:w w:val="95"/>
              </w:rPr>
              <w:t>(Full title of the plan)</w:t>
            </w:r>
          </w:p>
        </w:tc>
        <w:tc>
          <w:tcPr>
            <w:tcW w:w="1720" w:type="dxa"/>
            <w:vAlign w:val="bottom"/>
          </w:tcPr>
          <w:p>
            <w:pPr>
              <w:spacing w:after="0"/>
              <w:rPr>
                <w:sz w:val="16"/>
                <w:szCs w:val="16"/>
                <w:color w:val="auto"/>
              </w:rPr>
            </w:pPr>
          </w:p>
        </w:tc>
      </w:tr>
      <w:tr>
        <w:trPr>
          <w:trHeight w:val="399"/>
        </w:trPr>
        <w:tc>
          <w:tcPr>
            <w:tcW w:w="20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900" w:type="dxa"/>
            <w:vAlign w:val="bottom"/>
            <w:gridSpan w:val="2"/>
          </w:tcPr>
          <w:p>
            <w:pPr>
              <w:jc w:val="center"/>
              <w:ind w:right="1560"/>
              <w:spacing w:after="0"/>
              <w:rPr>
                <w:sz w:val="20"/>
                <w:szCs w:val="20"/>
                <w:color w:val="auto"/>
              </w:rPr>
            </w:pPr>
            <w:r>
              <w:rPr>
                <w:rFonts w:ascii="Arial" w:cs="Arial" w:eastAsia="Arial" w:hAnsi="Arial"/>
                <w:sz w:val="18"/>
                <w:szCs w:val="18"/>
                <w:b w:val="1"/>
                <w:bCs w:val="1"/>
                <w:color w:val="auto"/>
                <w:w w:val="92"/>
              </w:rPr>
              <w:t>Matthew J. Klaben, Esq.</w:t>
            </w:r>
          </w:p>
        </w:tc>
        <w:tc>
          <w:tcPr>
            <w:tcW w:w="1720" w:type="dxa"/>
            <w:vAlign w:val="bottom"/>
          </w:tcPr>
          <w:p>
            <w:pPr>
              <w:spacing w:after="0"/>
              <w:rPr>
                <w:sz w:val="24"/>
                <w:szCs w:val="24"/>
                <w:color w:val="auto"/>
              </w:rPr>
            </w:pPr>
          </w:p>
        </w:tc>
      </w:tr>
      <w:tr>
        <w:trPr>
          <w:trHeight w:val="216"/>
        </w:trPr>
        <w:tc>
          <w:tcPr>
            <w:tcW w:w="2000" w:type="dxa"/>
            <w:vAlign w:val="bottom"/>
          </w:tcPr>
          <w:p>
            <w:pPr>
              <w:spacing w:after="0"/>
              <w:rPr>
                <w:sz w:val="18"/>
                <w:szCs w:val="18"/>
                <w:color w:val="auto"/>
              </w:rPr>
            </w:pPr>
          </w:p>
        </w:tc>
        <w:tc>
          <w:tcPr>
            <w:tcW w:w="532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9"/>
              </w:rPr>
              <w:t>Senior Vice President, General Counsel and Secretary</w:t>
            </w:r>
          </w:p>
        </w:tc>
        <w:tc>
          <w:tcPr>
            <w:tcW w:w="1720" w:type="dxa"/>
            <w:vAlign w:val="bottom"/>
          </w:tcPr>
          <w:p>
            <w:pPr>
              <w:spacing w:after="0"/>
              <w:rPr>
                <w:sz w:val="18"/>
                <w:szCs w:val="18"/>
                <w:color w:val="auto"/>
              </w:rPr>
            </w:pPr>
          </w:p>
        </w:tc>
      </w:tr>
      <w:tr>
        <w:trPr>
          <w:trHeight w:val="216"/>
        </w:trPr>
        <w:tc>
          <w:tcPr>
            <w:tcW w:w="20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900" w:type="dxa"/>
            <w:vAlign w:val="bottom"/>
            <w:gridSpan w:val="2"/>
          </w:tcPr>
          <w:p>
            <w:pPr>
              <w:jc w:val="center"/>
              <w:ind w:right="1560"/>
              <w:spacing w:after="0"/>
              <w:rPr>
                <w:sz w:val="20"/>
                <w:szCs w:val="20"/>
                <w:color w:val="auto"/>
              </w:rPr>
            </w:pPr>
            <w:r>
              <w:rPr>
                <w:rFonts w:ascii="Arial" w:cs="Arial" w:eastAsia="Arial" w:hAnsi="Arial"/>
                <w:sz w:val="18"/>
                <w:szCs w:val="18"/>
                <w:b w:val="1"/>
                <w:bCs w:val="1"/>
                <w:color w:val="auto"/>
                <w:w w:val="91"/>
              </w:rPr>
              <w:t>Sotera Health Company</w:t>
            </w:r>
          </w:p>
        </w:tc>
        <w:tc>
          <w:tcPr>
            <w:tcW w:w="1720" w:type="dxa"/>
            <w:vAlign w:val="bottom"/>
          </w:tcPr>
          <w:p>
            <w:pPr>
              <w:spacing w:after="0"/>
              <w:rPr>
                <w:sz w:val="18"/>
                <w:szCs w:val="18"/>
                <w:color w:val="auto"/>
              </w:rPr>
            </w:pPr>
          </w:p>
        </w:tc>
      </w:tr>
      <w:tr>
        <w:trPr>
          <w:trHeight w:val="216"/>
        </w:trPr>
        <w:tc>
          <w:tcPr>
            <w:tcW w:w="2000" w:type="dxa"/>
            <w:vAlign w:val="bottom"/>
          </w:tcPr>
          <w:p>
            <w:pPr>
              <w:spacing w:after="0"/>
              <w:rPr>
                <w:sz w:val="18"/>
                <w:szCs w:val="18"/>
                <w:color w:val="auto"/>
              </w:rPr>
            </w:pPr>
          </w:p>
        </w:tc>
        <w:tc>
          <w:tcPr>
            <w:tcW w:w="532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0"/>
              </w:rPr>
              <w:t>9100 South Hills Blvd, Suite 300</w:t>
            </w:r>
          </w:p>
        </w:tc>
        <w:tc>
          <w:tcPr>
            <w:tcW w:w="1720" w:type="dxa"/>
            <w:vAlign w:val="bottom"/>
          </w:tcPr>
          <w:p>
            <w:pPr>
              <w:spacing w:after="0"/>
              <w:rPr>
                <w:sz w:val="18"/>
                <w:szCs w:val="18"/>
                <w:color w:val="auto"/>
              </w:rPr>
            </w:pPr>
          </w:p>
        </w:tc>
      </w:tr>
      <w:tr>
        <w:trPr>
          <w:trHeight w:val="216"/>
        </w:trPr>
        <w:tc>
          <w:tcPr>
            <w:tcW w:w="2000" w:type="dxa"/>
            <w:vAlign w:val="bottom"/>
          </w:tcPr>
          <w:p>
            <w:pPr>
              <w:spacing w:after="0"/>
              <w:rPr>
                <w:sz w:val="18"/>
                <w:szCs w:val="18"/>
                <w:color w:val="auto"/>
              </w:rPr>
            </w:pPr>
          </w:p>
        </w:tc>
        <w:tc>
          <w:tcPr>
            <w:tcW w:w="532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0"/>
              </w:rPr>
              <w:t>Broadview Heights, Ohio 44147</w:t>
            </w:r>
          </w:p>
        </w:tc>
        <w:tc>
          <w:tcPr>
            <w:tcW w:w="1720" w:type="dxa"/>
            <w:vAlign w:val="bottom"/>
          </w:tcPr>
          <w:p>
            <w:pPr>
              <w:spacing w:after="0"/>
              <w:rPr>
                <w:sz w:val="18"/>
                <w:szCs w:val="18"/>
                <w:color w:val="auto"/>
              </w:rPr>
            </w:pPr>
          </w:p>
        </w:tc>
      </w:tr>
      <w:tr>
        <w:trPr>
          <w:trHeight w:val="212"/>
        </w:trPr>
        <w:tc>
          <w:tcPr>
            <w:tcW w:w="2000" w:type="dxa"/>
            <w:vAlign w:val="bottom"/>
          </w:tcPr>
          <w:p>
            <w:pPr>
              <w:spacing w:after="0"/>
              <w:rPr>
                <w:sz w:val="18"/>
                <w:szCs w:val="18"/>
                <w:color w:val="auto"/>
              </w:rPr>
            </w:pPr>
          </w:p>
        </w:tc>
        <w:tc>
          <w:tcPr>
            <w:tcW w:w="3740" w:type="dxa"/>
            <w:vAlign w:val="bottom"/>
            <w:gridSpan w:val="2"/>
          </w:tcPr>
          <w:p>
            <w:pPr>
              <w:jc w:val="center"/>
              <w:ind w:left="1333"/>
              <w:spacing w:after="0"/>
              <w:rPr>
                <w:sz w:val="20"/>
                <w:szCs w:val="20"/>
                <w:color w:val="auto"/>
              </w:rPr>
            </w:pPr>
            <w:r>
              <w:rPr>
                <w:rFonts w:ascii="Arial" w:cs="Arial" w:eastAsia="Arial" w:hAnsi="Arial"/>
                <w:sz w:val="18"/>
                <w:szCs w:val="18"/>
                <w:b w:val="1"/>
                <w:bCs w:val="1"/>
                <w:color w:val="auto"/>
                <w:w w:val="90"/>
              </w:rPr>
              <w:t>(440) 262-1409</w:t>
            </w:r>
          </w:p>
        </w:tc>
        <w:tc>
          <w:tcPr>
            <w:tcW w:w="158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186"/>
        </w:trPr>
        <w:tc>
          <w:tcPr>
            <w:tcW w:w="2000" w:type="dxa"/>
            <w:vAlign w:val="bottom"/>
          </w:tcPr>
          <w:p>
            <w:pPr>
              <w:spacing w:after="0"/>
              <w:rPr>
                <w:sz w:val="16"/>
                <w:szCs w:val="16"/>
                <w:color w:val="auto"/>
              </w:rPr>
            </w:pPr>
          </w:p>
        </w:tc>
        <w:tc>
          <w:tcPr>
            <w:tcW w:w="53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1"/>
              </w:rPr>
              <w:t>(Name, address and telephone number, including area code, of agent for service)</w:t>
            </w:r>
          </w:p>
        </w:tc>
        <w:tc>
          <w:tcPr>
            <w:tcW w:w="1720" w:type="dxa"/>
            <w:vAlign w:val="bottom"/>
          </w:tcPr>
          <w:p>
            <w:pPr>
              <w:spacing w:after="0"/>
              <w:rPr>
                <w:sz w:val="16"/>
                <w:szCs w:val="16"/>
                <w:color w:val="auto"/>
              </w:rPr>
            </w:pPr>
          </w:p>
        </w:tc>
      </w:tr>
      <w:tr>
        <w:trPr>
          <w:trHeight w:val="336"/>
        </w:trPr>
        <w:tc>
          <w:tcPr>
            <w:tcW w:w="20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158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426"/>
        </w:trPr>
        <w:tc>
          <w:tcPr>
            <w:tcW w:w="20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900" w:type="dxa"/>
            <w:vAlign w:val="bottom"/>
            <w:gridSpan w:val="2"/>
          </w:tcPr>
          <w:p>
            <w:pPr>
              <w:jc w:val="center"/>
              <w:ind w:right="1560"/>
              <w:spacing w:after="0"/>
              <w:rPr>
                <w:sz w:val="20"/>
                <w:szCs w:val="20"/>
                <w:color w:val="auto"/>
              </w:rPr>
            </w:pPr>
            <w:r>
              <w:rPr>
                <w:rFonts w:ascii="Arial" w:cs="Arial" w:eastAsia="Arial" w:hAnsi="Arial"/>
                <w:sz w:val="18"/>
                <w:szCs w:val="18"/>
                <w:b w:val="1"/>
                <w:bCs w:val="1"/>
                <w:i w:val="1"/>
                <w:iCs w:val="1"/>
                <w:color w:val="auto"/>
                <w:w w:val="84"/>
              </w:rPr>
              <w:t>Copies to:</w:t>
            </w:r>
          </w:p>
        </w:tc>
        <w:tc>
          <w:tcPr>
            <w:tcW w:w="1720" w:type="dxa"/>
            <w:vAlign w:val="bottom"/>
          </w:tcPr>
          <w:p>
            <w:pPr>
              <w:spacing w:after="0"/>
              <w:rPr>
                <w:sz w:val="24"/>
                <w:szCs w:val="24"/>
                <w:color w:val="auto"/>
              </w:rPr>
            </w:pPr>
          </w:p>
        </w:tc>
      </w:tr>
      <w:tr>
        <w:trPr>
          <w:trHeight w:val="414"/>
        </w:trPr>
        <w:tc>
          <w:tcPr>
            <w:tcW w:w="20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900" w:type="dxa"/>
            <w:vAlign w:val="bottom"/>
            <w:gridSpan w:val="2"/>
          </w:tcPr>
          <w:p>
            <w:pPr>
              <w:jc w:val="center"/>
              <w:ind w:right="1580"/>
              <w:spacing w:after="0"/>
              <w:rPr>
                <w:sz w:val="20"/>
                <w:szCs w:val="20"/>
                <w:color w:val="auto"/>
              </w:rPr>
            </w:pPr>
            <w:r>
              <w:rPr>
                <w:rFonts w:ascii="Arial" w:cs="Arial" w:eastAsia="Arial" w:hAnsi="Arial"/>
                <w:sz w:val="18"/>
                <w:szCs w:val="18"/>
                <w:b w:val="1"/>
                <w:bCs w:val="1"/>
                <w:color w:val="auto"/>
                <w:w w:val="90"/>
              </w:rPr>
              <w:t>David Lopez, Esq.</w:t>
            </w:r>
          </w:p>
        </w:tc>
        <w:tc>
          <w:tcPr>
            <w:tcW w:w="1720" w:type="dxa"/>
            <w:vAlign w:val="bottom"/>
          </w:tcPr>
          <w:p>
            <w:pPr>
              <w:spacing w:after="0"/>
              <w:rPr>
                <w:sz w:val="24"/>
                <w:szCs w:val="24"/>
                <w:color w:val="auto"/>
              </w:rPr>
            </w:pPr>
          </w:p>
        </w:tc>
      </w:tr>
      <w:tr>
        <w:trPr>
          <w:trHeight w:val="216"/>
        </w:trPr>
        <w:tc>
          <w:tcPr>
            <w:tcW w:w="2000" w:type="dxa"/>
            <w:vAlign w:val="bottom"/>
          </w:tcPr>
          <w:p>
            <w:pPr>
              <w:spacing w:after="0"/>
              <w:rPr>
                <w:sz w:val="18"/>
                <w:szCs w:val="18"/>
                <w:color w:val="auto"/>
              </w:rPr>
            </w:pPr>
          </w:p>
        </w:tc>
        <w:tc>
          <w:tcPr>
            <w:tcW w:w="532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4"/>
              </w:rPr>
              <w:t>Cleary Gottlieb Steen &amp; Hamilton LLP</w:t>
            </w:r>
          </w:p>
        </w:tc>
        <w:tc>
          <w:tcPr>
            <w:tcW w:w="1720" w:type="dxa"/>
            <w:vAlign w:val="bottom"/>
          </w:tcPr>
          <w:p>
            <w:pPr>
              <w:spacing w:after="0"/>
              <w:rPr>
                <w:sz w:val="18"/>
                <w:szCs w:val="18"/>
                <w:color w:val="auto"/>
              </w:rPr>
            </w:pPr>
          </w:p>
        </w:tc>
      </w:tr>
      <w:tr>
        <w:trPr>
          <w:trHeight w:val="216"/>
        </w:trPr>
        <w:tc>
          <w:tcPr>
            <w:tcW w:w="20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900" w:type="dxa"/>
            <w:vAlign w:val="bottom"/>
            <w:gridSpan w:val="2"/>
          </w:tcPr>
          <w:p>
            <w:pPr>
              <w:jc w:val="center"/>
              <w:ind w:right="1580"/>
              <w:spacing w:after="0"/>
              <w:rPr>
                <w:sz w:val="20"/>
                <w:szCs w:val="20"/>
                <w:color w:val="auto"/>
              </w:rPr>
            </w:pPr>
            <w:r>
              <w:rPr>
                <w:rFonts w:ascii="Arial" w:cs="Arial" w:eastAsia="Arial" w:hAnsi="Arial"/>
                <w:sz w:val="18"/>
                <w:szCs w:val="18"/>
                <w:b w:val="1"/>
                <w:bCs w:val="1"/>
                <w:color w:val="auto"/>
                <w:w w:val="92"/>
              </w:rPr>
              <w:t>One Liberty Plaza</w:t>
            </w:r>
          </w:p>
        </w:tc>
        <w:tc>
          <w:tcPr>
            <w:tcW w:w="1720" w:type="dxa"/>
            <w:vAlign w:val="bottom"/>
          </w:tcPr>
          <w:p>
            <w:pPr>
              <w:spacing w:after="0"/>
              <w:rPr>
                <w:sz w:val="18"/>
                <w:szCs w:val="18"/>
                <w:color w:val="auto"/>
              </w:rPr>
            </w:pPr>
          </w:p>
        </w:tc>
      </w:tr>
      <w:tr>
        <w:trPr>
          <w:trHeight w:val="216"/>
        </w:trPr>
        <w:tc>
          <w:tcPr>
            <w:tcW w:w="20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900" w:type="dxa"/>
            <w:vAlign w:val="bottom"/>
            <w:gridSpan w:val="2"/>
          </w:tcPr>
          <w:p>
            <w:pPr>
              <w:jc w:val="center"/>
              <w:ind w:right="1560"/>
              <w:spacing w:after="0"/>
              <w:rPr>
                <w:sz w:val="20"/>
                <w:szCs w:val="20"/>
                <w:color w:val="auto"/>
              </w:rPr>
            </w:pPr>
            <w:r>
              <w:rPr>
                <w:rFonts w:ascii="Arial" w:cs="Arial" w:eastAsia="Arial" w:hAnsi="Arial"/>
                <w:sz w:val="18"/>
                <w:szCs w:val="18"/>
                <w:b w:val="1"/>
                <w:bCs w:val="1"/>
                <w:color w:val="auto"/>
                <w:w w:val="91"/>
              </w:rPr>
              <w:t>New York, New York 10006</w:t>
            </w:r>
          </w:p>
        </w:tc>
        <w:tc>
          <w:tcPr>
            <w:tcW w:w="1720" w:type="dxa"/>
            <w:vAlign w:val="bottom"/>
          </w:tcPr>
          <w:p>
            <w:pPr>
              <w:spacing w:after="0"/>
              <w:rPr>
                <w:sz w:val="18"/>
                <w:szCs w:val="18"/>
                <w:color w:val="auto"/>
              </w:rPr>
            </w:pPr>
          </w:p>
        </w:tc>
      </w:tr>
      <w:tr>
        <w:trPr>
          <w:trHeight w:val="234"/>
        </w:trPr>
        <w:tc>
          <w:tcPr>
            <w:tcW w:w="2000" w:type="dxa"/>
            <w:vAlign w:val="bottom"/>
          </w:tcPr>
          <w:p>
            <w:pPr>
              <w:spacing w:after="0"/>
              <w:rPr>
                <w:sz w:val="20"/>
                <w:szCs w:val="20"/>
                <w:color w:val="auto"/>
              </w:rPr>
            </w:pPr>
          </w:p>
        </w:tc>
        <w:tc>
          <w:tcPr>
            <w:tcW w:w="3740" w:type="dxa"/>
            <w:vAlign w:val="bottom"/>
            <w:gridSpan w:val="2"/>
          </w:tcPr>
          <w:p>
            <w:pPr>
              <w:jc w:val="center"/>
              <w:ind w:left="1333"/>
              <w:spacing w:after="0"/>
              <w:rPr>
                <w:sz w:val="20"/>
                <w:szCs w:val="20"/>
                <w:color w:val="auto"/>
              </w:rPr>
            </w:pPr>
            <w:r>
              <w:rPr>
                <w:rFonts w:ascii="Arial" w:cs="Arial" w:eastAsia="Arial" w:hAnsi="Arial"/>
                <w:sz w:val="18"/>
                <w:szCs w:val="18"/>
                <w:b w:val="1"/>
                <w:bCs w:val="1"/>
                <w:color w:val="auto"/>
                <w:w w:val="90"/>
              </w:rPr>
              <w:t>(212) 225-2000</w:t>
            </w:r>
          </w:p>
        </w:tc>
        <w:tc>
          <w:tcPr>
            <w:tcW w:w="1580" w:type="dxa"/>
            <w:vAlign w:val="bottom"/>
          </w:tcPr>
          <w:p>
            <w:pPr>
              <w:spacing w:after="0"/>
              <w:rPr>
                <w:sz w:val="20"/>
                <w:szCs w:val="20"/>
                <w:color w:val="auto"/>
              </w:rPr>
            </w:pPr>
          </w:p>
        </w:tc>
        <w:tc>
          <w:tcPr>
            <w:tcW w:w="172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231140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60" w:lineRule="exact"/>
        <w:rPr>
          <w:sz w:val="24"/>
          <w:szCs w:val="24"/>
          <w:color w:val="auto"/>
        </w:rPr>
      </w:pPr>
    </w:p>
    <w:p>
      <w:pPr>
        <w:ind w:right="1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8"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1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3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ind w:left="2980"/>
              <w:spacing w:after="0"/>
              <w:rPr>
                <w:sz w:val="20"/>
                <w:szCs w:val="20"/>
                <w:color w:val="auto"/>
              </w:rPr>
            </w:pPr>
            <w:r>
              <w:rPr>
                <w:rFonts w:ascii="Arial" w:cs="Arial" w:eastAsia="Arial" w:hAnsi="Arial"/>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140" w:type="dxa"/>
            <w:vAlign w:val="bottom"/>
          </w:tcPr>
          <w:p>
            <w:pPr>
              <w:spacing w:after="0"/>
              <w:rPr>
                <w:sz w:val="20"/>
                <w:szCs w:val="20"/>
                <w:color w:val="auto"/>
              </w:rPr>
            </w:pPr>
            <w:r>
              <w:rPr>
                <w:rFonts w:ascii="Arial" w:cs="Arial" w:eastAsia="Arial" w:hAnsi="Arial"/>
                <w:sz w:val="18"/>
                <w:szCs w:val="18"/>
                <w:color w:val="auto"/>
              </w:rPr>
              <w:t>Non-accelerated filer</w:t>
            </w:r>
          </w:p>
        </w:tc>
        <w:tc>
          <w:tcPr>
            <w:tcW w:w="33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ind w:left="2980"/>
              <w:spacing w:after="0"/>
              <w:rPr>
                <w:sz w:val="20"/>
                <w:szCs w:val="20"/>
                <w:color w:val="auto"/>
              </w:rPr>
            </w:pPr>
            <w:r>
              <w:rPr>
                <w:rFonts w:ascii="Arial" w:cs="Arial" w:eastAsia="Arial" w:hAnsi="Arial"/>
                <w:sz w:val="18"/>
                <w:szCs w:val="18"/>
                <w:color w:val="auto"/>
                <w:w w:val="98"/>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140" w:type="dxa"/>
            <w:vAlign w:val="bottom"/>
          </w:tcPr>
          <w:p>
            <w:pPr>
              <w:spacing w:after="0"/>
              <w:rPr>
                <w:sz w:val="20"/>
                <w:szCs w:val="20"/>
                <w:color w:val="auto"/>
              </w:rPr>
            </w:pPr>
            <w:r>
              <w:rPr>
                <w:rFonts w:ascii="Arial" w:cs="Arial" w:eastAsia="Arial" w:hAnsi="Arial"/>
                <w:sz w:val="18"/>
                <w:szCs w:val="18"/>
                <w:color w:val="auto"/>
                <w:w w:val="99"/>
              </w:rPr>
              <w:t>Emerging growth company</w:t>
            </w:r>
          </w:p>
        </w:tc>
        <w:tc>
          <w:tcPr>
            <w:tcW w:w="33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spacing w:after="0"/>
              <w:rPr>
                <w:sz w:val="24"/>
                <w:szCs w:val="24"/>
                <w:color w:val="auto"/>
              </w:rPr>
            </w:pPr>
          </w:p>
        </w:tc>
        <w:tc>
          <w:tcPr>
            <w:tcW w:w="340" w:type="dxa"/>
            <w:vAlign w:val="bottom"/>
          </w:tcPr>
          <w:p>
            <w:pPr>
              <w:spacing w:after="0"/>
              <w:rPr>
                <w:sz w:val="24"/>
                <w:szCs w:val="24"/>
                <w:color w:val="auto"/>
              </w:rPr>
            </w:pPr>
          </w:p>
        </w:tc>
      </w:tr>
    </w:tbl>
    <w:p>
      <w:pPr>
        <w:spacing w:after="0" w:line="182"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210820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88"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488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2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4880" w:type="dxa"/>
            <w:vAlign w:val="bottom"/>
            <w:tcBorders>
              <w:right w:val="single" w:sz="8" w:color="auto"/>
            </w:tcBorders>
          </w:tcPr>
          <w:p>
            <w:pPr>
              <w:spacing w:after="0"/>
              <w:rPr>
                <w:sz w:val="9"/>
                <w:szCs w:val="9"/>
                <w:color w:val="auto"/>
              </w:rPr>
            </w:pPr>
          </w:p>
        </w:tc>
        <w:tc>
          <w:tcPr>
            <w:tcW w:w="1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8"/>
              </w:rPr>
              <w:t>Amount</w:t>
            </w:r>
          </w:p>
        </w:tc>
        <w:tc>
          <w:tcPr>
            <w:tcW w:w="154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54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880" w:type="dxa"/>
            <w:vAlign w:val="bottom"/>
            <w:tcBorders>
              <w:right w:val="single" w:sz="8" w:color="auto"/>
            </w:tcBorders>
          </w:tcPr>
          <w:p>
            <w:pPr>
              <w:spacing w:after="0"/>
              <w:rPr>
                <w:sz w:val="12"/>
                <w:szCs w:val="12"/>
                <w:color w:val="auto"/>
              </w:rPr>
            </w:pPr>
          </w:p>
        </w:tc>
        <w:tc>
          <w:tcPr>
            <w:tcW w:w="154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88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2"/>
              </w:rPr>
              <w:t>Title of Securities</w:t>
            </w:r>
          </w:p>
        </w:tc>
        <w:tc>
          <w:tcPr>
            <w:tcW w:w="154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89"/>
              </w:rPr>
              <w:t>to be</w:t>
            </w:r>
          </w:p>
        </w:tc>
        <w:tc>
          <w:tcPr>
            <w:tcW w:w="154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4"/>
              </w:rPr>
              <w:t>Offering Price</w:t>
            </w:r>
          </w:p>
        </w:tc>
        <w:tc>
          <w:tcPr>
            <w:tcW w:w="154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2"/>
              </w:rPr>
              <w:t>Aggregate</w:t>
            </w:r>
          </w:p>
        </w:tc>
        <w:tc>
          <w:tcPr>
            <w:tcW w:w="15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75"/>
        </w:trPr>
        <w:tc>
          <w:tcPr>
            <w:tcW w:w="4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to be Registered</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Registered</w:t>
            </w:r>
            <w:r>
              <w:rPr>
                <w:rFonts w:ascii="Arial" w:cs="Arial" w:eastAsia="Arial" w:hAnsi="Arial"/>
                <w:sz w:val="12"/>
                <w:szCs w:val="12"/>
                <w:b w:val="1"/>
                <w:bCs w:val="1"/>
                <w:color w:val="auto"/>
                <w:w w:val="91"/>
              </w:rPr>
              <w:t>(1)</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Per Share</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Offering Price</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Registration Fee</w:t>
            </w:r>
          </w:p>
        </w:tc>
        <w:tc>
          <w:tcPr>
            <w:tcW w:w="0" w:type="dxa"/>
            <w:vAlign w:val="bottom"/>
          </w:tcPr>
          <w:p>
            <w:pPr>
              <w:spacing w:after="0"/>
              <w:rPr>
                <w:sz w:val="1"/>
                <w:szCs w:val="1"/>
                <w:color w:val="auto"/>
              </w:rPr>
            </w:pPr>
          </w:p>
        </w:tc>
      </w:tr>
      <w:tr>
        <w:trPr>
          <w:trHeight w:val="209"/>
        </w:trPr>
        <w:tc>
          <w:tcPr>
            <w:tcW w:w="4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Common Stock, $0.01 par value per share</w:t>
            </w:r>
          </w:p>
        </w:tc>
        <w:tc>
          <w:tcPr>
            <w:tcW w:w="1540" w:type="dxa"/>
            <w:vAlign w:val="bottom"/>
            <w:tcBorders>
              <w:bottom w:val="single" w:sz="8" w:color="auto"/>
              <w:right w:val="single" w:sz="8" w:color="auto"/>
            </w:tcBorders>
          </w:tcPr>
          <w:p>
            <w:pPr>
              <w:jc w:val="right"/>
              <w:ind w:right="181"/>
              <w:spacing w:after="0"/>
              <w:rPr>
                <w:sz w:val="20"/>
                <w:szCs w:val="20"/>
                <w:color w:val="auto"/>
              </w:rPr>
            </w:pPr>
            <w:r>
              <w:rPr>
                <w:rFonts w:ascii="Arial" w:cs="Arial" w:eastAsia="Arial" w:hAnsi="Arial"/>
                <w:sz w:val="18"/>
                <w:szCs w:val="18"/>
                <w:color w:val="auto"/>
              </w:rPr>
              <w:t>2,388,276 (2)</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$23.00 (3)</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$54,930,348.00</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$5,992.90</w:t>
            </w:r>
          </w:p>
        </w:tc>
        <w:tc>
          <w:tcPr>
            <w:tcW w:w="0" w:type="dxa"/>
            <w:vAlign w:val="bottom"/>
          </w:tcPr>
          <w:p>
            <w:pPr>
              <w:spacing w:after="0"/>
              <w:rPr>
                <w:sz w:val="1"/>
                <w:szCs w:val="1"/>
                <w:color w:val="auto"/>
              </w:rPr>
            </w:pPr>
          </w:p>
        </w:tc>
      </w:tr>
      <w:tr>
        <w:trPr>
          <w:trHeight w:val="209"/>
        </w:trPr>
        <w:tc>
          <w:tcPr>
            <w:tcW w:w="4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Common Stock, $0.01 par value per share</w:t>
            </w:r>
          </w:p>
        </w:tc>
        <w:tc>
          <w:tcPr>
            <w:tcW w:w="1540" w:type="dxa"/>
            <w:vAlign w:val="bottom"/>
            <w:tcBorders>
              <w:bottom w:val="single" w:sz="8" w:color="auto"/>
              <w:right w:val="single" w:sz="8" w:color="auto"/>
            </w:tcBorders>
          </w:tcPr>
          <w:p>
            <w:pPr>
              <w:jc w:val="right"/>
              <w:ind w:right="241"/>
              <w:spacing w:after="0"/>
              <w:rPr>
                <w:sz w:val="20"/>
                <w:szCs w:val="20"/>
                <w:color w:val="auto"/>
              </w:rPr>
            </w:pPr>
            <w:r>
              <w:rPr>
                <w:rFonts w:ascii="Arial" w:cs="Arial" w:eastAsia="Arial" w:hAnsi="Arial"/>
                <w:sz w:val="18"/>
                <w:szCs w:val="18"/>
                <w:color w:val="auto"/>
              </w:rPr>
              <w:t>770,245 (4)</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$23.00 (3)</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$17,715,635.00</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$1,932.78</w:t>
            </w:r>
          </w:p>
        </w:tc>
        <w:tc>
          <w:tcPr>
            <w:tcW w:w="0" w:type="dxa"/>
            <w:vAlign w:val="bottom"/>
          </w:tcPr>
          <w:p>
            <w:pPr>
              <w:spacing w:after="0"/>
              <w:rPr>
                <w:sz w:val="1"/>
                <w:szCs w:val="1"/>
                <w:color w:val="auto"/>
              </w:rPr>
            </w:pPr>
          </w:p>
        </w:tc>
      </w:tr>
    </w:tbl>
    <w:p>
      <w:pPr>
        <w:sectPr>
          <w:pgSz w:w="11900" w:h="16838" w:orient="portrait"/>
          <w:cols w:equalWidth="0" w:num="1">
            <w:col w:w="11020"/>
          </w:cols>
          <w:pgMar w:left="440" w:top="229" w:right="439" w:bottom="0" w:gutter="0" w:footer="0" w:header="0"/>
        </w:sectPr>
      </w:pPr>
    </w:p>
    <w:bookmarkStart w:id="1" w:name="page2"/>
    <w:bookmarkEnd w:id="1"/>
    <w:p>
      <w:pPr>
        <w:spacing w:after="0" w:line="1" w:lineRule="exact"/>
        <w:rPr>
          <w:sz w:val="20"/>
          <w:szCs w:val="20"/>
          <w:color w:val="auto"/>
        </w:rPr>
      </w:pPr>
    </w:p>
    <w:tbl>
      <w:tblPr>
        <w:tblLayout w:type="fixed"/>
        <w:tblInd w:w="4" w:type="dxa"/>
        <w:tblCellMar>
          <w:top w:w="0" w:type="dxa"/>
          <w:left w:w="0" w:type="dxa"/>
          <w:bottom w:w="0" w:type="dxa"/>
          <w:right w:w="0" w:type="dxa"/>
        </w:tblCellMar>
      </w:tblPr>
      <w:tr>
        <w:trPr>
          <w:trHeight w:val="229"/>
        </w:trPr>
        <w:tc>
          <w:tcPr>
            <w:tcW w:w="488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Common Stock, $0.01 par value per share</w:t>
            </w:r>
          </w:p>
        </w:tc>
        <w:tc>
          <w:tcPr>
            <w:tcW w:w="15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2,637 (5)</w:t>
            </w:r>
          </w:p>
        </w:tc>
        <w:tc>
          <w:tcPr>
            <w:tcW w:w="15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$23.00 (3)</w:t>
            </w:r>
          </w:p>
        </w:tc>
        <w:tc>
          <w:tcPr>
            <w:tcW w:w="15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$60,651.00</w:t>
            </w:r>
          </w:p>
        </w:tc>
        <w:tc>
          <w:tcPr>
            <w:tcW w:w="15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8"/>
              </w:rPr>
              <w:t>$6.62</w:t>
            </w:r>
          </w:p>
        </w:tc>
      </w:tr>
      <w:tr>
        <w:trPr>
          <w:trHeight w:val="209"/>
        </w:trPr>
        <w:tc>
          <w:tcPr>
            <w:tcW w:w="4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Common Stock, $0.01 par value per share</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24,738,842 (6)</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$25.525 (7)</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$631,458,942.05</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$68,892.17</w:t>
            </w:r>
          </w:p>
        </w:tc>
      </w:tr>
      <w:tr>
        <w:trPr>
          <w:trHeight w:val="210"/>
        </w:trPr>
        <w:tc>
          <w:tcPr>
            <w:tcW w:w="4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TOTAL:</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27,900,000</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$704,165,576.05</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$76,824.47</w:t>
            </w:r>
          </w:p>
        </w:tc>
      </w:tr>
      <w:tr>
        <w:trPr>
          <w:trHeight w:val="20"/>
        </w:trPr>
        <w:tc>
          <w:tcPr>
            <w:tcW w:w="48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424" w:right="100" w:hanging="424"/>
        <w:spacing w:after="0" w:line="269" w:lineRule="auto"/>
        <w:tabs>
          <w:tab w:leader="none" w:pos="424" w:val="left"/>
        </w:tabs>
        <w:numPr>
          <w:ilvl w:val="0"/>
          <w:numId w:val="1"/>
        </w:numPr>
        <w:rPr>
          <w:rFonts w:ascii="Arial" w:cs="Arial" w:eastAsia="Arial" w:hAnsi="Arial"/>
          <w:sz w:val="17"/>
          <w:szCs w:val="17"/>
          <w:color w:val="auto"/>
        </w:rPr>
      </w:pPr>
      <w:r>
        <w:rPr>
          <w:rFonts w:ascii="Arial" w:cs="Arial" w:eastAsia="Arial" w:hAnsi="Arial"/>
          <w:sz w:val="17"/>
          <w:szCs w:val="17"/>
          <w:color w:val="auto"/>
        </w:rPr>
        <w:t>Pursuant to Rule 416(a) of the Securities Act of 1933, as amended (the “Securities Act”), this Registration Statement covers any additional shares of the Registrant’s common stock, $0.01 par value per share (“Common Stock”) that become issuable under the Registrant’s 2020 Omnibus Incentive Plan (the “2020 Plan”), by reason of any stock dividend, stock split or other similar transaction effected without the Registrant’s receipt of consideration which results in an increase in the number of the outstanding shares of Common Stock.</w:t>
      </w:r>
    </w:p>
    <w:p>
      <w:pPr>
        <w:spacing w:after="0" w:line="1" w:lineRule="exact"/>
        <w:rPr>
          <w:rFonts w:ascii="Arial" w:cs="Arial" w:eastAsia="Arial" w:hAnsi="Arial"/>
          <w:sz w:val="17"/>
          <w:szCs w:val="17"/>
          <w:color w:val="auto"/>
        </w:rPr>
      </w:pPr>
    </w:p>
    <w:p>
      <w:pPr>
        <w:ind w:left="424" w:hanging="424"/>
        <w:spacing w:after="0"/>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Represents shares of Common Stock issuable in connection with awards of non-qualified stock options granted under the 2020 Plan.</w:t>
      </w:r>
    </w:p>
    <w:p>
      <w:pPr>
        <w:spacing w:after="0" w:line="9" w:lineRule="exact"/>
        <w:rPr>
          <w:rFonts w:ascii="Arial" w:cs="Arial" w:eastAsia="Arial" w:hAnsi="Arial"/>
          <w:sz w:val="18"/>
          <w:szCs w:val="18"/>
          <w:color w:val="auto"/>
        </w:rPr>
      </w:pPr>
    </w:p>
    <w:p>
      <w:pPr>
        <w:ind w:left="424" w:right="80" w:hanging="424"/>
        <w:spacing w:after="0" w:line="250" w:lineRule="auto"/>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 in accordance with Rule 457(h) under the Securities Act based on the exercise price of non-qualified stock options and stock appreciation rights and, in respect of the restricted stock units, the initial public offering price per share of Common Stock as determined immediately following the effectiveness of the Sotera Health Company Registration Statement on Form S-1 on November 19, 2020, of $23.00 per share.</w:t>
      </w:r>
    </w:p>
    <w:p>
      <w:pPr>
        <w:spacing w:after="0" w:line="1" w:lineRule="exact"/>
        <w:rPr>
          <w:rFonts w:ascii="Arial" w:cs="Arial" w:eastAsia="Arial" w:hAnsi="Arial"/>
          <w:sz w:val="18"/>
          <w:szCs w:val="18"/>
          <w:color w:val="auto"/>
        </w:rPr>
      </w:pPr>
    </w:p>
    <w:p>
      <w:pPr>
        <w:ind w:left="424" w:hanging="424"/>
        <w:spacing w:after="0"/>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Represents shares of Common Stock issuable in connection with awards of restricted stock units granted under the 2020 Plan.</w:t>
      </w:r>
    </w:p>
    <w:p>
      <w:pPr>
        <w:spacing w:after="0" w:line="9" w:lineRule="exact"/>
        <w:rPr>
          <w:rFonts w:ascii="Arial" w:cs="Arial" w:eastAsia="Arial" w:hAnsi="Arial"/>
          <w:sz w:val="18"/>
          <w:szCs w:val="18"/>
          <w:color w:val="auto"/>
        </w:rPr>
      </w:pPr>
    </w:p>
    <w:p>
      <w:pPr>
        <w:ind w:left="424" w:hanging="424"/>
        <w:spacing w:after="0"/>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Represents shares of Common Stock issuable in connection with awards of stock appreciation rights granted under the 2020 Plan.</w:t>
      </w:r>
    </w:p>
    <w:p>
      <w:pPr>
        <w:spacing w:after="0" w:line="9" w:lineRule="exact"/>
        <w:rPr>
          <w:rFonts w:ascii="Arial" w:cs="Arial" w:eastAsia="Arial" w:hAnsi="Arial"/>
          <w:sz w:val="18"/>
          <w:szCs w:val="18"/>
          <w:color w:val="auto"/>
        </w:rPr>
      </w:pPr>
    </w:p>
    <w:p>
      <w:pPr>
        <w:ind w:left="424" w:hanging="424"/>
        <w:spacing w:after="0"/>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Represents shares of Common Stock reserved for issuance pursuant to future awards under the 2020 Plan.</w:t>
      </w:r>
    </w:p>
    <w:p>
      <w:pPr>
        <w:spacing w:after="0" w:line="9" w:lineRule="exact"/>
        <w:rPr>
          <w:rFonts w:ascii="Arial" w:cs="Arial" w:eastAsia="Arial" w:hAnsi="Arial"/>
          <w:sz w:val="18"/>
          <w:szCs w:val="18"/>
          <w:color w:val="auto"/>
        </w:rPr>
      </w:pPr>
    </w:p>
    <w:p>
      <w:pPr>
        <w:ind w:left="424" w:right="420" w:hanging="424"/>
        <w:spacing w:after="0" w:line="260" w:lineRule="auto"/>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pursuant to Rules 457(c) and 457(h) under the Securities Act based on the average of the high and low sales prices per share of the Common Stock as reported on the Nasdaq Stock Exchange on November 20, 2020, of $25.525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135255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178435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133" w:right="4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PART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REQUIRED IN THE PROSPECTUS</w:t>
      </w:r>
    </w:p>
    <w:p>
      <w:pPr>
        <w:spacing w:after="0" w:line="225"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color w:val="auto"/>
        </w:rPr>
        <w:t>The information specified in Item 1 and Item 2 of Part I of Form S-8 is omitted from this Registration Statement on Form S-8 (the “</w:t>
      </w:r>
      <w:r>
        <w:rPr>
          <w:rFonts w:ascii="Arial" w:cs="Arial" w:eastAsia="Arial" w:hAnsi="Arial"/>
          <w:sz w:val="18"/>
          <w:szCs w:val="18"/>
          <w:b w:val="1"/>
          <w:bCs w:val="1"/>
          <w:color w:val="auto"/>
        </w:rPr>
        <w:t>Registration</w:t>
      </w:r>
      <w:r>
        <w:rPr>
          <w:rFonts w:ascii="Arial" w:cs="Arial" w:eastAsia="Arial" w:hAnsi="Arial"/>
          <w:sz w:val="18"/>
          <w:szCs w:val="18"/>
          <w:color w:val="auto"/>
        </w:rPr>
        <w:t xml:space="preserve"> </w:t>
      </w:r>
      <w:r>
        <w:rPr>
          <w:rFonts w:ascii="Arial" w:cs="Arial" w:eastAsia="Arial" w:hAnsi="Arial"/>
          <w:sz w:val="18"/>
          <w:szCs w:val="18"/>
          <w:b w:val="1"/>
          <w:bCs w:val="1"/>
          <w:color w:val="auto"/>
        </w:rPr>
        <w:t>Statement</w:t>
      </w:r>
      <w:r>
        <w:rPr>
          <w:rFonts w:ascii="Arial" w:cs="Arial" w:eastAsia="Arial" w:hAnsi="Arial"/>
          <w:sz w:val="18"/>
          <w:szCs w:val="18"/>
          <w:color w:val="auto"/>
        </w:rPr>
        <w:t>”) in accordance with the provisions of Rule 428 under the Securities Act and the introductory note to Part I of Form S-8. The documents</w:t>
      </w:r>
      <w:r>
        <w:rPr>
          <w:rFonts w:ascii="Arial" w:cs="Arial" w:eastAsia="Arial" w:hAnsi="Arial"/>
          <w:sz w:val="18"/>
          <w:szCs w:val="18"/>
          <w:b w:val="1"/>
          <w:bCs w:val="1"/>
          <w:color w:val="auto"/>
        </w:rPr>
        <w:t xml:space="preserve"> </w:t>
      </w:r>
      <w:r>
        <w:rPr>
          <w:rFonts w:ascii="Arial" w:cs="Arial" w:eastAsia="Arial" w:hAnsi="Arial"/>
          <w:sz w:val="18"/>
          <w:szCs w:val="18"/>
          <w:color w:val="auto"/>
        </w:rPr>
        <w:t>containing the information specified in Part I of Form S-8 will be delivered to the participants in the 2020 Plan as specified by Rule 428(b)(1) under the Securities Act. Such documents need not be filed with the Securities and Exchange Commission (the “</w:t>
      </w:r>
      <w:r>
        <w:rPr>
          <w:rFonts w:ascii="Arial" w:cs="Arial" w:eastAsia="Arial" w:hAnsi="Arial"/>
          <w:sz w:val="18"/>
          <w:szCs w:val="18"/>
          <w:b w:val="1"/>
          <w:bCs w:val="1"/>
          <w:color w:val="auto"/>
        </w:rPr>
        <w:t>Commission</w:t>
      </w:r>
      <w:r>
        <w:rPr>
          <w:rFonts w:ascii="Arial" w:cs="Arial" w:eastAsia="Arial" w:hAnsi="Arial"/>
          <w:sz w:val="18"/>
          <w:szCs w:val="18"/>
          <w:color w:val="auto"/>
        </w:rPr>
        <w:t>”) either as a part of this Registration Statement or as a prospectus or prospectus supplement pursuant to Rule 424 under the Securities Act. These documents and the documents incorporated by reference in this Registration Statement pursuant to Item 3 of Part II of Form S-8, taken together, constitute a prospectus that meets the requirements of Section 10(a) of the Securities Act.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INFORMATION REQUIRED IN REGISTRATION STATEMENT</w:t>
      </w:r>
    </w:p>
    <w:p>
      <w:pPr>
        <w:spacing w:after="0" w:line="252"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Incorporation of Documents by Reference.</w:t>
      </w:r>
    </w:p>
    <w:p>
      <w:pPr>
        <w:spacing w:after="0" w:line="117" w:lineRule="exact"/>
        <w:rPr>
          <w:sz w:val="20"/>
          <w:szCs w:val="20"/>
          <w:color w:val="auto"/>
        </w:rPr>
      </w:pPr>
    </w:p>
    <w:p>
      <w:pPr>
        <w:ind w:right="100" w:firstLine="440"/>
        <w:spacing w:after="0" w:line="282" w:lineRule="auto"/>
        <w:rPr>
          <w:sz w:val="20"/>
          <w:szCs w:val="20"/>
          <w:color w:val="auto"/>
        </w:rPr>
      </w:pPr>
      <w:r>
        <w:rPr>
          <w:rFonts w:ascii="Arial" w:cs="Arial" w:eastAsia="Arial" w:hAnsi="Arial"/>
          <w:sz w:val="18"/>
          <w:szCs w:val="18"/>
          <w:color w:val="auto"/>
        </w:rPr>
        <w:t>Sotera Health Company (the “</w:t>
      </w:r>
      <w:r>
        <w:rPr>
          <w:rFonts w:ascii="Arial" w:cs="Arial" w:eastAsia="Arial" w:hAnsi="Arial"/>
          <w:sz w:val="18"/>
          <w:szCs w:val="18"/>
          <w:b w:val="1"/>
          <w:bCs w:val="1"/>
          <w:color w:val="auto"/>
        </w:rPr>
        <w:t>Registrant</w:t>
      </w:r>
      <w:r>
        <w:rPr>
          <w:rFonts w:ascii="Arial" w:cs="Arial" w:eastAsia="Arial" w:hAnsi="Arial"/>
          <w:sz w:val="18"/>
          <w:szCs w:val="18"/>
          <w:color w:val="auto"/>
        </w:rPr>
        <w:t>”) hereby incorporates by reference into this Registration Statement the following documents previously filed with the Commission:</w:t>
      </w:r>
    </w:p>
    <w:p>
      <w:pPr>
        <w:spacing w:after="0" w:line="58" w:lineRule="exact"/>
        <w:rPr>
          <w:sz w:val="20"/>
          <w:szCs w:val="20"/>
          <w:color w:val="auto"/>
        </w:rPr>
      </w:pPr>
    </w:p>
    <w:p>
      <w:pPr>
        <w:ind w:right="220" w:firstLine="436"/>
        <w:spacing w:after="0" w:line="259" w:lineRule="auto"/>
        <w:tabs>
          <w:tab w:leader="none" w:pos="695"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The Registrant’s </w:t>
      </w:r>
      <w:hyperlink r:id="rId18">
        <w:r>
          <w:rPr>
            <w:rFonts w:ascii="Arial" w:cs="Arial" w:eastAsia="Arial" w:hAnsi="Arial"/>
            <w:sz w:val="18"/>
            <w:szCs w:val="18"/>
            <w:u w:val="single" w:color="auto"/>
            <w:color w:val="0000EE"/>
          </w:rPr>
          <w:t>Prospectus dated November 19, 2020 and filed with the Commission on November 23, 2020 pursuant to Rule 424(b)</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under the Securities Act, as a part of the Registration Statement on Form S-1, as amended (File No. 333-249648), which contains the Registrant’s audited financial statements for the latest fiscal year for which such statements have been filed and the description of the Registrant’s Common Stock (the “</w:t>
      </w:r>
      <w:r>
        <w:rPr>
          <w:rFonts w:ascii="Arial" w:cs="Arial" w:eastAsia="Arial" w:hAnsi="Arial"/>
          <w:sz w:val="18"/>
          <w:szCs w:val="18"/>
          <w:b w:val="1"/>
          <w:bCs w:val="1"/>
          <w:color w:val="auto"/>
        </w:rPr>
        <w:t>Prospectus</w:t>
      </w:r>
      <w:r>
        <w:rPr>
          <w:rFonts w:ascii="Arial" w:cs="Arial" w:eastAsia="Arial" w:hAnsi="Arial"/>
          <w:sz w:val="18"/>
          <w:szCs w:val="18"/>
          <w:color w:val="auto"/>
        </w:rPr>
        <w:t>”); and</w:t>
      </w:r>
    </w:p>
    <w:p>
      <w:pPr>
        <w:spacing w:after="0" w:line="78" w:lineRule="exact"/>
        <w:rPr>
          <w:rFonts w:ascii="Arial" w:cs="Arial" w:eastAsia="Arial" w:hAnsi="Arial"/>
          <w:sz w:val="18"/>
          <w:szCs w:val="18"/>
          <w:color w:val="auto"/>
        </w:rPr>
      </w:pPr>
    </w:p>
    <w:p>
      <w:pPr>
        <w:ind w:right="360" w:firstLine="436"/>
        <w:spacing w:after="0" w:line="263" w:lineRule="auto"/>
        <w:tabs>
          <w:tab w:leader="none" w:pos="695"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The description of the Registrant’s Common Stock contained in the Company’s Registration Statement on </w:t>
      </w:r>
      <w:hyperlink r:id="rId19">
        <w:r>
          <w:rPr>
            <w:rFonts w:ascii="Arial" w:cs="Arial" w:eastAsia="Arial" w:hAnsi="Arial"/>
            <w:sz w:val="18"/>
            <w:szCs w:val="18"/>
            <w:u w:val="single" w:color="auto"/>
            <w:color w:val="0000EE"/>
          </w:rPr>
          <w:t>Form 8-A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 No. 001-39729) filed with the Commission on November 20, 2020, pursuant to Section 12(b) of the Securities Exchange Act of 1934, as amended (the “</w:t>
      </w:r>
      <w:r>
        <w:rPr>
          <w:rFonts w:ascii="Arial" w:cs="Arial" w:eastAsia="Arial" w:hAnsi="Arial"/>
          <w:sz w:val="18"/>
          <w:szCs w:val="18"/>
          <w:b w:val="1"/>
          <w:bCs w:val="1"/>
          <w:color w:val="auto"/>
        </w:rPr>
        <w:t>Exchange</w:t>
      </w:r>
      <w:r>
        <w:rPr>
          <w:rFonts w:ascii="Arial" w:cs="Arial" w:eastAsia="Arial" w:hAnsi="Arial"/>
          <w:sz w:val="18"/>
          <w:szCs w:val="18"/>
          <w:color w:val="auto"/>
        </w:rPr>
        <w:t xml:space="preserve"> </w:t>
      </w:r>
      <w:r>
        <w:rPr>
          <w:rFonts w:ascii="Arial" w:cs="Arial" w:eastAsia="Arial" w:hAnsi="Arial"/>
          <w:sz w:val="18"/>
          <w:szCs w:val="18"/>
          <w:b w:val="1"/>
          <w:bCs w:val="1"/>
          <w:color w:val="auto"/>
        </w:rPr>
        <w:t>Act</w:t>
      </w:r>
      <w:r>
        <w:rPr>
          <w:rFonts w:ascii="Arial" w:cs="Arial" w:eastAsia="Arial" w:hAnsi="Arial"/>
          <w:sz w:val="18"/>
          <w:szCs w:val="18"/>
          <w:color w:val="auto"/>
        </w:rPr>
        <w:t>”), including any amendment or report filed for the purpose of updating such description.</w:t>
      </w:r>
    </w:p>
    <w:p>
      <w:pPr>
        <w:spacing w:after="0" w:line="184" w:lineRule="exact"/>
        <w:rPr>
          <w:rFonts w:ascii="Arial" w:cs="Arial" w:eastAsia="Arial" w:hAnsi="Arial"/>
          <w:sz w:val="18"/>
          <w:szCs w:val="18"/>
          <w:color w:val="auto"/>
        </w:rPr>
      </w:pPr>
    </w:p>
    <w:p>
      <w:pPr>
        <w:ind w:firstLine="440"/>
        <w:spacing w:after="0" w:line="269" w:lineRule="auto"/>
        <w:rPr>
          <w:sz w:val="20"/>
          <w:szCs w:val="20"/>
          <w:color w:val="auto"/>
        </w:rPr>
      </w:pPr>
      <w:r>
        <w:rPr>
          <w:rFonts w:ascii="Arial" w:cs="Arial" w:eastAsia="Arial" w:hAnsi="Arial"/>
          <w:sz w:val="17"/>
          <w:szCs w:val="17"/>
          <w:color w:val="auto"/>
        </w:rPr>
        <w:t xml:space="preserve">In addition, all reports and other documents filed by the Registrant pursuant to Sections 13(a), 13(c), 14 and 15(d) of the Exchange Act on or after the date of this Registration Statement and prior to the filing of a post-effective amendment to this Registration Statement that indicates that all securities offered hereunder have been sold or that deregisters all securities then remaining unsold shall be deemed to be incorporated by reference in this Registration Statement and to be part hereof from the date of filing of such documents;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documents or information deemed to have been furnished and not filed in accordance with the rules of the Commission shall not be deemed incorporated by reference into this Registration Statement. Any document or any statement contained in this Registration Statement, in an amendment hereto or in a document incorporated or deemed to be incorporated by reference herein shall be deemed to be modified or superseded for purposes of this Registration Statement to the extent that a statement contained herein or in any subsequently filed document which also is deemed to be incorporated by reference herein modifies or supersedes such statement. Any such statement so modified or superseded shall not be deemed, except as so modified or superseded, to constitute a part of this Registration Statement.</w:t>
      </w:r>
    </w:p>
    <w:p>
      <w:pPr>
        <w:spacing w:after="0" w:line="330" w:lineRule="exact"/>
        <w:rPr>
          <w:rFonts w:ascii="Arial" w:cs="Arial" w:eastAsia="Arial" w:hAnsi="Arial"/>
          <w:sz w:val="18"/>
          <w:szCs w:val="18"/>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Description of Securities.</w:t>
      </w:r>
    </w:p>
    <w:p>
      <w:pPr>
        <w:spacing w:after="0" w:line="121" w:lineRule="exact"/>
        <w:rPr>
          <w:rFonts w:ascii="Arial" w:cs="Arial" w:eastAsia="Arial" w:hAnsi="Arial"/>
          <w:sz w:val="18"/>
          <w:szCs w:val="18"/>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70" w:lineRule="exact"/>
        <w:rPr>
          <w:rFonts w:ascii="Arial" w:cs="Arial" w:eastAsia="Arial" w:hAnsi="Arial"/>
          <w:sz w:val="18"/>
          <w:szCs w:val="18"/>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Interests of Named Experts and Counsel.</w:t>
      </w:r>
    </w:p>
    <w:p>
      <w:pPr>
        <w:spacing w:after="0" w:line="121" w:lineRule="exact"/>
        <w:rPr>
          <w:rFonts w:ascii="Arial" w:cs="Arial" w:eastAsia="Arial" w:hAnsi="Arial"/>
          <w:sz w:val="18"/>
          <w:szCs w:val="18"/>
          <w:color w:val="auto"/>
        </w:rPr>
      </w:pPr>
    </w:p>
    <w:p>
      <w:pPr>
        <w:ind w:left="44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020"/>
          </w:cols>
          <w:pgMar w:left="440" w:top="270" w:right="439" w:bottom="1440" w:gutter="0" w:footer="0" w:header="0"/>
        </w:sectPr>
      </w:pPr>
    </w:p>
    <w:bookmarkStart w:id="3" w:name="page4"/>
    <w:bookmarkEnd w:id="3"/>
    <w:p>
      <w:pPr>
        <w:spacing w:after="0"/>
        <w:tabs>
          <w:tab w:leader="none" w:pos="10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6.</w:t>
      </w:r>
      <w:r>
        <w:rPr>
          <w:sz w:val="20"/>
          <w:szCs w:val="20"/>
          <w:color w:val="auto"/>
        </w:rPr>
        <w:tab/>
      </w:r>
      <w:r>
        <w:rPr>
          <w:rFonts w:ascii="Arial" w:cs="Arial" w:eastAsia="Arial" w:hAnsi="Arial"/>
          <w:sz w:val="16"/>
          <w:szCs w:val="16"/>
          <w:b w:val="1"/>
          <w:bCs w:val="1"/>
          <w:color w:val="auto"/>
        </w:rPr>
        <w:t>Indemnification of Directors and Officers.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of Directors and Officers</w:t>
      </w:r>
      <w:r>
        <w:rPr>
          <w:rFonts w:ascii="Arial" w:cs="Arial" w:eastAsia="Arial" w:hAnsi="Arial"/>
          <w:sz w:val="18"/>
          <w:szCs w:val="18"/>
          <w:b w:val="1"/>
          <w:bCs w:val="1"/>
          <w:color w:val="auto"/>
        </w:rPr>
        <w:t>.</w:t>
      </w:r>
    </w:p>
    <w:p>
      <w:pPr>
        <w:spacing w:after="0" w:line="121"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Section 145 of the DGCL provides that a corporation may indemnify directors and officers as well as other employees and individuals against expenses, including attorneys’ fees, judgments, fines and amounts paid in settlement in connection with specified actions, suits and proceedings whether civil, criminal, administrative or investigative, other than a derivative action by or in the right of the corporation, if they acted in good faith and in a manner they reasonably believed to be in or not opposed to the best interests of the corporation and, with respect to any criminal action or proceeding, had no reasonable cause to believe their conduct was unlawful. A similar standard is applicable in the case of derivative actions, except that indemnification extends only to expenses, including attorneys’ fees, incurred in connection with the defense or settlement of such action and the statute requires court approval before there can be any indemnification where the person seeking indemnification has been found liable to the corporation. The statute provides that it is not exclusive of other indemnification that may be granted by a corporation’s certificate of incorporation, bylaws, disinterested director vote, stockholder vote, agreement or otherwise.</w:t>
      </w:r>
    </w:p>
    <w:p>
      <w:pPr>
        <w:spacing w:after="0" w:line="181" w:lineRule="exact"/>
        <w:rPr>
          <w:sz w:val="20"/>
          <w:szCs w:val="20"/>
          <w:color w:val="auto"/>
        </w:rPr>
      </w:pPr>
    </w:p>
    <w:p>
      <w:pPr>
        <w:ind w:firstLine="440"/>
        <w:spacing w:after="0" w:line="293" w:lineRule="auto"/>
        <w:rPr>
          <w:sz w:val="20"/>
          <w:szCs w:val="20"/>
          <w:color w:val="auto"/>
        </w:rPr>
      </w:pPr>
      <w:r>
        <w:rPr>
          <w:rFonts w:ascii="Arial" w:cs="Arial" w:eastAsia="Arial" w:hAnsi="Arial"/>
          <w:sz w:val="16"/>
          <w:szCs w:val="16"/>
          <w:color w:val="auto"/>
        </w:rPr>
        <w:t>Our amended and restated certificate of incorporation will provide for indemnification of directors and officers to the fullest extent permitted by law, including payment of expenses in advance of resolution of any such matter. Our amended and restated certificate of incorporation will eliminate the potential personal monetary liability of our directors to us or our stockholders for breaches of their duties as directors except as otherwise required under the DGCL. Any amendment to, or repeal of, these provisions will not eliminate or reduce the effect of these provisions in respect of any act, omission or claim that occurred or arose prior to that amendment or repeal. If the DGCL is amended to provide for further limitations on the personal liability of directors of corporations, then the personal liability of our directors will be further limited to the greatest extent permitted by the DGCL.</w:t>
      </w:r>
    </w:p>
    <w:p>
      <w:pPr>
        <w:spacing w:after="0" w:line="164" w:lineRule="exact"/>
        <w:rPr>
          <w:sz w:val="20"/>
          <w:szCs w:val="20"/>
          <w:color w:val="auto"/>
        </w:rPr>
      </w:pPr>
    </w:p>
    <w:p>
      <w:pPr>
        <w:ind w:right="60" w:firstLine="440"/>
        <w:spacing w:after="0" w:line="272" w:lineRule="auto"/>
        <w:rPr>
          <w:sz w:val="20"/>
          <w:szCs w:val="20"/>
          <w:color w:val="auto"/>
        </w:rPr>
      </w:pPr>
      <w:r>
        <w:rPr>
          <w:rFonts w:ascii="Arial" w:cs="Arial" w:eastAsia="Arial" w:hAnsi="Arial"/>
          <w:sz w:val="17"/>
          <w:szCs w:val="17"/>
          <w:color w:val="auto"/>
        </w:rPr>
        <w:t>We have entered into or will enter into separate indemnification agreements with our directors and officers that may be broader than the specific indemnification provisions contained in the DGCL. Each indemnification agreement provides, among other things, for indemnification to the fullest extent permitted by law and our amended and restated certificate of incorporation and amended and restated bylaws against any and all expenses, judgments, fines and amounts paid in settlement of any claim. The indemnification agreements provide for the advancement or payment of all expenses to the indemnitee and for reimbursement to us if it is found that such indemnitee is not entitled to such indemnification under applicable law and our amended and restated certificate of incorporation and amended and restated bylaws. We believe that these agreements are necessary to attract and retain qualified individuals to serve as directors and officers.</w:t>
      </w:r>
    </w:p>
    <w:p>
      <w:pPr>
        <w:spacing w:after="0" w:line="177" w:lineRule="exact"/>
        <w:rPr>
          <w:sz w:val="20"/>
          <w:szCs w:val="20"/>
          <w:color w:val="auto"/>
        </w:rPr>
      </w:pPr>
    </w:p>
    <w:p>
      <w:pPr>
        <w:ind w:right="80" w:firstLine="440"/>
        <w:spacing w:after="0" w:line="255" w:lineRule="auto"/>
        <w:rPr>
          <w:sz w:val="20"/>
          <w:szCs w:val="20"/>
          <w:color w:val="auto"/>
        </w:rPr>
      </w:pPr>
      <w:r>
        <w:rPr>
          <w:rFonts w:ascii="Arial" w:cs="Arial" w:eastAsia="Arial" w:hAnsi="Arial"/>
          <w:sz w:val="18"/>
          <w:szCs w:val="18"/>
          <w:color w:val="auto"/>
        </w:rPr>
        <w:t>The limitation of liability and indemnification provisions expected to be included in our amended and restated certificate of incorporation and the indemnification agreements that we have entered into or will enter into with our directors and officers may discourage stockholders from bringing a lawsuit against our directors and officers for breach of their fiduciary duties.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executive officers as required by these indemnification provisions.</w:t>
      </w:r>
    </w:p>
    <w:p>
      <w:pPr>
        <w:spacing w:after="0" w:line="192" w:lineRule="exact"/>
        <w:rPr>
          <w:sz w:val="20"/>
          <w:szCs w:val="20"/>
          <w:color w:val="auto"/>
        </w:rPr>
      </w:pPr>
    </w:p>
    <w:p>
      <w:pPr>
        <w:ind w:right="400" w:firstLine="440"/>
        <w:spacing w:after="0" w:line="263" w:lineRule="auto"/>
        <w:rPr>
          <w:sz w:val="20"/>
          <w:szCs w:val="20"/>
          <w:color w:val="auto"/>
        </w:rPr>
      </w:pPr>
      <w:r>
        <w:rPr>
          <w:rFonts w:ascii="Arial" w:cs="Arial" w:eastAsia="Arial" w:hAnsi="Arial"/>
          <w:sz w:val="18"/>
          <w:szCs w:val="18"/>
          <w:color w:val="auto"/>
        </w:rPr>
        <w:t>We maintain standard policies of insurance under which, subject to the limitations of the policies, coverage is provided to our directors and officers against loss rising from claims made by reason of breach of duty or other wrongful acts as a director or officer, including claims relating to public securities matters.</w:t>
      </w:r>
    </w:p>
    <w:p>
      <w:pPr>
        <w:spacing w:after="0" w:line="184" w:lineRule="exact"/>
        <w:rPr>
          <w:sz w:val="20"/>
          <w:szCs w:val="20"/>
          <w:color w:val="auto"/>
        </w:rPr>
      </w:pPr>
    </w:p>
    <w:p>
      <w:pPr>
        <w:ind w:right="160" w:firstLine="440"/>
        <w:spacing w:after="0" w:line="291" w:lineRule="auto"/>
        <w:rPr>
          <w:sz w:val="20"/>
          <w:szCs w:val="20"/>
          <w:color w:val="auto"/>
        </w:rPr>
      </w:pPr>
      <w:r>
        <w:rPr>
          <w:rFonts w:ascii="Arial" w:cs="Arial" w:eastAsia="Arial" w:hAnsi="Arial"/>
          <w:sz w:val="16"/>
          <w:szCs w:val="16"/>
          <w:color w:val="auto"/>
        </w:rPr>
        <w:t>Certain of our non-employee directors may, through their relationships with their employers, be insured and/or indemnified against certain liabilities incurred in their capacity as members of our board of directors. Although directors designated for election to our board of directors by investment funds and entities affiliated with either Warburg Pincus or GTCR may have certain rights to indemnification, advancement of expenses or insurance provided or obtained by investment funds and entities affiliated with either Warburg Pincus or GTCR, respectively, we have agreed in our Stockholders’ Agreement that we will be the indemnitor of first resort, will advance the full amount of expenses incurred by each such director and, to the extent that investment funds and entities affiliated with either Warburg Pincus or GTCR or their insurers make any payment to, or advance any expenses to, any such director, we will reimburse those investment funds and entities and their insurers for such amounts.</w:t>
      </w:r>
    </w:p>
    <w:p>
      <w:pPr>
        <w:sectPr>
          <w:pgSz w:w="11900" w:h="16838" w:orient="portrait"/>
          <w:cols w:equalWidth="0" w:num="1">
            <w:col w:w="10980"/>
          </w:cols>
          <w:pgMar w:left="440" w:top="270" w:right="479" w:bottom="1440" w:gutter="0" w:footer="0" w:header="0"/>
        </w:sectPr>
      </w:pPr>
    </w:p>
    <w:bookmarkStart w:id="4" w:name="page5"/>
    <w:bookmarkEnd w:id="4"/>
    <w:tbl>
      <w:tblPr>
        <w:tblLayout w:type="fixed"/>
        <w:tblInd w:w="4" w:type="dxa"/>
        <w:tblCellMar>
          <w:top w:w="0" w:type="dxa"/>
          <w:left w:w="0" w:type="dxa"/>
          <w:bottom w:w="0" w:type="dxa"/>
          <w:right w:w="0" w:type="dxa"/>
        </w:tblCellMar>
      </w:tblPr>
      <w:tr>
        <w:trPr>
          <w:trHeight w:val="234"/>
        </w:trPr>
        <w:tc>
          <w:tcPr>
            <w:tcW w:w="7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Item 7.</w:t>
            </w:r>
          </w:p>
        </w:tc>
        <w:tc>
          <w:tcPr>
            <w:tcW w:w="260" w:type="dxa"/>
            <w:vAlign w:val="bottom"/>
          </w:tcPr>
          <w:p>
            <w:pPr>
              <w:spacing w:after="0"/>
              <w:rPr>
                <w:sz w:val="20"/>
                <w:szCs w:val="20"/>
                <w:color w:val="auto"/>
              </w:rPr>
            </w:pPr>
          </w:p>
        </w:tc>
        <w:tc>
          <w:tcPr>
            <w:tcW w:w="8320" w:type="dxa"/>
            <w:vAlign w:val="bottom"/>
            <w:gridSpan w:val="2"/>
          </w:tcPr>
          <w:p>
            <w:pPr>
              <w:ind w:left="40"/>
              <w:spacing w:after="0"/>
              <w:rPr>
                <w:sz w:val="20"/>
                <w:szCs w:val="20"/>
                <w:color w:val="auto"/>
              </w:rPr>
            </w:pPr>
            <w:r>
              <w:rPr>
                <w:rFonts w:ascii="Arial" w:cs="Arial" w:eastAsia="Arial" w:hAnsi="Arial"/>
                <w:sz w:val="18"/>
                <w:szCs w:val="18"/>
                <w:b w:val="1"/>
                <w:bCs w:val="1"/>
                <w:color w:val="auto"/>
              </w:rPr>
              <w:t>Exemption from Registration Claimed.</w:t>
            </w:r>
          </w:p>
        </w:tc>
        <w:tc>
          <w:tcPr>
            <w:tcW w:w="0" w:type="dxa"/>
            <w:vAlign w:val="bottom"/>
          </w:tcPr>
          <w:p>
            <w:pPr>
              <w:spacing w:after="0"/>
              <w:rPr>
                <w:sz w:val="1"/>
                <w:szCs w:val="1"/>
                <w:color w:val="auto"/>
              </w:rPr>
            </w:pPr>
          </w:p>
        </w:tc>
      </w:tr>
      <w:tr>
        <w:trPr>
          <w:trHeight w:val="324"/>
        </w:trPr>
        <w:tc>
          <w:tcPr>
            <w:tcW w:w="9360" w:type="dxa"/>
            <w:vAlign w:val="bottom"/>
            <w:gridSpan w:val="5"/>
          </w:tcPr>
          <w:p>
            <w:pPr>
              <w:ind w:left="440"/>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580"/>
        </w:trPr>
        <w:tc>
          <w:tcPr>
            <w:tcW w:w="7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Item 8.</w:t>
            </w:r>
          </w:p>
        </w:tc>
        <w:tc>
          <w:tcPr>
            <w:tcW w:w="260" w:type="dxa"/>
            <w:vAlign w:val="bottom"/>
          </w:tcPr>
          <w:p>
            <w:pPr>
              <w:spacing w:after="0"/>
              <w:rPr>
                <w:sz w:val="24"/>
                <w:szCs w:val="24"/>
                <w:color w:val="auto"/>
              </w:rPr>
            </w:pPr>
          </w:p>
        </w:tc>
        <w:tc>
          <w:tcPr>
            <w:tcW w:w="8320" w:type="dxa"/>
            <w:vAlign w:val="bottom"/>
            <w:gridSpan w:val="2"/>
          </w:tcPr>
          <w:p>
            <w:pPr>
              <w:ind w:left="4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369"/>
        </w:trPr>
        <w:tc>
          <w:tcPr>
            <w:tcW w:w="7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Exhibit</w:t>
            </w:r>
          </w:p>
        </w:tc>
        <w:tc>
          <w:tcPr>
            <w:tcW w:w="8580" w:type="dxa"/>
            <w:vAlign w:val="bottom"/>
            <w:gridSpan w:val="3"/>
            <w:vMerge w:val="restart"/>
          </w:tcPr>
          <w:p>
            <w:pPr>
              <w:ind w:left="2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7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Number</w:t>
            </w:r>
          </w:p>
        </w:tc>
        <w:tc>
          <w:tcPr>
            <w:tcW w:w="85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4.1</w:t>
            </w:r>
            <w:r>
              <w:rPr>
                <w:rFonts w:ascii="Arial" w:cs="Arial" w:eastAsia="Arial" w:hAnsi="Arial"/>
                <w:sz w:val="15"/>
                <w:szCs w:val="15"/>
                <w:color w:val="auto"/>
              </w:rPr>
              <w:t>(1)</w:t>
            </w:r>
          </w:p>
        </w:tc>
        <w:tc>
          <w:tcPr>
            <w:tcW w:w="280" w:type="dxa"/>
            <w:vAlign w:val="bottom"/>
          </w:tcPr>
          <w:p>
            <w:pPr>
              <w:spacing w:after="0"/>
              <w:rPr>
                <w:sz w:val="24"/>
                <w:szCs w:val="24"/>
                <w:color w:val="auto"/>
              </w:rPr>
            </w:pPr>
          </w:p>
        </w:tc>
        <w:tc>
          <w:tcPr>
            <w:tcW w:w="8580" w:type="dxa"/>
            <w:vAlign w:val="bottom"/>
            <w:gridSpan w:val="3"/>
          </w:tcPr>
          <w:p>
            <w:pPr>
              <w:ind w:left="260"/>
              <w:spacing w:after="0"/>
              <w:rPr>
                <w:rFonts w:ascii="Arial" w:cs="Arial" w:eastAsia="Arial" w:hAnsi="Arial"/>
                <w:sz w:val="18"/>
                <w:szCs w:val="18"/>
                <w:u w:val="single" w:color="auto"/>
                <w:color w:val="0000EE"/>
              </w:rPr>
            </w:pPr>
            <w:hyperlink r:id="rId21">
              <w:r>
                <w:rPr>
                  <w:rFonts w:ascii="Arial" w:cs="Arial" w:eastAsia="Arial" w:hAnsi="Arial"/>
                  <w:sz w:val="18"/>
                  <w:szCs w:val="18"/>
                  <w:u w:val="single" w:color="auto"/>
                  <w:color w:val="0000EE"/>
                </w:rPr>
                <w:t>Sotera Health Company 2020 Omnibus Incentive Plan.</w:t>
              </w:r>
            </w:hyperlink>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4.2</w:t>
            </w:r>
            <w:r>
              <w:rPr>
                <w:rFonts w:ascii="Arial" w:cs="Arial" w:eastAsia="Arial" w:hAnsi="Arial"/>
                <w:sz w:val="15"/>
                <w:szCs w:val="15"/>
                <w:color w:val="auto"/>
              </w:rPr>
              <w:t>(2)</w:t>
            </w:r>
          </w:p>
        </w:tc>
        <w:tc>
          <w:tcPr>
            <w:tcW w:w="280" w:type="dxa"/>
            <w:vAlign w:val="bottom"/>
          </w:tcPr>
          <w:p>
            <w:pPr>
              <w:spacing w:after="0"/>
              <w:rPr>
                <w:sz w:val="24"/>
                <w:szCs w:val="24"/>
                <w:color w:val="auto"/>
              </w:rPr>
            </w:pPr>
          </w:p>
        </w:tc>
        <w:tc>
          <w:tcPr>
            <w:tcW w:w="8580" w:type="dxa"/>
            <w:vAlign w:val="bottom"/>
            <w:gridSpan w:val="3"/>
          </w:tcPr>
          <w:p>
            <w:pPr>
              <w:ind w:left="260"/>
              <w:spacing w:after="0"/>
              <w:rPr>
                <w:rFonts w:ascii="Arial" w:cs="Arial" w:eastAsia="Arial" w:hAnsi="Arial"/>
                <w:sz w:val="18"/>
                <w:szCs w:val="18"/>
                <w:u w:val="single" w:color="auto"/>
                <w:color w:val="0000EE"/>
                <w:w w:val="91"/>
              </w:rPr>
            </w:pPr>
            <w:hyperlink r:id="rId22">
              <w:r>
                <w:rPr>
                  <w:rFonts w:ascii="Arial" w:cs="Arial" w:eastAsia="Arial" w:hAnsi="Arial"/>
                  <w:sz w:val="18"/>
                  <w:szCs w:val="18"/>
                  <w:u w:val="single" w:color="auto"/>
                  <w:color w:val="0000EE"/>
                  <w:w w:val="91"/>
                </w:rPr>
                <w:t>Form of Sotera Health Company 2020 Omnibus Incentive Plan Restricted Stock Unit Grant Notice and Agreement.</w:t>
              </w:r>
            </w:hyperlink>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4.3</w:t>
            </w:r>
            <w:r>
              <w:rPr>
                <w:rFonts w:ascii="Arial" w:cs="Arial" w:eastAsia="Arial" w:hAnsi="Arial"/>
                <w:sz w:val="15"/>
                <w:szCs w:val="15"/>
                <w:color w:val="auto"/>
              </w:rPr>
              <w:t>(3)</w:t>
            </w:r>
          </w:p>
        </w:tc>
        <w:tc>
          <w:tcPr>
            <w:tcW w:w="280" w:type="dxa"/>
            <w:vAlign w:val="bottom"/>
          </w:tcPr>
          <w:p>
            <w:pPr>
              <w:spacing w:after="0"/>
              <w:rPr>
                <w:sz w:val="24"/>
                <w:szCs w:val="24"/>
                <w:color w:val="auto"/>
              </w:rPr>
            </w:pPr>
          </w:p>
        </w:tc>
        <w:tc>
          <w:tcPr>
            <w:tcW w:w="8580" w:type="dxa"/>
            <w:vAlign w:val="bottom"/>
            <w:gridSpan w:val="3"/>
          </w:tcPr>
          <w:p>
            <w:pPr>
              <w:ind w:left="260"/>
              <w:spacing w:after="0"/>
              <w:rPr>
                <w:rFonts w:ascii="Arial" w:cs="Arial" w:eastAsia="Arial" w:hAnsi="Arial"/>
                <w:sz w:val="18"/>
                <w:szCs w:val="18"/>
                <w:u w:val="single" w:color="auto"/>
                <w:color w:val="0000EE"/>
                <w:w w:val="98"/>
              </w:rPr>
            </w:pPr>
            <w:hyperlink r:id="rId23">
              <w:r>
                <w:rPr>
                  <w:rFonts w:ascii="Arial" w:cs="Arial" w:eastAsia="Arial" w:hAnsi="Arial"/>
                  <w:sz w:val="18"/>
                  <w:szCs w:val="18"/>
                  <w:u w:val="single" w:color="auto"/>
                  <w:color w:val="0000EE"/>
                  <w:w w:val="98"/>
                </w:rPr>
                <w:t>Form of Sotera Health Company 2020 Omnibus Incentive Plan Stock Option Grant Notice and Agreement</w:t>
              </w:r>
            </w:hyperlink>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5.1</w:t>
            </w:r>
          </w:p>
        </w:tc>
        <w:tc>
          <w:tcPr>
            <w:tcW w:w="280" w:type="dxa"/>
            <w:vAlign w:val="bottom"/>
          </w:tcPr>
          <w:p>
            <w:pPr>
              <w:spacing w:after="0"/>
              <w:rPr>
                <w:sz w:val="24"/>
                <w:szCs w:val="24"/>
                <w:color w:val="auto"/>
              </w:rPr>
            </w:pPr>
          </w:p>
        </w:tc>
        <w:tc>
          <w:tcPr>
            <w:tcW w:w="8580" w:type="dxa"/>
            <w:vAlign w:val="bottom"/>
            <w:gridSpan w:val="3"/>
          </w:tcPr>
          <w:p>
            <w:pPr>
              <w:ind w:left="2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Opinion of Cleary Gottlieb Steen &amp; Hamilton LLP.</w:t>
              </w:r>
            </w:hyperlink>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23.1</w:t>
            </w:r>
          </w:p>
        </w:tc>
        <w:tc>
          <w:tcPr>
            <w:tcW w:w="280" w:type="dxa"/>
            <w:vAlign w:val="bottom"/>
          </w:tcPr>
          <w:p>
            <w:pPr>
              <w:spacing w:after="0"/>
              <w:rPr>
                <w:sz w:val="24"/>
                <w:szCs w:val="24"/>
                <w:color w:val="auto"/>
              </w:rPr>
            </w:pPr>
          </w:p>
        </w:tc>
        <w:tc>
          <w:tcPr>
            <w:tcW w:w="8580" w:type="dxa"/>
            <w:vAlign w:val="bottom"/>
            <w:gridSpan w:val="3"/>
          </w:tcPr>
          <w:p>
            <w:pPr>
              <w:ind w:left="2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Consent of Cleary Gottlieb Steen &amp; Hamilton LLP (included in Exhibit 5.1).</w:t>
              </w:r>
            </w:hyperlink>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23.2</w:t>
            </w:r>
          </w:p>
        </w:tc>
        <w:tc>
          <w:tcPr>
            <w:tcW w:w="280" w:type="dxa"/>
            <w:vAlign w:val="bottom"/>
          </w:tcPr>
          <w:p>
            <w:pPr>
              <w:spacing w:after="0"/>
              <w:rPr>
                <w:sz w:val="24"/>
                <w:szCs w:val="24"/>
                <w:color w:val="auto"/>
              </w:rPr>
            </w:pPr>
          </w:p>
        </w:tc>
        <w:tc>
          <w:tcPr>
            <w:tcW w:w="8580" w:type="dxa"/>
            <w:vAlign w:val="bottom"/>
            <w:gridSpan w:val="3"/>
          </w:tcPr>
          <w:p>
            <w:pPr>
              <w:ind w:left="260"/>
              <w:spacing w:after="0"/>
              <w:rPr>
                <w:rFonts w:ascii="Arial" w:cs="Arial" w:eastAsia="Arial" w:hAnsi="Arial"/>
                <w:sz w:val="18"/>
                <w:szCs w:val="18"/>
                <w:color w:val="0000EE"/>
              </w:rPr>
            </w:pPr>
            <w:hyperlink w:anchor="page12">
              <w:r>
                <w:rPr>
                  <w:rFonts w:ascii="Arial" w:cs="Arial" w:eastAsia="Arial" w:hAnsi="Arial"/>
                  <w:sz w:val="18"/>
                  <w:szCs w:val="18"/>
                  <w:u w:val="single" w:color="auto"/>
                  <w:color w:val="0000EE"/>
                </w:rPr>
                <w:t>Consent of Ernst &amp; Young LLP, Independent Registered Public Accounting Firm</w:t>
              </w:r>
              <w:r>
                <w:rPr>
                  <w:rFonts w:ascii="Arial" w:cs="Arial" w:eastAsia="Arial" w:hAnsi="Arial"/>
                  <w:sz w:val="18"/>
                  <w:szCs w:val="18"/>
                  <w:color w:val="0000EE"/>
                </w:rPr>
                <w:t>.</w:t>
              </w:r>
            </w:hyperlink>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24.1</w:t>
            </w:r>
          </w:p>
        </w:tc>
        <w:tc>
          <w:tcPr>
            <w:tcW w:w="280" w:type="dxa"/>
            <w:vAlign w:val="bottom"/>
          </w:tcPr>
          <w:p>
            <w:pPr>
              <w:spacing w:after="0"/>
              <w:rPr>
                <w:sz w:val="24"/>
                <w:szCs w:val="24"/>
                <w:color w:val="auto"/>
              </w:rPr>
            </w:pPr>
          </w:p>
        </w:tc>
        <w:tc>
          <w:tcPr>
            <w:tcW w:w="8580" w:type="dxa"/>
            <w:vAlign w:val="bottom"/>
            <w:gridSpan w:val="3"/>
          </w:tcPr>
          <w:p>
            <w:pPr>
              <w:ind w:left="26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Power of Attorney (contained on signature pages hereto).</w:t>
              </w:r>
            </w:hyperlink>
          </w:p>
        </w:tc>
        <w:tc>
          <w:tcPr>
            <w:tcW w:w="0" w:type="dxa"/>
            <w:vAlign w:val="bottom"/>
          </w:tcPr>
          <w:p>
            <w:pPr>
              <w:spacing w:after="0"/>
              <w:rPr>
                <w:sz w:val="1"/>
                <w:szCs w:val="1"/>
                <w:color w:val="auto"/>
              </w:rPr>
            </w:pPr>
          </w:p>
        </w:tc>
      </w:tr>
    </w:tbl>
    <w:p>
      <w:pPr>
        <w:spacing w:after="0" w:line="1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ind w:left="424" w:hanging="424"/>
        <w:spacing w:after="0" w:line="258" w:lineRule="auto"/>
        <w:tabs>
          <w:tab w:leader="none" w:pos="424" w:val="left"/>
        </w:tabs>
        <w:numPr>
          <w:ilvl w:val="0"/>
          <w:numId w:val="3"/>
        </w:numPr>
        <w:rPr>
          <w:rFonts w:ascii="Arial" w:cs="Arial" w:eastAsia="Arial" w:hAnsi="Arial"/>
          <w:sz w:val="15"/>
          <w:szCs w:val="15"/>
          <w:color w:val="auto"/>
        </w:rPr>
      </w:pPr>
      <w:r>
        <w:rPr>
          <w:rFonts w:ascii="Arial" w:cs="Arial" w:eastAsia="Arial" w:hAnsi="Arial"/>
          <w:sz w:val="18"/>
          <w:szCs w:val="18"/>
          <w:color w:val="auto"/>
        </w:rPr>
        <w:t>Incorporated by reference to Exhibit 10.5 filed with the Registrant’s Registration Statement on Form S-1/A (Registration No. 333-249648), filed with the Commission on November 12, 2020.</w:t>
      </w:r>
    </w:p>
    <w:p>
      <w:pPr>
        <w:spacing w:after="0" w:line="1" w:lineRule="exact"/>
        <w:rPr>
          <w:rFonts w:ascii="Arial" w:cs="Arial" w:eastAsia="Arial" w:hAnsi="Arial"/>
          <w:sz w:val="15"/>
          <w:szCs w:val="15"/>
          <w:color w:val="auto"/>
        </w:rPr>
      </w:pPr>
    </w:p>
    <w:p>
      <w:pPr>
        <w:ind w:left="424" w:hanging="424"/>
        <w:spacing w:after="0" w:line="250" w:lineRule="auto"/>
        <w:tabs>
          <w:tab w:leader="none" w:pos="424" w:val="left"/>
        </w:tabs>
        <w:numPr>
          <w:ilvl w:val="0"/>
          <w:numId w:val="3"/>
        </w:numPr>
        <w:rPr>
          <w:rFonts w:ascii="Arial" w:cs="Arial" w:eastAsia="Arial" w:hAnsi="Arial"/>
          <w:sz w:val="15"/>
          <w:szCs w:val="15"/>
          <w:color w:val="auto"/>
        </w:rPr>
      </w:pPr>
      <w:r>
        <w:rPr>
          <w:rFonts w:ascii="Arial" w:cs="Arial" w:eastAsia="Arial" w:hAnsi="Arial"/>
          <w:sz w:val="18"/>
          <w:szCs w:val="18"/>
          <w:color w:val="auto"/>
        </w:rPr>
        <w:t>Incorporated by reference to Exhibit 10.6 filed with the Registrant’s Registration Statement on Form S-1/A (Registration No. 333-249648), filed with the Commission on November 12, 2020.</w:t>
      </w:r>
    </w:p>
    <w:p>
      <w:pPr>
        <w:ind w:left="424" w:hanging="424"/>
        <w:spacing w:after="0" w:line="260" w:lineRule="auto"/>
        <w:tabs>
          <w:tab w:leader="none" w:pos="424" w:val="left"/>
        </w:tabs>
        <w:numPr>
          <w:ilvl w:val="0"/>
          <w:numId w:val="3"/>
        </w:numPr>
        <w:rPr>
          <w:rFonts w:ascii="Arial" w:cs="Arial" w:eastAsia="Arial" w:hAnsi="Arial"/>
          <w:sz w:val="15"/>
          <w:szCs w:val="15"/>
          <w:color w:val="auto"/>
        </w:rPr>
      </w:pPr>
      <w:r>
        <w:rPr>
          <w:rFonts w:ascii="Arial" w:cs="Arial" w:eastAsia="Arial" w:hAnsi="Arial"/>
          <w:sz w:val="18"/>
          <w:szCs w:val="18"/>
          <w:color w:val="auto"/>
        </w:rPr>
        <w:t>Incorporated by reference to Exhibit 10.7 filed with the Registrant’s Registration Statement on Form S-1/A (Registration No. 333-249648), filed with the Commission on November 12, 2020.</w:t>
      </w:r>
    </w:p>
    <w:p>
      <w:pPr>
        <w:sectPr>
          <w:pgSz w:w="11900" w:h="16838" w:orient="portrait"/>
          <w:cols w:equalWidth="0" w:num="1">
            <w:col w:w="10824"/>
          </w:cols>
          <w:pgMar w:left="436" w:top="270" w:right="639" w:bottom="1440" w:gutter="0" w:footer="0" w:header="0"/>
        </w:sectPr>
      </w:pPr>
    </w:p>
    <w:bookmarkStart w:id="5" w:name="page6"/>
    <w:bookmarkEnd w:id="5"/>
    <w:p>
      <w:pPr>
        <w:ind w:left="4"/>
        <w:spacing w:after="0"/>
        <w:tabs>
          <w:tab w:leader="none" w:pos="106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9.</w:t>
      </w:r>
      <w:r>
        <w:rPr>
          <w:sz w:val="20"/>
          <w:szCs w:val="20"/>
          <w:color w:val="auto"/>
        </w:rPr>
        <w:tab/>
      </w:r>
      <w:r>
        <w:rPr>
          <w:rFonts w:ascii="Arial" w:cs="Arial" w:eastAsia="Arial" w:hAnsi="Arial"/>
          <w:sz w:val="16"/>
          <w:szCs w:val="16"/>
          <w:b w:val="1"/>
          <w:bCs w:val="1"/>
          <w:color w:val="auto"/>
        </w:rPr>
        <w:t>Undertakings.</w:t>
      </w:r>
    </w:p>
    <w:p>
      <w:pPr>
        <w:spacing w:after="0" w:line="135" w:lineRule="exact"/>
        <w:rPr>
          <w:sz w:val="20"/>
          <w:szCs w:val="20"/>
          <w:color w:val="auto"/>
        </w:rPr>
      </w:pPr>
    </w:p>
    <w:p>
      <w:pPr>
        <w:ind w:left="424" w:hanging="424"/>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4"/>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2"/>
          <w:numId w:val="4"/>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130" w:lineRule="exact"/>
        <w:rPr>
          <w:rFonts w:ascii="Arial" w:cs="Arial" w:eastAsia="Arial" w:hAnsi="Arial"/>
          <w:sz w:val="18"/>
          <w:szCs w:val="18"/>
          <w:color w:val="auto"/>
        </w:rPr>
      </w:pPr>
    </w:p>
    <w:p>
      <w:pPr>
        <w:ind w:left="1424" w:right="300" w:hanging="439"/>
        <w:spacing w:after="0" w:line="263" w:lineRule="auto"/>
        <w:tabs>
          <w:tab w:leader="none" w:pos="1424" w:val="left"/>
        </w:tabs>
        <w:numPr>
          <w:ilvl w:val="2"/>
          <w:numId w:val="4"/>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and</w:t>
      </w:r>
    </w:p>
    <w:p>
      <w:pPr>
        <w:spacing w:after="0" w:line="89" w:lineRule="exact"/>
        <w:rPr>
          <w:rFonts w:ascii="Arial" w:cs="Arial" w:eastAsia="Arial" w:hAnsi="Arial"/>
          <w:sz w:val="18"/>
          <w:szCs w:val="18"/>
          <w:color w:val="auto"/>
        </w:rPr>
      </w:pPr>
    </w:p>
    <w:p>
      <w:pPr>
        <w:ind w:left="1424" w:right="60" w:hanging="439"/>
        <w:spacing w:after="0" w:line="277" w:lineRule="auto"/>
        <w:tabs>
          <w:tab w:leader="none" w:pos="1424" w:val="left"/>
        </w:tabs>
        <w:numPr>
          <w:ilvl w:val="2"/>
          <w:numId w:val="4"/>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ind w:left="4" w:right="340"/>
        <w:spacing w:after="0" w:line="263"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paragraphs (A)(1)(i) and (A)(1)(ii) do not apply if the information required to be included in a post-effective amendment by</w:t>
      </w:r>
      <w:r>
        <w:rPr>
          <w:rFonts w:ascii="Arial" w:cs="Arial" w:eastAsia="Arial" w:hAnsi="Arial"/>
          <w:sz w:val="18"/>
          <w:szCs w:val="18"/>
          <w:i w:val="1"/>
          <w:iCs w:val="1"/>
          <w:color w:val="auto"/>
        </w:rPr>
        <w:t xml:space="preserve"> </w:t>
      </w:r>
      <w:r>
        <w:rPr>
          <w:rFonts w:ascii="Arial" w:cs="Arial" w:eastAsia="Arial" w:hAnsi="Arial"/>
          <w:sz w:val="18"/>
          <w:szCs w:val="18"/>
          <w:color w:val="auto"/>
        </w:rPr>
        <w:t>those paragraphs is contained in reports filed with or furnished to the Commission by the Registrant pursuant to Section 13 or Section 15(d) of the Exchange Act that are incorporated by reference in this Registration Statement.</w:t>
      </w:r>
    </w:p>
    <w:p>
      <w:pPr>
        <w:spacing w:after="0" w:line="89" w:lineRule="exact"/>
        <w:rPr>
          <w:sz w:val="20"/>
          <w:szCs w:val="20"/>
          <w:color w:val="auto"/>
        </w:rPr>
      </w:pPr>
    </w:p>
    <w:p>
      <w:pPr>
        <w:ind w:left="964" w:hanging="532"/>
        <w:spacing w:after="0" w:line="263" w:lineRule="auto"/>
        <w:tabs>
          <w:tab w:leader="none" w:pos="964" w:val="left"/>
        </w:tabs>
        <w:numPr>
          <w:ilvl w:val="1"/>
          <w:numId w:val="5"/>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89" w:lineRule="exact"/>
        <w:rPr>
          <w:rFonts w:ascii="Arial" w:cs="Arial" w:eastAsia="Arial" w:hAnsi="Arial"/>
          <w:sz w:val="18"/>
          <w:szCs w:val="18"/>
          <w:color w:val="auto"/>
        </w:rPr>
      </w:pPr>
    </w:p>
    <w:p>
      <w:pPr>
        <w:ind w:left="964" w:right="360" w:hanging="532"/>
        <w:spacing w:after="0" w:line="277" w:lineRule="auto"/>
        <w:tabs>
          <w:tab w:leader="none" w:pos="964" w:val="left"/>
        </w:tabs>
        <w:numPr>
          <w:ilvl w:val="1"/>
          <w:numId w:val="5"/>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75" w:lineRule="exact"/>
        <w:rPr>
          <w:rFonts w:ascii="Arial" w:cs="Arial" w:eastAsia="Arial" w:hAnsi="Arial"/>
          <w:sz w:val="18"/>
          <w:szCs w:val="18"/>
          <w:color w:val="auto"/>
        </w:rPr>
      </w:pPr>
    </w:p>
    <w:p>
      <w:pPr>
        <w:ind w:left="424" w:right="280" w:hanging="424"/>
        <w:spacing w:after="0" w:line="259" w:lineRule="auto"/>
        <w:tabs>
          <w:tab w:leader="none" w:pos="424"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each filing of the Registrant’s annual report pursuant to Section 13(a) or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92" w:lineRule="exact"/>
        <w:rPr>
          <w:rFonts w:ascii="Arial" w:cs="Arial" w:eastAsia="Arial" w:hAnsi="Arial"/>
          <w:sz w:val="18"/>
          <w:szCs w:val="18"/>
          <w:color w:val="auto"/>
        </w:rPr>
      </w:pPr>
    </w:p>
    <w:p>
      <w:pPr>
        <w:ind w:left="424" w:right="60" w:hanging="424"/>
        <w:spacing w:after="0" w:line="271" w:lineRule="auto"/>
        <w:tabs>
          <w:tab w:leader="none" w:pos="424" w:val="left"/>
        </w:tabs>
        <w:numPr>
          <w:ilvl w:val="0"/>
          <w:numId w:val="6"/>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pgSz w:w="11900" w:h="16838" w:orient="portrait"/>
          <w:cols w:equalWidth="0" w:num="1">
            <w:col w:w="11004"/>
          </w:cols>
          <w:pgMar w:left="436" w:top="270" w:right="45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SIGNATURES</w:t>
      </w:r>
    </w:p>
    <w:p>
      <w:pPr>
        <w:spacing w:after="0" w:line="229" w:lineRule="exact"/>
        <w:rPr>
          <w:sz w:val="20"/>
          <w:szCs w:val="20"/>
          <w:color w:val="auto"/>
        </w:rPr>
      </w:pPr>
    </w:p>
    <w:p>
      <w:pPr>
        <w:jc w:val="both"/>
        <w:ind w:right="420" w:firstLine="440"/>
        <w:spacing w:after="0" w:line="263"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Broadview Heights, Ohio, on the 20</w:t>
      </w:r>
      <w:r>
        <w:rPr>
          <w:rFonts w:ascii="Arial" w:cs="Arial" w:eastAsia="Arial" w:hAnsi="Arial"/>
          <w:sz w:val="15"/>
          <w:szCs w:val="15"/>
          <w:color w:val="auto"/>
        </w:rPr>
        <w:t>th</w:t>
      </w:r>
      <w:r>
        <w:rPr>
          <w:rFonts w:ascii="Arial" w:cs="Arial" w:eastAsia="Arial" w:hAnsi="Arial"/>
          <w:sz w:val="18"/>
          <w:szCs w:val="18"/>
          <w:color w:val="auto"/>
        </w:rPr>
        <w:t xml:space="preserve"> day of November, 2020.</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SOTERA HEALTH COMPANY</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Michael B. Petras,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Michael B. Petras, Jr.</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Chairman and Chief Executive Officer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40" w:firstLine="440"/>
        <w:spacing w:after="0" w:line="289" w:lineRule="auto"/>
        <w:rPr>
          <w:sz w:val="20"/>
          <w:szCs w:val="20"/>
          <w:color w:val="auto"/>
        </w:rPr>
      </w:pPr>
      <w:r>
        <w:rPr>
          <w:rFonts w:ascii="Arial" w:cs="Arial" w:eastAsia="Arial" w:hAnsi="Arial"/>
          <w:sz w:val="16"/>
          <w:szCs w:val="16"/>
          <w:color w:val="auto"/>
        </w:rPr>
        <w:t>The undersigned directors and officers of Sotera Health Company hereby constitute and appoint Michael B. Petras, Jr., Scott J. Leffler and Matthew J. Klaben, and each of them, any of whom may act without joinder of the other, the individual’s true and lawful attorneys-in-fact and agents, with full power of substitution and resubstitution, for the person and in his or her name, place and stead, in any and all capacities, to sign this Registration Statement on Form S-8 and any or all amendments, including post-effective amendments to the Registration Statement, including any Registration Statement for the same offering that is to be effective upon filing pursuant to Rule 462 under the Securities Act, and to file the same, with all exhibits thereto, and all other documents in connection therewith to be filed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as agents or any of them, or his or her substitute or substitutes, may lawfully do or cause to be done by virtue hereof.</w:t>
      </w:r>
    </w:p>
    <w:p>
      <w:pPr>
        <w:spacing w:after="0" w:line="166"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below by the following persons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Name</w:t>
            </w:r>
          </w:p>
        </w:tc>
        <w:tc>
          <w:tcPr>
            <w:tcW w:w="120" w:type="dxa"/>
            <w:vAlign w:val="bottom"/>
          </w:tcPr>
          <w:p>
            <w:pPr>
              <w:spacing w:after="0"/>
              <w:rPr>
                <w:sz w:val="16"/>
                <w:szCs w:val="16"/>
                <w:color w:val="auto"/>
              </w:rPr>
            </w:pPr>
          </w:p>
        </w:tc>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100" w:type="dxa"/>
            <w:vAlign w:val="bottom"/>
          </w:tcPr>
          <w:p>
            <w:pPr>
              <w:spacing w:after="0"/>
              <w:rPr>
                <w:sz w:val="16"/>
                <w:szCs w:val="16"/>
                <w:color w:val="auto"/>
              </w:rPr>
            </w:pPr>
          </w:p>
        </w:tc>
        <w:tc>
          <w:tcPr>
            <w:tcW w:w="3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r>
      <w:tr>
        <w:trPr>
          <w:trHeight w:val="304"/>
        </w:trPr>
        <w:tc>
          <w:tcPr>
            <w:tcW w:w="38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 xml:space="preserve">/s/ </w:t>
            </w:r>
            <w:r>
              <w:rPr>
                <w:rFonts w:ascii="Arial" w:cs="Arial" w:eastAsia="Arial" w:hAnsi="Arial"/>
                <w:sz w:val="18"/>
                <w:szCs w:val="18"/>
                <w:color w:val="auto"/>
                <w:w w:val="89"/>
              </w:rPr>
              <w:t>Michael B. Petras, Jr.</w:t>
            </w:r>
          </w:p>
        </w:tc>
        <w:tc>
          <w:tcPr>
            <w:tcW w:w="120" w:type="dxa"/>
            <w:vAlign w:val="bottom"/>
          </w:tcPr>
          <w:p>
            <w:pPr>
              <w:spacing w:after="0"/>
              <w:rPr>
                <w:sz w:val="24"/>
                <w:szCs w:val="24"/>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Chairman and Chief Executive Officer</w:t>
            </w:r>
          </w:p>
        </w:tc>
        <w:tc>
          <w:tcPr>
            <w:tcW w:w="3420" w:type="dxa"/>
            <w:vAlign w:val="bottom"/>
          </w:tcPr>
          <w:p>
            <w:pPr>
              <w:jc w:val="center"/>
              <w:spacing w:after="0"/>
              <w:rPr>
                <w:sz w:val="20"/>
                <w:szCs w:val="20"/>
                <w:color w:val="auto"/>
              </w:rPr>
            </w:pPr>
            <w:r>
              <w:rPr>
                <w:rFonts w:ascii="Arial" w:cs="Arial" w:eastAsia="Arial" w:hAnsi="Arial"/>
                <w:sz w:val="18"/>
                <w:szCs w:val="18"/>
                <w:color w:val="auto"/>
                <w:w w:val="89"/>
              </w:rPr>
              <w:t>November 20, 2020</w:t>
            </w:r>
          </w:p>
        </w:tc>
      </w:tr>
      <w:tr>
        <w:trPr>
          <w:trHeight w:val="224"/>
        </w:trPr>
        <w:tc>
          <w:tcPr>
            <w:tcW w:w="3860" w:type="dxa"/>
            <w:vAlign w:val="bottom"/>
          </w:tcPr>
          <w:p>
            <w:pPr>
              <w:jc w:val="center"/>
              <w:spacing w:after="0"/>
              <w:rPr>
                <w:sz w:val="20"/>
                <w:szCs w:val="20"/>
                <w:color w:val="auto"/>
              </w:rPr>
            </w:pPr>
            <w:r>
              <w:rPr>
                <w:rFonts w:ascii="Arial" w:cs="Arial" w:eastAsia="Arial" w:hAnsi="Arial"/>
                <w:sz w:val="18"/>
                <w:szCs w:val="18"/>
                <w:color w:val="auto"/>
                <w:w w:val="90"/>
              </w:rPr>
              <w:t>Michael B. Petras, Jr.</w:t>
            </w:r>
          </w:p>
        </w:tc>
        <w:tc>
          <w:tcPr>
            <w:tcW w:w="120" w:type="dxa"/>
            <w:vAlign w:val="bottom"/>
          </w:tcPr>
          <w:p>
            <w:pPr>
              <w:spacing w:after="0"/>
              <w:rPr>
                <w:sz w:val="19"/>
                <w:szCs w:val="19"/>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(Principal Executive Officer)</w:t>
            </w:r>
          </w:p>
        </w:tc>
        <w:tc>
          <w:tcPr>
            <w:tcW w:w="3420" w:type="dxa"/>
            <w:vAlign w:val="bottom"/>
          </w:tcPr>
          <w:p>
            <w:pPr>
              <w:spacing w:after="0"/>
              <w:rPr>
                <w:sz w:val="19"/>
                <w:szCs w:val="19"/>
                <w:color w:val="auto"/>
              </w:rPr>
            </w:pPr>
          </w:p>
        </w:tc>
      </w:tr>
      <w:tr>
        <w:trPr>
          <w:trHeight w:val="431"/>
        </w:trPr>
        <w:tc>
          <w:tcPr>
            <w:tcW w:w="38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 xml:space="preserve">/s/ </w:t>
            </w:r>
            <w:r>
              <w:rPr>
                <w:rFonts w:ascii="Arial" w:cs="Arial" w:eastAsia="Arial" w:hAnsi="Arial"/>
                <w:sz w:val="18"/>
                <w:szCs w:val="18"/>
                <w:color w:val="auto"/>
                <w:w w:val="91"/>
              </w:rPr>
              <w:t>Scott J. Leffler</w:t>
            </w:r>
          </w:p>
        </w:tc>
        <w:tc>
          <w:tcPr>
            <w:tcW w:w="120" w:type="dxa"/>
            <w:vAlign w:val="bottom"/>
          </w:tcPr>
          <w:p>
            <w:pPr>
              <w:spacing w:after="0"/>
              <w:rPr>
                <w:sz w:val="24"/>
                <w:szCs w:val="24"/>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Chief Financial Officer and Treasurer (Principal</w:t>
            </w:r>
          </w:p>
        </w:tc>
        <w:tc>
          <w:tcPr>
            <w:tcW w:w="3420" w:type="dxa"/>
            <w:vAlign w:val="bottom"/>
          </w:tcPr>
          <w:p>
            <w:pPr>
              <w:jc w:val="center"/>
              <w:spacing w:after="0"/>
              <w:rPr>
                <w:sz w:val="20"/>
                <w:szCs w:val="20"/>
                <w:color w:val="auto"/>
              </w:rPr>
            </w:pPr>
            <w:r>
              <w:rPr>
                <w:rFonts w:ascii="Arial" w:cs="Arial" w:eastAsia="Arial" w:hAnsi="Arial"/>
                <w:sz w:val="18"/>
                <w:szCs w:val="18"/>
                <w:color w:val="auto"/>
                <w:w w:val="89"/>
              </w:rPr>
              <w:t>November 20, 2020</w:t>
            </w:r>
          </w:p>
        </w:tc>
      </w:tr>
      <w:tr>
        <w:trPr>
          <w:trHeight w:val="224"/>
        </w:trPr>
        <w:tc>
          <w:tcPr>
            <w:tcW w:w="3860" w:type="dxa"/>
            <w:vAlign w:val="bottom"/>
          </w:tcPr>
          <w:p>
            <w:pPr>
              <w:jc w:val="center"/>
              <w:spacing w:after="0"/>
              <w:rPr>
                <w:sz w:val="20"/>
                <w:szCs w:val="20"/>
                <w:color w:val="auto"/>
              </w:rPr>
            </w:pPr>
            <w:r>
              <w:rPr>
                <w:rFonts w:ascii="Arial" w:cs="Arial" w:eastAsia="Arial" w:hAnsi="Arial"/>
                <w:sz w:val="18"/>
                <w:szCs w:val="18"/>
                <w:color w:val="auto"/>
                <w:w w:val="92"/>
              </w:rPr>
              <w:t>Scott J. Leffler</w:t>
            </w:r>
          </w:p>
        </w:tc>
        <w:tc>
          <w:tcPr>
            <w:tcW w:w="120" w:type="dxa"/>
            <w:vAlign w:val="bottom"/>
          </w:tcPr>
          <w:p>
            <w:pPr>
              <w:spacing w:after="0"/>
              <w:rPr>
                <w:sz w:val="19"/>
                <w:szCs w:val="19"/>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Financial and Accounting Officer)</w:t>
            </w:r>
          </w:p>
        </w:tc>
        <w:tc>
          <w:tcPr>
            <w:tcW w:w="3420" w:type="dxa"/>
            <w:vAlign w:val="bottom"/>
          </w:tcPr>
          <w:p>
            <w:pPr>
              <w:spacing w:after="0"/>
              <w:rPr>
                <w:sz w:val="19"/>
                <w:szCs w:val="19"/>
                <w:color w:val="auto"/>
              </w:rPr>
            </w:pPr>
          </w:p>
        </w:tc>
      </w:tr>
      <w:tr>
        <w:trPr>
          <w:trHeight w:val="431"/>
        </w:trPr>
        <w:tc>
          <w:tcPr>
            <w:tcW w:w="38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 xml:space="preserve">/s/ </w:t>
            </w:r>
            <w:r>
              <w:rPr>
                <w:rFonts w:ascii="Arial" w:cs="Arial" w:eastAsia="Arial" w:hAnsi="Arial"/>
                <w:sz w:val="18"/>
                <w:szCs w:val="18"/>
                <w:color w:val="auto"/>
                <w:w w:val="90"/>
              </w:rPr>
              <w:t>Ruoxi Chen</w:t>
            </w:r>
          </w:p>
        </w:tc>
        <w:tc>
          <w:tcPr>
            <w:tcW w:w="1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24"/>
        </w:trPr>
        <w:tc>
          <w:tcPr>
            <w:tcW w:w="3860" w:type="dxa"/>
            <w:vAlign w:val="bottom"/>
          </w:tcPr>
          <w:p>
            <w:pPr>
              <w:jc w:val="center"/>
              <w:spacing w:after="0"/>
              <w:rPr>
                <w:sz w:val="20"/>
                <w:szCs w:val="20"/>
                <w:color w:val="auto"/>
              </w:rPr>
            </w:pPr>
            <w:r>
              <w:rPr>
                <w:rFonts w:ascii="Arial" w:cs="Arial" w:eastAsia="Arial" w:hAnsi="Arial"/>
                <w:sz w:val="18"/>
                <w:szCs w:val="18"/>
                <w:color w:val="auto"/>
                <w:w w:val="91"/>
              </w:rPr>
              <w:t>Ruoxi Chen</w:t>
            </w:r>
          </w:p>
        </w:tc>
        <w:tc>
          <w:tcPr>
            <w:tcW w:w="120" w:type="dxa"/>
            <w:vAlign w:val="bottom"/>
          </w:tcPr>
          <w:p>
            <w:pPr>
              <w:spacing w:after="0"/>
              <w:rPr>
                <w:sz w:val="19"/>
                <w:szCs w:val="19"/>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3420" w:type="dxa"/>
            <w:vAlign w:val="bottom"/>
          </w:tcPr>
          <w:p>
            <w:pPr>
              <w:jc w:val="center"/>
              <w:spacing w:after="0"/>
              <w:rPr>
                <w:sz w:val="20"/>
                <w:szCs w:val="20"/>
                <w:color w:val="auto"/>
              </w:rPr>
            </w:pPr>
            <w:r>
              <w:rPr>
                <w:rFonts w:ascii="Arial" w:cs="Arial" w:eastAsia="Arial" w:hAnsi="Arial"/>
                <w:sz w:val="18"/>
                <w:szCs w:val="18"/>
                <w:color w:val="auto"/>
                <w:w w:val="89"/>
              </w:rPr>
              <w:t>November 20, 2020</w:t>
            </w:r>
          </w:p>
        </w:tc>
      </w:tr>
      <w:tr>
        <w:trPr>
          <w:trHeight w:val="431"/>
        </w:trPr>
        <w:tc>
          <w:tcPr>
            <w:tcW w:w="38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 xml:space="preserve">/s/ </w:t>
            </w:r>
            <w:r>
              <w:rPr>
                <w:rFonts w:ascii="Arial" w:cs="Arial" w:eastAsia="Arial" w:hAnsi="Arial"/>
                <w:sz w:val="18"/>
                <w:szCs w:val="18"/>
                <w:color w:val="auto"/>
                <w:w w:val="89"/>
              </w:rPr>
              <w:t>Sean L. Cunningham</w:t>
            </w:r>
          </w:p>
        </w:tc>
        <w:tc>
          <w:tcPr>
            <w:tcW w:w="1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24"/>
        </w:trPr>
        <w:tc>
          <w:tcPr>
            <w:tcW w:w="3860" w:type="dxa"/>
            <w:vAlign w:val="bottom"/>
          </w:tcPr>
          <w:p>
            <w:pPr>
              <w:jc w:val="center"/>
              <w:spacing w:after="0"/>
              <w:rPr>
                <w:sz w:val="20"/>
                <w:szCs w:val="20"/>
                <w:color w:val="auto"/>
              </w:rPr>
            </w:pPr>
            <w:r>
              <w:rPr>
                <w:rFonts w:ascii="Arial" w:cs="Arial" w:eastAsia="Arial" w:hAnsi="Arial"/>
                <w:sz w:val="18"/>
                <w:szCs w:val="18"/>
                <w:color w:val="auto"/>
                <w:w w:val="89"/>
              </w:rPr>
              <w:t>Sean L. Cunningham</w:t>
            </w:r>
          </w:p>
        </w:tc>
        <w:tc>
          <w:tcPr>
            <w:tcW w:w="120" w:type="dxa"/>
            <w:vAlign w:val="bottom"/>
          </w:tcPr>
          <w:p>
            <w:pPr>
              <w:spacing w:after="0"/>
              <w:rPr>
                <w:sz w:val="19"/>
                <w:szCs w:val="19"/>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3420" w:type="dxa"/>
            <w:vAlign w:val="bottom"/>
          </w:tcPr>
          <w:p>
            <w:pPr>
              <w:jc w:val="center"/>
              <w:spacing w:after="0"/>
              <w:rPr>
                <w:sz w:val="20"/>
                <w:szCs w:val="20"/>
                <w:color w:val="auto"/>
              </w:rPr>
            </w:pPr>
            <w:r>
              <w:rPr>
                <w:rFonts w:ascii="Arial" w:cs="Arial" w:eastAsia="Arial" w:hAnsi="Arial"/>
                <w:sz w:val="18"/>
                <w:szCs w:val="18"/>
                <w:color w:val="auto"/>
                <w:w w:val="89"/>
              </w:rPr>
              <w:t>November 20, 2020</w:t>
            </w:r>
          </w:p>
        </w:tc>
      </w:tr>
    </w:tbl>
    <w:p>
      <w:pPr>
        <w:sectPr>
          <w:pgSz w:w="11900" w:h="16838" w:orient="portrait"/>
          <w:cols w:equalWidth="0" w:num="1">
            <w:col w:w="11020"/>
          </w:cols>
          <w:pgMar w:left="440" w:top="270" w:right="439" w:bottom="1440" w:gutter="0" w:footer="0" w:header="0"/>
        </w:sectPr>
      </w:pPr>
    </w:p>
    <w:bookmarkStart w:id="7" w:name="page8"/>
    <w:bookmarkEnd w:id="7"/>
    <w:p>
      <w:pPr>
        <w:jc w:val="center"/>
        <w:ind w:right="1880"/>
        <w:spacing w:after="0"/>
        <w:rPr>
          <w:sz w:val="20"/>
          <w:szCs w:val="20"/>
          <w:color w:val="auto"/>
        </w:rPr>
      </w:pPr>
      <w:r>
        <w:rPr>
          <w:rFonts w:ascii="Arial" w:cs="Arial" w:eastAsia="Arial" w:hAnsi="Arial"/>
          <w:sz w:val="18"/>
          <w:szCs w:val="18"/>
          <w:color w:val="auto"/>
        </w:rPr>
        <w:t>/s/ David A. Donnini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14605</wp:posOffset>
            </wp:positionV>
            <wp:extent cx="245173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16" w:lineRule="exact"/>
        <w:rPr>
          <w:sz w:val="20"/>
          <w:szCs w:val="20"/>
          <w:color w:val="auto"/>
        </w:rPr>
      </w:pPr>
    </w:p>
    <w:p>
      <w:pPr>
        <w:jc w:val="center"/>
        <w:ind w:right="1880"/>
        <w:spacing w:after="0"/>
        <w:rPr>
          <w:sz w:val="20"/>
          <w:szCs w:val="20"/>
          <w:color w:val="auto"/>
        </w:rPr>
      </w:pPr>
      <w:r>
        <w:rPr>
          <w:rFonts w:ascii="Arial" w:cs="Arial" w:eastAsia="Arial" w:hAnsi="Arial"/>
          <w:sz w:val="18"/>
          <w:szCs w:val="18"/>
          <w:color w:val="auto"/>
        </w:rPr>
        <w:t>David A. Donnini</w:t>
      </w:r>
    </w:p>
    <w:p>
      <w:pPr>
        <w:spacing w:after="0" w:line="225" w:lineRule="exact"/>
        <w:rPr>
          <w:sz w:val="20"/>
          <w:szCs w:val="20"/>
          <w:color w:val="auto"/>
        </w:rPr>
      </w:pPr>
    </w:p>
    <w:p>
      <w:pPr>
        <w:jc w:val="center"/>
        <w:ind w:right="1880"/>
        <w:spacing w:after="0"/>
        <w:rPr>
          <w:sz w:val="20"/>
          <w:szCs w:val="20"/>
          <w:color w:val="auto"/>
        </w:rPr>
      </w:pPr>
      <w:r>
        <w:rPr>
          <w:rFonts w:ascii="Arial" w:cs="Arial" w:eastAsia="Arial" w:hAnsi="Arial"/>
          <w:sz w:val="18"/>
          <w:szCs w:val="18"/>
          <w:color w:val="auto"/>
        </w:rPr>
        <w:t>/s/ Stephanie Geveda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14605</wp:posOffset>
            </wp:positionV>
            <wp:extent cx="245173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16" w:lineRule="exact"/>
        <w:rPr>
          <w:sz w:val="20"/>
          <w:szCs w:val="20"/>
          <w:color w:val="auto"/>
        </w:rPr>
      </w:pPr>
    </w:p>
    <w:p>
      <w:pPr>
        <w:jc w:val="center"/>
        <w:ind w:right="1880"/>
        <w:spacing w:after="0"/>
        <w:rPr>
          <w:sz w:val="20"/>
          <w:szCs w:val="20"/>
          <w:color w:val="auto"/>
        </w:rPr>
      </w:pPr>
      <w:r>
        <w:rPr>
          <w:rFonts w:ascii="Arial" w:cs="Arial" w:eastAsia="Arial" w:hAnsi="Arial"/>
          <w:sz w:val="18"/>
          <w:szCs w:val="18"/>
          <w:color w:val="auto"/>
        </w:rPr>
        <w:t>Stephanie Geveda</w:t>
      </w:r>
    </w:p>
    <w:p>
      <w:pPr>
        <w:spacing w:after="0" w:line="225" w:lineRule="exact"/>
        <w:rPr>
          <w:sz w:val="20"/>
          <w:szCs w:val="20"/>
          <w:color w:val="auto"/>
        </w:rPr>
      </w:pPr>
    </w:p>
    <w:p>
      <w:pPr>
        <w:jc w:val="center"/>
        <w:ind w:right="1880"/>
        <w:spacing w:after="0"/>
        <w:rPr>
          <w:sz w:val="20"/>
          <w:szCs w:val="20"/>
          <w:color w:val="auto"/>
        </w:rPr>
      </w:pPr>
      <w:r>
        <w:rPr>
          <w:rFonts w:ascii="Arial" w:cs="Arial" w:eastAsia="Arial" w:hAnsi="Arial"/>
          <w:sz w:val="18"/>
          <w:szCs w:val="18"/>
          <w:color w:val="auto"/>
        </w:rPr>
        <w:t>/s/ Ann R. Klee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14605</wp:posOffset>
            </wp:positionV>
            <wp:extent cx="245173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16" w:lineRule="exact"/>
        <w:rPr>
          <w:sz w:val="20"/>
          <w:szCs w:val="20"/>
          <w:color w:val="auto"/>
        </w:rPr>
      </w:pPr>
    </w:p>
    <w:p>
      <w:pPr>
        <w:jc w:val="center"/>
        <w:ind w:right="1880"/>
        <w:spacing w:after="0"/>
        <w:rPr>
          <w:sz w:val="20"/>
          <w:szCs w:val="20"/>
          <w:color w:val="auto"/>
        </w:rPr>
      </w:pPr>
      <w:r>
        <w:rPr>
          <w:rFonts w:ascii="Arial" w:cs="Arial" w:eastAsia="Arial" w:hAnsi="Arial"/>
          <w:sz w:val="18"/>
          <w:szCs w:val="18"/>
          <w:color w:val="auto"/>
        </w:rPr>
        <w:t>Ann R. Klee</w:t>
      </w:r>
    </w:p>
    <w:p>
      <w:pPr>
        <w:spacing w:after="0" w:line="221" w:lineRule="exact"/>
        <w:rPr>
          <w:sz w:val="20"/>
          <w:szCs w:val="20"/>
          <w:color w:val="auto"/>
        </w:rPr>
      </w:pPr>
    </w:p>
    <w:p>
      <w:pPr>
        <w:jc w:val="center"/>
        <w:ind w:right="1880"/>
        <w:spacing w:after="0"/>
        <w:rPr>
          <w:sz w:val="20"/>
          <w:szCs w:val="20"/>
          <w:color w:val="auto"/>
        </w:rPr>
      </w:pPr>
      <w:r>
        <w:rPr>
          <w:rFonts w:ascii="Arial" w:cs="Arial" w:eastAsia="Arial" w:hAnsi="Arial"/>
          <w:sz w:val="16"/>
          <w:szCs w:val="16"/>
          <w:b w:val="1"/>
          <w:bCs w:val="1"/>
          <w:color w:val="auto"/>
        </w:rPr>
        <w:t xml:space="preserve">/s/ </w:t>
      </w:r>
      <w:r>
        <w:rPr>
          <w:rFonts w:ascii="Arial" w:cs="Arial" w:eastAsia="Arial" w:hAnsi="Arial"/>
          <w:sz w:val="16"/>
          <w:szCs w:val="16"/>
          <w:color w:val="auto"/>
        </w:rPr>
        <w:t>Constantine S. Mihas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31750</wp:posOffset>
            </wp:positionV>
            <wp:extent cx="245173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43" w:lineRule="exact"/>
        <w:rPr>
          <w:sz w:val="20"/>
          <w:szCs w:val="20"/>
          <w:color w:val="auto"/>
        </w:rPr>
      </w:pPr>
    </w:p>
    <w:p>
      <w:pPr>
        <w:jc w:val="center"/>
        <w:ind w:right="1880"/>
        <w:spacing w:after="0"/>
        <w:rPr>
          <w:sz w:val="20"/>
          <w:szCs w:val="20"/>
          <w:color w:val="auto"/>
        </w:rPr>
      </w:pPr>
      <w:r>
        <w:rPr>
          <w:rFonts w:ascii="Arial" w:cs="Arial" w:eastAsia="Arial" w:hAnsi="Arial"/>
          <w:sz w:val="18"/>
          <w:szCs w:val="18"/>
          <w:color w:val="auto"/>
        </w:rPr>
        <w:t>Constantine S. Mihas</w:t>
      </w:r>
    </w:p>
    <w:p>
      <w:pPr>
        <w:spacing w:after="0" w:line="225" w:lineRule="exact"/>
        <w:rPr>
          <w:sz w:val="20"/>
          <w:szCs w:val="20"/>
          <w:color w:val="auto"/>
        </w:rPr>
      </w:pPr>
    </w:p>
    <w:p>
      <w:pPr>
        <w:jc w:val="center"/>
        <w:ind w:right="1880"/>
        <w:spacing w:after="0"/>
        <w:rPr>
          <w:sz w:val="20"/>
          <w:szCs w:val="20"/>
          <w:color w:val="auto"/>
        </w:rPr>
      </w:pPr>
      <w:r>
        <w:rPr>
          <w:rFonts w:ascii="Arial" w:cs="Arial" w:eastAsia="Arial" w:hAnsi="Arial"/>
          <w:sz w:val="18"/>
          <w:szCs w:val="18"/>
          <w:color w:val="auto"/>
        </w:rPr>
        <w:t>/s/ James C. Neary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14605</wp:posOffset>
            </wp:positionV>
            <wp:extent cx="245173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16" w:lineRule="exact"/>
        <w:rPr>
          <w:sz w:val="20"/>
          <w:szCs w:val="20"/>
          <w:color w:val="auto"/>
        </w:rPr>
      </w:pPr>
    </w:p>
    <w:p>
      <w:pPr>
        <w:jc w:val="center"/>
        <w:ind w:right="1880"/>
        <w:spacing w:after="0"/>
        <w:rPr>
          <w:sz w:val="20"/>
          <w:szCs w:val="20"/>
          <w:color w:val="auto"/>
        </w:rPr>
      </w:pPr>
      <w:r>
        <w:rPr>
          <w:rFonts w:ascii="Arial" w:cs="Arial" w:eastAsia="Arial" w:hAnsi="Arial"/>
          <w:sz w:val="18"/>
          <w:szCs w:val="18"/>
          <w:color w:val="auto"/>
        </w:rPr>
        <w:t>James C. Neary</w:t>
      </w:r>
    </w:p>
    <w:p>
      <w:pPr>
        <w:spacing w:after="0" w:line="225" w:lineRule="exact"/>
        <w:rPr>
          <w:sz w:val="20"/>
          <w:szCs w:val="20"/>
          <w:color w:val="auto"/>
        </w:rPr>
      </w:pPr>
    </w:p>
    <w:p>
      <w:pPr>
        <w:jc w:val="center"/>
        <w:ind w:right="1880"/>
        <w:spacing w:after="0"/>
        <w:rPr>
          <w:sz w:val="20"/>
          <w:szCs w:val="20"/>
          <w:color w:val="auto"/>
        </w:rPr>
      </w:pPr>
      <w:r>
        <w:rPr>
          <w:rFonts w:ascii="Arial" w:cs="Arial" w:eastAsia="Arial" w:hAnsi="Arial"/>
          <w:sz w:val="18"/>
          <w:szCs w:val="18"/>
          <w:color w:val="auto"/>
        </w:rPr>
        <w:t>/s/ Vincent K. Petrella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14605</wp:posOffset>
            </wp:positionV>
            <wp:extent cx="245173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16" w:lineRule="exact"/>
        <w:rPr>
          <w:sz w:val="20"/>
          <w:szCs w:val="20"/>
          <w:color w:val="auto"/>
        </w:rPr>
      </w:pPr>
    </w:p>
    <w:p>
      <w:pPr>
        <w:jc w:val="center"/>
        <w:ind w:right="1880"/>
        <w:spacing w:after="0"/>
        <w:rPr>
          <w:sz w:val="20"/>
          <w:szCs w:val="20"/>
          <w:color w:val="auto"/>
        </w:rPr>
      </w:pPr>
      <w:r>
        <w:rPr>
          <w:rFonts w:ascii="Arial" w:cs="Arial" w:eastAsia="Arial" w:hAnsi="Arial"/>
          <w:sz w:val="18"/>
          <w:szCs w:val="18"/>
          <w:color w:val="auto"/>
        </w:rPr>
        <w:t>Vincent K. Petrella</w:t>
      </w:r>
    </w:p>
    <w:p>
      <w:pPr>
        <w:spacing w:after="0" w:line="20" w:lineRule="exact"/>
        <w:rPr>
          <w:sz w:val="20"/>
          <w:szCs w:val="20"/>
          <w:color w:val="auto"/>
        </w:rPr>
      </w:pPr>
      <w:r>
        <w:rPr>
          <w:sz w:val="20"/>
          <w:szCs w:val="20"/>
          <w:color w:val="auto"/>
        </w:rPr>
        <w:br w:type="column"/>
      </w:r>
    </w:p>
    <w:p>
      <w:pPr>
        <w:spacing w:after="0"/>
        <w:tabs>
          <w:tab w:leader="none" w:pos="3980"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6"/>
          <w:szCs w:val="16"/>
          <w:color w:val="auto"/>
        </w:rPr>
        <w:t>November 20,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-208280</wp:posOffset>
            </wp:positionV>
            <wp:extent cx="714946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spacing w:after="0"/>
        <w:tabs>
          <w:tab w:leader="none" w:pos="3980"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6"/>
          <w:szCs w:val="16"/>
          <w:color w:val="auto"/>
        </w:rPr>
        <w:t>November 20, 2020</w:t>
      </w:r>
    </w:p>
    <w:p>
      <w:pPr>
        <w:spacing w:after="0" w:line="200" w:lineRule="exact"/>
        <w:rPr>
          <w:sz w:val="20"/>
          <w:szCs w:val="20"/>
          <w:color w:val="auto"/>
        </w:rPr>
      </w:pPr>
    </w:p>
    <w:p>
      <w:pPr>
        <w:spacing w:after="0" w:line="291" w:lineRule="exact"/>
        <w:rPr>
          <w:sz w:val="20"/>
          <w:szCs w:val="20"/>
          <w:color w:val="auto"/>
        </w:rPr>
      </w:pPr>
    </w:p>
    <w:p>
      <w:pPr>
        <w:spacing w:after="0"/>
        <w:tabs>
          <w:tab w:leader="none" w:pos="3980"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6"/>
          <w:szCs w:val="16"/>
          <w:color w:val="auto"/>
        </w:rPr>
        <w:t>November 20, 2020</w:t>
      </w:r>
    </w:p>
    <w:p>
      <w:pPr>
        <w:spacing w:after="0" w:line="200" w:lineRule="exact"/>
        <w:rPr>
          <w:sz w:val="20"/>
          <w:szCs w:val="20"/>
          <w:color w:val="auto"/>
        </w:rPr>
      </w:pPr>
    </w:p>
    <w:p>
      <w:pPr>
        <w:spacing w:after="0" w:line="291" w:lineRule="exact"/>
        <w:rPr>
          <w:sz w:val="20"/>
          <w:szCs w:val="20"/>
          <w:color w:val="auto"/>
        </w:rPr>
      </w:pPr>
    </w:p>
    <w:p>
      <w:pPr>
        <w:spacing w:after="0"/>
        <w:tabs>
          <w:tab w:leader="none" w:pos="3980"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6"/>
          <w:szCs w:val="16"/>
          <w:color w:val="auto"/>
        </w:rPr>
        <w:t>November 20, 2020</w:t>
      </w:r>
    </w:p>
    <w:p>
      <w:pPr>
        <w:spacing w:after="0" w:line="200" w:lineRule="exact"/>
        <w:rPr>
          <w:sz w:val="20"/>
          <w:szCs w:val="20"/>
          <w:color w:val="auto"/>
        </w:rPr>
      </w:pPr>
    </w:p>
    <w:p>
      <w:pPr>
        <w:spacing w:after="0" w:line="291" w:lineRule="exact"/>
        <w:rPr>
          <w:sz w:val="20"/>
          <w:szCs w:val="20"/>
          <w:color w:val="auto"/>
        </w:rPr>
      </w:pPr>
    </w:p>
    <w:p>
      <w:pPr>
        <w:spacing w:after="0"/>
        <w:tabs>
          <w:tab w:leader="none" w:pos="3980"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6"/>
          <w:szCs w:val="16"/>
          <w:color w:val="auto"/>
        </w:rPr>
        <w:t>November 20, 2020</w:t>
      </w:r>
    </w:p>
    <w:p>
      <w:pPr>
        <w:spacing w:after="0" w:line="200" w:lineRule="exact"/>
        <w:rPr>
          <w:sz w:val="20"/>
          <w:szCs w:val="20"/>
          <w:color w:val="auto"/>
        </w:rPr>
      </w:pPr>
    </w:p>
    <w:p>
      <w:pPr>
        <w:spacing w:after="0" w:line="291" w:lineRule="exact"/>
        <w:rPr>
          <w:sz w:val="20"/>
          <w:szCs w:val="20"/>
          <w:color w:val="auto"/>
        </w:rPr>
      </w:pPr>
    </w:p>
    <w:p>
      <w:pPr>
        <w:spacing w:after="0"/>
        <w:tabs>
          <w:tab w:leader="none" w:pos="3980"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6"/>
          <w:szCs w:val="16"/>
          <w:color w:val="auto"/>
        </w:rPr>
        <w:t>November 20, 2020</w:t>
      </w:r>
    </w:p>
    <w:p>
      <w:pPr>
        <w:sectPr>
          <w:pgSz w:w="11900" w:h="16838" w:orient="portrait"/>
          <w:cols w:equalWidth="0" w:num="2">
            <w:col w:w="3720" w:space="720"/>
            <w:col w:w="5580"/>
          </w:cols>
          <w:pgMar w:left="1440" w:top="274" w:right="439" w:bottom="1440" w:gutter="0" w:footer="0" w:header="0"/>
        </w:sectPr>
      </w:pPr>
    </w:p>
    <w:bookmarkStart w:id="8" w:name="page9"/>
    <w:bookmarkEnd w:id="8"/>
    <w:tbl>
      <w:tblPr>
        <w:tblLayout w:type="fixed"/>
        <w:tblInd w:w="4"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540" w:type="dxa"/>
            <w:vAlign w:val="bottom"/>
          </w:tcPr>
          <w:p>
            <w:pPr>
              <w:ind w:left="3400"/>
              <w:spacing w:after="0"/>
              <w:rPr>
                <w:sz w:val="20"/>
                <w:szCs w:val="20"/>
                <w:color w:val="auto"/>
              </w:rPr>
            </w:pPr>
            <w:r>
              <w:rPr>
                <w:rFonts w:ascii="Arial" w:cs="Arial" w:eastAsia="Arial" w:hAnsi="Arial"/>
                <w:sz w:val="18"/>
                <w:szCs w:val="18"/>
                <w:b w:val="1"/>
                <w:bCs w:val="1"/>
                <w:color w:val="auto"/>
              </w:rPr>
              <w:t>EXHIBIT LIST</w:t>
            </w: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240" w:type="dxa"/>
            <w:vAlign w:val="bottom"/>
          </w:tcPr>
          <w:p>
            <w:pPr>
              <w:spacing w:after="0"/>
              <w:rPr>
                <w:sz w:val="24"/>
                <w:szCs w:val="24"/>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754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240" w:type="dxa"/>
            <w:vAlign w:val="bottom"/>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7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540" w:type="dxa"/>
            <w:vAlign w:val="bottom"/>
            <w:gridSpan w:val="2"/>
          </w:tcPr>
          <w:p>
            <w:pPr>
              <w:spacing w:after="0"/>
              <w:rPr>
                <w:sz w:val="20"/>
                <w:szCs w:val="20"/>
                <w:color w:val="auto"/>
              </w:rPr>
            </w:pPr>
            <w:r>
              <w:rPr>
                <w:rFonts w:ascii="Arial" w:cs="Arial" w:eastAsia="Arial" w:hAnsi="Arial"/>
                <w:sz w:val="18"/>
                <w:szCs w:val="18"/>
                <w:color w:val="auto"/>
              </w:rPr>
              <w:t>4.1</w:t>
            </w:r>
            <w:r>
              <w:rPr>
                <w:rFonts w:ascii="Arial" w:cs="Arial" w:eastAsia="Arial" w:hAnsi="Arial"/>
                <w:sz w:val="15"/>
                <w:szCs w:val="15"/>
                <w:color w:val="auto"/>
              </w:rPr>
              <w:t>(1)</w:t>
            </w:r>
          </w:p>
        </w:tc>
        <w:tc>
          <w:tcPr>
            <w:tcW w:w="240" w:type="dxa"/>
            <w:vAlign w:val="bottom"/>
          </w:tcPr>
          <w:p>
            <w:pPr>
              <w:spacing w:after="0"/>
              <w:rPr>
                <w:sz w:val="24"/>
                <w:szCs w:val="24"/>
                <w:color w:val="auto"/>
              </w:rPr>
            </w:pPr>
          </w:p>
        </w:tc>
        <w:tc>
          <w:tcPr>
            <w:tcW w:w="8260" w:type="dxa"/>
            <w:vAlign w:val="bottom"/>
            <w:gridSpan w:val="2"/>
          </w:tcPr>
          <w:p>
            <w:pPr>
              <w:spacing w:after="0"/>
              <w:rPr>
                <w:rFonts w:ascii="Arial" w:cs="Arial" w:eastAsia="Arial" w:hAnsi="Arial"/>
                <w:sz w:val="18"/>
                <w:szCs w:val="18"/>
                <w:u w:val="single" w:color="auto"/>
                <w:color w:val="0000EE"/>
              </w:rPr>
            </w:pPr>
            <w:hyperlink r:id="rId21">
              <w:r>
                <w:rPr>
                  <w:rFonts w:ascii="Arial" w:cs="Arial" w:eastAsia="Arial" w:hAnsi="Arial"/>
                  <w:sz w:val="18"/>
                  <w:szCs w:val="18"/>
                  <w:u w:val="single" w:color="auto"/>
                  <w:color w:val="0000EE"/>
                </w:rPr>
                <w:t>Sotera Health Company 2020 Omnibus Incentive Plan</w:t>
              </w:r>
            </w:hyperlink>
          </w:p>
        </w:tc>
        <w:tc>
          <w:tcPr>
            <w:tcW w:w="0" w:type="dxa"/>
            <w:vAlign w:val="bottom"/>
          </w:tcPr>
          <w:p>
            <w:pPr>
              <w:spacing w:after="0"/>
              <w:rPr>
                <w:sz w:val="1"/>
                <w:szCs w:val="1"/>
                <w:color w:val="auto"/>
              </w:rPr>
            </w:pPr>
          </w:p>
        </w:tc>
      </w:tr>
      <w:tr>
        <w:trPr>
          <w:trHeight w:val="324"/>
        </w:trPr>
        <w:tc>
          <w:tcPr>
            <w:tcW w:w="540" w:type="dxa"/>
            <w:vAlign w:val="bottom"/>
            <w:gridSpan w:val="2"/>
          </w:tcPr>
          <w:p>
            <w:pPr>
              <w:spacing w:after="0"/>
              <w:rPr>
                <w:sz w:val="20"/>
                <w:szCs w:val="20"/>
                <w:color w:val="auto"/>
              </w:rPr>
            </w:pPr>
            <w:r>
              <w:rPr>
                <w:rFonts w:ascii="Arial" w:cs="Arial" w:eastAsia="Arial" w:hAnsi="Arial"/>
                <w:sz w:val="18"/>
                <w:szCs w:val="18"/>
                <w:color w:val="auto"/>
              </w:rPr>
              <w:t>4.2</w:t>
            </w:r>
            <w:r>
              <w:rPr>
                <w:rFonts w:ascii="Arial" w:cs="Arial" w:eastAsia="Arial" w:hAnsi="Arial"/>
                <w:sz w:val="15"/>
                <w:szCs w:val="15"/>
                <w:color w:val="auto"/>
              </w:rPr>
              <w:t>(2)</w:t>
            </w:r>
          </w:p>
        </w:tc>
        <w:tc>
          <w:tcPr>
            <w:tcW w:w="240" w:type="dxa"/>
            <w:vAlign w:val="bottom"/>
          </w:tcPr>
          <w:p>
            <w:pPr>
              <w:spacing w:after="0"/>
              <w:rPr>
                <w:sz w:val="24"/>
                <w:szCs w:val="24"/>
                <w:color w:val="auto"/>
              </w:rPr>
            </w:pPr>
          </w:p>
        </w:tc>
        <w:tc>
          <w:tcPr>
            <w:tcW w:w="8260" w:type="dxa"/>
            <w:vAlign w:val="bottom"/>
            <w:gridSpan w:val="2"/>
          </w:tcPr>
          <w:p>
            <w:pPr>
              <w:spacing w:after="0"/>
              <w:rPr>
                <w:rFonts w:ascii="Arial" w:cs="Arial" w:eastAsia="Arial" w:hAnsi="Arial"/>
                <w:sz w:val="18"/>
                <w:szCs w:val="18"/>
                <w:u w:val="single" w:color="auto"/>
                <w:color w:val="0000EE"/>
                <w:w w:val="90"/>
              </w:rPr>
            </w:pPr>
            <w:hyperlink r:id="rId22">
              <w:r>
                <w:rPr>
                  <w:rFonts w:ascii="Arial" w:cs="Arial" w:eastAsia="Arial" w:hAnsi="Arial"/>
                  <w:sz w:val="18"/>
                  <w:szCs w:val="18"/>
                  <w:u w:val="single" w:color="auto"/>
                  <w:color w:val="0000EE"/>
                  <w:w w:val="90"/>
                </w:rPr>
                <w:t>Form of Sotera Health Company 2020 Omnibus Incentive Plan Restricted Stock Unit Grant Notice and Agreement</w:t>
              </w:r>
            </w:hyperlink>
          </w:p>
        </w:tc>
        <w:tc>
          <w:tcPr>
            <w:tcW w:w="0" w:type="dxa"/>
            <w:vAlign w:val="bottom"/>
          </w:tcPr>
          <w:p>
            <w:pPr>
              <w:spacing w:after="0"/>
              <w:rPr>
                <w:sz w:val="1"/>
                <w:szCs w:val="1"/>
                <w:color w:val="auto"/>
              </w:rPr>
            </w:pPr>
          </w:p>
        </w:tc>
      </w:tr>
      <w:tr>
        <w:trPr>
          <w:trHeight w:val="324"/>
        </w:trPr>
        <w:tc>
          <w:tcPr>
            <w:tcW w:w="540" w:type="dxa"/>
            <w:vAlign w:val="bottom"/>
            <w:gridSpan w:val="2"/>
          </w:tcPr>
          <w:p>
            <w:pPr>
              <w:spacing w:after="0"/>
              <w:rPr>
                <w:sz w:val="20"/>
                <w:szCs w:val="20"/>
                <w:color w:val="auto"/>
              </w:rPr>
            </w:pPr>
            <w:r>
              <w:rPr>
                <w:rFonts w:ascii="Arial" w:cs="Arial" w:eastAsia="Arial" w:hAnsi="Arial"/>
                <w:sz w:val="18"/>
                <w:szCs w:val="18"/>
                <w:color w:val="auto"/>
              </w:rPr>
              <w:t>4.3</w:t>
            </w:r>
            <w:r>
              <w:rPr>
                <w:rFonts w:ascii="Arial" w:cs="Arial" w:eastAsia="Arial" w:hAnsi="Arial"/>
                <w:sz w:val="15"/>
                <w:szCs w:val="15"/>
                <w:color w:val="auto"/>
              </w:rPr>
              <w:t>(3)</w:t>
            </w:r>
          </w:p>
        </w:tc>
        <w:tc>
          <w:tcPr>
            <w:tcW w:w="240" w:type="dxa"/>
            <w:vAlign w:val="bottom"/>
          </w:tcPr>
          <w:p>
            <w:pPr>
              <w:spacing w:after="0"/>
              <w:rPr>
                <w:sz w:val="24"/>
                <w:szCs w:val="24"/>
                <w:color w:val="auto"/>
              </w:rPr>
            </w:pPr>
          </w:p>
        </w:tc>
        <w:tc>
          <w:tcPr>
            <w:tcW w:w="8260" w:type="dxa"/>
            <w:vAlign w:val="bottom"/>
            <w:gridSpan w:val="2"/>
          </w:tcPr>
          <w:p>
            <w:pPr>
              <w:spacing w:after="0"/>
              <w:rPr>
                <w:rFonts w:ascii="Arial" w:cs="Arial" w:eastAsia="Arial" w:hAnsi="Arial"/>
                <w:sz w:val="18"/>
                <w:szCs w:val="18"/>
                <w:u w:val="single" w:color="auto"/>
                <w:color w:val="0000EE"/>
                <w:w w:val="97"/>
              </w:rPr>
            </w:pPr>
            <w:hyperlink r:id="rId23">
              <w:r>
                <w:rPr>
                  <w:rFonts w:ascii="Arial" w:cs="Arial" w:eastAsia="Arial" w:hAnsi="Arial"/>
                  <w:sz w:val="18"/>
                  <w:szCs w:val="18"/>
                  <w:u w:val="single" w:color="auto"/>
                  <w:color w:val="0000EE"/>
                  <w:w w:val="97"/>
                </w:rPr>
                <w:t>Form of Sotera Health Company 2020 Omnibus Incentive Plan Stock Option Grant Notice and Agreement</w:t>
              </w:r>
            </w:hyperlink>
          </w:p>
        </w:tc>
        <w:tc>
          <w:tcPr>
            <w:tcW w:w="0" w:type="dxa"/>
            <w:vAlign w:val="bottom"/>
          </w:tcPr>
          <w:p>
            <w:pPr>
              <w:spacing w:after="0"/>
              <w:rPr>
                <w:sz w:val="1"/>
                <w:szCs w:val="1"/>
                <w:color w:val="auto"/>
              </w:rPr>
            </w:pPr>
          </w:p>
        </w:tc>
      </w:tr>
      <w:tr>
        <w:trPr>
          <w:trHeight w:val="324"/>
        </w:trPr>
        <w:tc>
          <w:tcPr>
            <w:tcW w:w="540" w:type="dxa"/>
            <w:vAlign w:val="bottom"/>
            <w:gridSpan w:val="2"/>
          </w:tcPr>
          <w:p>
            <w:pPr>
              <w:spacing w:after="0"/>
              <w:rPr>
                <w:sz w:val="20"/>
                <w:szCs w:val="20"/>
                <w:color w:val="auto"/>
              </w:rPr>
            </w:pPr>
            <w:r>
              <w:rPr>
                <w:rFonts w:ascii="Arial" w:cs="Arial" w:eastAsia="Arial" w:hAnsi="Arial"/>
                <w:sz w:val="18"/>
                <w:szCs w:val="18"/>
                <w:color w:val="auto"/>
              </w:rPr>
              <w:t>5.1</w:t>
            </w:r>
          </w:p>
        </w:tc>
        <w:tc>
          <w:tcPr>
            <w:tcW w:w="240" w:type="dxa"/>
            <w:vAlign w:val="bottom"/>
          </w:tcPr>
          <w:p>
            <w:pPr>
              <w:spacing w:after="0"/>
              <w:rPr>
                <w:sz w:val="24"/>
                <w:szCs w:val="24"/>
                <w:color w:val="auto"/>
              </w:rPr>
            </w:pPr>
          </w:p>
        </w:tc>
        <w:tc>
          <w:tcPr>
            <w:tcW w:w="8260" w:type="dxa"/>
            <w:vAlign w:val="bottom"/>
            <w:gridSpan w:val="2"/>
          </w:tcPr>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Opinion of Cleary Gottlieb Steen &amp; Hamilton LLP.</w:t>
              </w:r>
            </w:hyperlink>
          </w:p>
        </w:tc>
        <w:tc>
          <w:tcPr>
            <w:tcW w:w="0" w:type="dxa"/>
            <w:vAlign w:val="bottom"/>
          </w:tcPr>
          <w:p>
            <w:pPr>
              <w:spacing w:after="0"/>
              <w:rPr>
                <w:sz w:val="1"/>
                <w:szCs w:val="1"/>
                <w:color w:val="auto"/>
              </w:rPr>
            </w:pPr>
          </w:p>
        </w:tc>
      </w:tr>
      <w:tr>
        <w:trPr>
          <w:trHeight w:val="324"/>
        </w:trPr>
        <w:tc>
          <w:tcPr>
            <w:tcW w:w="540" w:type="dxa"/>
            <w:vAlign w:val="bottom"/>
            <w:gridSpan w:val="2"/>
          </w:tcPr>
          <w:p>
            <w:pPr>
              <w:spacing w:after="0"/>
              <w:rPr>
                <w:sz w:val="20"/>
                <w:szCs w:val="20"/>
                <w:color w:val="auto"/>
              </w:rPr>
            </w:pPr>
            <w:r>
              <w:rPr>
                <w:rFonts w:ascii="Arial" w:cs="Arial" w:eastAsia="Arial" w:hAnsi="Arial"/>
                <w:sz w:val="18"/>
                <w:szCs w:val="18"/>
                <w:color w:val="auto"/>
              </w:rPr>
              <w:t>23.1</w:t>
            </w:r>
          </w:p>
        </w:tc>
        <w:tc>
          <w:tcPr>
            <w:tcW w:w="240" w:type="dxa"/>
            <w:vAlign w:val="bottom"/>
          </w:tcPr>
          <w:p>
            <w:pPr>
              <w:spacing w:after="0"/>
              <w:rPr>
                <w:sz w:val="24"/>
                <w:szCs w:val="24"/>
                <w:color w:val="auto"/>
              </w:rPr>
            </w:pPr>
          </w:p>
        </w:tc>
        <w:tc>
          <w:tcPr>
            <w:tcW w:w="8260" w:type="dxa"/>
            <w:vAlign w:val="bottom"/>
            <w:gridSpan w:val="2"/>
          </w:tcPr>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Consent of Cleary Gottlieb Steen &amp; Hamilton LLP (included in Exhibit 5.1).</w:t>
              </w:r>
            </w:hyperlink>
          </w:p>
        </w:tc>
        <w:tc>
          <w:tcPr>
            <w:tcW w:w="0" w:type="dxa"/>
            <w:vAlign w:val="bottom"/>
          </w:tcPr>
          <w:p>
            <w:pPr>
              <w:spacing w:after="0"/>
              <w:rPr>
                <w:sz w:val="1"/>
                <w:szCs w:val="1"/>
                <w:color w:val="auto"/>
              </w:rPr>
            </w:pPr>
          </w:p>
        </w:tc>
      </w:tr>
      <w:tr>
        <w:trPr>
          <w:trHeight w:val="324"/>
        </w:trPr>
        <w:tc>
          <w:tcPr>
            <w:tcW w:w="540" w:type="dxa"/>
            <w:vAlign w:val="bottom"/>
            <w:gridSpan w:val="2"/>
          </w:tcPr>
          <w:p>
            <w:pPr>
              <w:spacing w:after="0"/>
              <w:rPr>
                <w:sz w:val="20"/>
                <w:szCs w:val="20"/>
                <w:color w:val="auto"/>
              </w:rPr>
            </w:pPr>
            <w:r>
              <w:rPr>
                <w:rFonts w:ascii="Arial" w:cs="Arial" w:eastAsia="Arial" w:hAnsi="Arial"/>
                <w:sz w:val="18"/>
                <w:szCs w:val="18"/>
                <w:color w:val="auto"/>
              </w:rPr>
              <w:t>23.2</w:t>
            </w:r>
          </w:p>
        </w:tc>
        <w:tc>
          <w:tcPr>
            <w:tcW w:w="240" w:type="dxa"/>
            <w:vAlign w:val="bottom"/>
          </w:tcPr>
          <w:p>
            <w:pPr>
              <w:spacing w:after="0"/>
              <w:rPr>
                <w:sz w:val="24"/>
                <w:szCs w:val="24"/>
                <w:color w:val="auto"/>
              </w:rPr>
            </w:pPr>
          </w:p>
        </w:tc>
        <w:tc>
          <w:tcPr>
            <w:tcW w:w="8260" w:type="dxa"/>
            <w:vAlign w:val="bottom"/>
            <w:gridSpan w:val="2"/>
          </w:tcPr>
          <w:p>
            <w:pPr>
              <w:spacing w:after="0"/>
              <w:rPr>
                <w:rFonts w:ascii="Arial" w:cs="Arial" w:eastAsia="Arial" w:hAnsi="Arial"/>
                <w:sz w:val="18"/>
                <w:szCs w:val="18"/>
                <w:color w:val="0000EE"/>
              </w:rPr>
            </w:pPr>
            <w:hyperlink w:anchor="page12">
              <w:r>
                <w:rPr>
                  <w:rFonts w:ascii="Arial" w:cs="Arial" w:eastAsia="Arial" w:hAnsi="Arial"/>
                  <w:sz w:val="18"/>
                  <w:szCs w:val="18"/>
                  <w:u w:val="single" w:color="auto"/>
                  <w:color w:val="0000EE"/>
                </w:rPr>
                <w:t>Consent of Ernst &amp; Young LLP, Independent Registered Public Accounting Firm</w:t>
              </w:r>
              <w:r>
                <w:rPr>
                  <w:rFonts w:ascii="Arial" w:cs="Arial" w:eastAsia="Arial" w:hAnsi="Arial"/>
                  <w:sz w:val="18"/>
                  <w:szCs w:val="18"/>
                  <w:color w:val="0000EE"/>
                </w:rPr>
                <w:t>.</w:t>
              </w:r>
            </w:hyperlink>
          </w:p>
        </w:tc>
        <w:tc>
          <w:tcPr>
            <w:tcW w:w="0" w:type="dxa"/>
            <w:vAlign w:val="bottom"/>
          </w:tcPr>
          <w:p>
            <w:pPr>
              <w:spacing w:after="0"/>
              <w:rPr>
                <w:sz w:val="1"/>
                <w:szCs w:val="1"/>
                <w:color w:val="auto"/>
              </w:rPr>
            </w:pPr>
          </w:p>
        </w:tc>
      </w:tr>
      <w:tr>
        <w:trPr>
          <w:trHeight w:val="324"/>
        </w:trPr>
        <w:tc>
          <w:tcPr>
            <w:tcW w:w="540" w:type="dxa"/>
            <w:vAlign w:val="bottom"/>
            <w:gridSpan w:val="2"/>
          </w:tcPr>
          <w:p>
            <w:pPr>
              <w:spacing w:after="0"/>
              <w:rPr>
                <w:sz w:val="20"/>
                <w:szCs w:val="20"/>
                <w:color w:val="auto"/>
              </w:rPr>
            </w:pPr>
            <w:r>
              <w:rPr>
                <w:rFonts w:ascii="Arial" w:cs="Arial" w:eastAsia="Arial" w:hAnsi="Arial"/>
                <w:sz w:val="18"/>
                <w:szCs w:val="18"/>
                <w:color w:val="auto"/>
              </w:rPr>
              <w:t>24.1</w:t>
            </w:r>
          </w:p>
        </w:tc>
        <w:tc>
          <w:tcPr>
            <w:tcW w:w="240" w:type="dxa"/>
            <w:vAlign w:val="bottom"/>
          </w:tcPr>
          <w:p>
            <w:pPr>
              <w:spacing w:after="0"/>
              <w:rPr>
                <w:sz w:val="24"/>
                <w:szCs w:val="24"/>
                <w:color w:val="auto"/>
              </w:rPr>
            </w:pPr>
          </w:p>
        </w:tc>
        <w:tc>
          <w:tcPr>
            <w:tcW w:w="8260" w:type="dxa"/>
            <w:vAlign w:val="bottom"/>
            <w:gridSpan w:val="2"/>
          </w:tcPr>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Power of Attorney (contained on signature pages hereto).</w:t>
              </w:r>
            </w:hyperlink>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ind w:left="424" w:hanging="424"/>
        <w:spacing w:after="0" w:line="258" w:lineRule="auto"/>
        <w:tabs>
          <w:tab w:leader="none" w:pos="424" w:val="left"/>
        </w:tabs>
        <w:numPr>
          <w:ilvl w:val="0"/>
          <w:numId w:val="7"/>
        </w:numPr>
        <w:rPr>
          <w:rFonts w:ascii="Arial" w:cs="Arial" w:eastAsia="Arial" w:hAnsi="Arial"/>
          <w:sz w:val="15"/>
          <w:szCs w:val="15"/>
          <w:color w:val="auto"/>
        </w:rPr>
      </w:pPr>
      <w:r>
        <w:rPr>
          <w:rFonts w:ascii="Arial" w:cs="Arial" w:eastAsia="Arial" w:hAnsi="Arial"/>
          <w:sz w:val="18"/>
          <w:szCs w:val="18"/>
          <w:color w:val="auto"/>
        </w:rPr>
        <w:t>Incorporated by reference to Exhibit 10.5 filed with the Registrant’s Registration Statement on Form S-1/A (Registration No. 333-249648), filed with the Commission on November 12, 2020.</w:t>
      </w:r>
    </w:p>
    <w:p>
      <w:pPr>
        <w:spacing w:after="0" w:line="1" w:lineRule="exact"/>
        <w:rPr>
          <w:rFonts w:ascii="Arial" w:cs="Arial" w:eastAsia="Arial" w:hAnsi="Arial"/>
          <w:sz w:val="15"/>
          <w:szCs w:val="15"/>
          <w:color w:val="auto"/>
        </w:rPr>
      </w:pPr>
    </w:p>
    <w:p>
      <w:pPr>
        <w:ind w:left="424" w:hanging="424"/>
        <w:spacing w:after="0" w:line="250" w:lineRule="auto"/>
        <w:tabs>
          <w:tab w:leader="none" w:pos="424" w:val="left"/>
        </w:tabs>
        <w:numPr>
          <w:ilvl w:val="0"/>
          <w:numId w:val="7"/>
        </w:numPr>
        <w:rPr>
          <w:rFonts w:ascii="Arial" w:cs="Arial" w:eastAsia="Arial" w:hAnsi="Arial"/>
          <w:sz w:val="15"/>
          <w:szCs w:val="15"/>
          <w:color w:val="auto"/>
        </w:rPr>
      </w:pPr>
      <w:r>
        <w:rPr>
          <w:rFonts w:ascii="Arial" w:cs="Arial" w:eastAsia="Arial" w:hAnsi="Arial"/>
          <w:sz w:val="18"/>
          <w:szCs w:val="18"/>
          <w:color w:val="auto"/>
        </w:rPr>
        <w:t>Incorporated by reference to Exhibit 10.6 filed with the Registrant’s Registration Statement on Form S-1/A (Registration No. 333-249648), filed with the Commission on November 12, 2020.</w:t>
      </w:r>
    </w:p>
    <w:p>
      <w:pPr>
        <w:ind w:left="424" w:hanging="424"/>
        <w:spacing w:after="0" w:line="260" w:lineRule="auto"/>
        <w:tabs>
          <w:tab w:leader="none" w:pos="424" w:val="left"/>
        </w:tabs>
        <w:numPr>
          <w:ilvl w:val="0"/>
          <w:numId w:val="7"/>
        </w:numPr>
        <w:rPr>
          <w:rFonts w:ascii="Arial" w:cs="Arial" w:eastAsia="Arial" w:hAnsi="Arial"/>
          <w:sz w:val="15"/>
          <w:szCs w:val="15"/>
          <w:color w:val="auto"/>
        </w:rPr>
      </w:pPr>
      <w:r>
        <w:rPr>
          <w:rFonts w:ascii="Arial" w:cs="Arial" w:eastAsia="Arial" w:hAnsi="Arial"/>
          <w:sz w:val="18"/>
          <w:szCs w:val="18"/>
          <w:color w:val="auto"/>
        </w:rPr>
        <w:t>Incorporated by reference to Exhibit 10.7 filed with the Registrant’s Registration Statement on Form S-1/A (Registration No. 333-249648), filed with the Commission on November 12, 2020.</w:t>
      </w:r>
    </w:p>
    <w:p>
      <w:pPr>
        <w:sectPr>
          <w:pgSz w:w="11900" w:h="16838" w:orient="portrait"/>
          <w:cols w:equalWidth="0" w:num="1">
            <w:col w:w="10824"/>
          </w:cols>
          <w:pgMar w:left="436" w:top="270" w:right="6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171450</wp:posOffset>
            </wp:positionV>
            <wp:extent cx="5400675" cy="2057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5400675" cy="2057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November 20,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Sotera Health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9100 South Hills Blvd, Suite 300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Broadview Heights, Ohio 44147</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Sotera Health Company Registration Statement on Form S-8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60" w:firstLine="440"/>
        <w:spacing w:after="0" w:line="301" w:lineRule="auto"/>
        <w:rPr>
          <w:sz w:val="20"/>
          <w:szCs w:val="20"/>
          <w:color w:val="auto"/>
        </w:rPr>
      </w:pPr>
      <w:r>
        <w:rPr>
          <w:rFonts w:ascii="Arial" w:cs="Arial" w:eastAsia="Arial" w:hAnsi="Arial"/>
          <w:sz w:val="16"/>
          <w:szCs w:val="16"/>
          <w:color w:val="auto"/>
        </w:rPr>
        <w:t>We have acted as counsel to Sotera Health Company,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in connection with a registration statement on Form S-8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to be filed on November 23, 2020 with the Securities and Exchange Commission (the “</w:t>
      </w:r>
      <w:r>
        <w:rPr>
          <w:rFonts w:ascii="Arial" w:cs="Arial" w:eastAsia="Arial" w:hAnsi="Arial"/>
          <w:sz w:val="16"/>
          <w:szCs w:val="16"/>
          <w:u w:val="single" w:color="auto"/>
          <w:color w:val="auto"/>
        </w:rPr>
        <w:t>Commission</w:t>
      </w:r>
      <w:r>
        <w:rPr>
          <w:rFonts w:ascii="Arial" w:cs="Arial" w:eastAsia="Arial" w:hAnsi="Arial"/>
          <w:sz w:val="16"/>
          <w:szCs w:val="16"/>
          <w:color w:val="auto"/>
        </w:rPr>
        <w:t>”) pursuant to the Securities Act of 1933, as amended (the “</w:t>
      </w:r>
      <w:r>
        <w:rPr>
          <w:rFonts w:ascii="Arial" w:cs="Arial" w:eastAsia="Arial" w:hAnsi="Arial"/>
          <w:sz w:val="16"/>
          <w:szCs w:val="16"/>
          <w:u w:val="single" w:color="auto"/>
          <w:color w:val="auto"/>
        </w:rPr>
        <w:t>Securities Act</w:t>
      </w:r>
      <w:r>
        <w:rPr>
          <w:rFonts w:ascii="Arial" w:cs="Arial" w:eastAsia="Arial" w:hAnsi="Arial"/>
          <w:sz w:val="16"/>
          <w:szCs w:val="16"/>
          <w:color w:val="auto"/>
        </w:rPr>
        <w:t>”), for the registration of 27,900,000 shares of the Company’s common stock, par value $0.01 per share (the “</w:t>
      </w:r>
      <w:r>
        <w:rPr>
          <w:rFonts w:ascii="Arial" w:cs="Arial" w:eastAsia="Arial" w:hAnsi="Arial"/>
          <w:sz w:val="16"/>
          <w:szCs w:val="16"/>
          <w:u w:val="single" w:color="auto"/>
          <w:color w:val="auto"/>
        </w:rPr>
        <w:t>Shares</w:t>
      </w:r>
      <w:r>
        <w:rPr>
          <w:rFonts w:ascii="Arial" w:cs="Arial" w:eastAsia="Arial" w:hAnsi="Arial"/>
          <w:sz w:val="16"/>
          <w:szCs w:val="16"/>
          <w:color w:val="auto"/>
        </w:rPr>
        <w:t>”), to be issued by the Company pursuant to the Sotera Health Company 2020 Omnibus Incentive Plan (the “</w:t>
      </w:r>
      <w:r>
        <w:rPr>
          <w:rFonts w:ascii="Arial" w:cs="Arial" w:eastAsia="Arial" w:hAnsi="Arial"/>
          <w:sz w:val="16"/>
          <w:szCs w:val="16"/>
          <w:u w:val="single" w:color="auto"/>
          <w:color w:val="auto"/>
        </w:rPr>
        <w:t>Plan</w:t>
      </w:r>
      <w:r>
        <w:rPr>
          <w:rFonts w:ascii="Arial" w:cs="Arial" w:eastAsia="Arial" w:hAnsi="Arial"/>
          <w:sz w:val="16"/>
          <w:szCs w:val="16"/>
          <w:color w:val="auto"/>
        </w:rPr>
        <w:t>”).</w:t>
      </w:r>
    </w:p>
    <w:p>
      <w:pPr>
        <w:spacing w:after="0" w:line="157"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We have participated in the preparation of the Registration Statement and have reviewed the originals or copies certified or otherwise identified to our satisfaction of all such corporate records of the Company and such other instruments and other certificates of public officials, officers and representatives of the Company and such other persons, and we have made such investigations of law, as we have deemed appropriate as a basis for the opinion expressed below.</w:t>
      </w:r>
    </w:p>
    <w:p>
      <w:pPr>
        <w:spacing w:after="0" w:line="187" w:lineRule="exact"/>
        <w:rPr>
          <w:sz w:val="20"/>
          <w:szCs w:val="20"/>
          <w:color w:val="auto"/>
        </w:rPr>
      </w:pPr>
    </w:p>
    <w:p>
      <w:pPr>
        <w:jc w:val="both"/>
        <w:ind w:right="240" w:firstLine="440"/>
        <w:spacing w:after="0" w:line="263" w:lineRule="auto"/>
        <w:rPr>
          <w:sz w:val="20"/>
          <w:szCs w:val="20"/>
          <w:color w:val="auto"/>
        </w:rPr>
      </w:pPr>
      <w:r>
        <w:rPr>
          <w:rFonts w:ascii="Arial" w:cs="Arial" w:eastAsia="Arial" w:hAnsi="Arial"/>
          <w:sz w:val="18"/>
          <w:szCs w:val="18"/>
          <w:color w:val="auto"/>
        </w:rPr>
        <w:t>In rendering the opinion expressed below, we have assumed the authenticity of all documents submitted to us as originals and the conformity to the originals of all documents submitted to us as copies. In addition, we have assumed and have not verified the accuracy as to factual matters of each document we have reviewed.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1849120</wp:posOffset>
            </wp:positionH>
            <wp:positionV relativeFrom="paragraph">
              <wp:posOffset>142875</wp:posOffset>
            </wp:positionV>
            <wp:extent cx="3291840" cy="939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extLst>
                    </a:blip>
                    <a:srcRect/>
                    <a:stretch>
                      <a:fillRect/>
                    </a:stretch>
                  </pic:blipFill>
                  <pic:spPr bwMode="auto">
                    <a:xfrm>
                      <a:off x="0" y="0"/>
                      <a:ext cx="3291840" cy="93980"/>
                    </a:xfrm>
                    <a:prstGeom prst="rect">
                      <a:avLst/>
                    </a:prstGeom>
                    <a:noFill/>
                  </pic:spPr>
                </pic:pic>
              </a:graphicData>
            </a:graphic>
          </wp:anchor>
        </w:drawing>
      </w:r>
    </w:p>
    <w:p>
      <w:pPr>
        <w:sectPr>
          <w:pgSz w:w="11900" w:h="16838" w:orient="portrait"/>
          <w:cols w:equalWidth="0" w:num="1">
            <w:col w:w="11020"/>
          </w:cols>
          <w:pgMar w:left="440" w:top="121" w:right="439" w:bottom="1440" w:gutter="0" w:footer="0" w:header="0"/>
        </w:sectPr>
      </w:pPr>
    </w:p>
    <w:bookmarkStart w:id="10" w:name="page11"/>
    <w:bookmarkEnd w:id="10"/>
    <w:p>
      <w:pPr>
        <w:ind w:left="44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Based on the foregoing, and subject to the further assumptions and qualifications set forth below, it is our opinion that the Shares have</w:t>
      </w:r>
    </w:p>
    <w:p>
      <w:pPr>
        <w:spacing w:after="0" w:line="35"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been duly authorized by all necessary corporate action of the Company and, when issued in accordance with the terms of the Plan, at prices not less than the par value thereof, will be validly issued, fully paid and non-assessable.</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foregoing opinion is limited to the General Corporation Law of the State of Delaware.</w:t>
      </w:r>
    </w:p>
    <w:p>
      <w:pPr>
        <w:spacing w:after="0" w:line="225" w:lineRule="exact"/>
        <w:rPr>
          <w:sz w:val="20"/>
          <w:szCs w:val="20"/>
          <w:color w:val="auto"/>
        </w:rPr>
      </w:pPr>
    </w:p>
    <w:p>
      <w:pPr>
        <w:ind w:right="20" w:firstLine="440"/>
        <w:spacing w:after="0" w:line="301" w:lineRule="auto"/>
        <w:rPr>
          <w:sz w:val="20"/>
          <w:szCs w:val="20"/>
          <w:color w:val="auto"/>
        </w:rPr>
      </w:pPr>
      <w:r>
        <w:rPr>
          <w:rFonts w:ascii="Arial" w:cs="Arial" w:eastAsia="Arial" w:hAnsi="Arial"/>
          <w:sz w:val="16"/>
          <w:szCs w:val="16"/>
          <w:color w:val="auto"/>
        </w:rPr>
        <w:t>We hereby consent to the use of this opinion as a part (Exhibit 5.1) of the Registration Statement. In giving such consent, we do not thereby admit that we are within the category of persons whose consent is required under Section 7 of the Securities Act or the Rules and Regulations of the Commission thereunder. The opinion expressed herein is rendered on and as of the date hereof, and we assume no obligation to advise you, or to make any investigations, as to any legal developments or factual matters arising subsequent to the date hereof that might affect the opinion expressed herein.</w:t>
      </w:r>
    </w:p>
    <w:p>
      <w:pPr>
        <w:spacing w:after="0" w:line="18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CLEARY GOTTLIEB STEEN &amp; HAMILTON LLP</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Michael J. Albano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7960"/>
        <w:spacing w:after="0"/>
        <w:rPr>
          <w:sz w:val="20"/>
          <w:szCs w:val="20"/>
          <w:color w:val="auto"/>
        </w:rPr>
      </w:pPr>
      <w:r>
        <w:rPr>
          <w:rFonts w:ascii="Arial" w:cs="Arial" w:eastAsia="Arial" w:hAnsi="Arial"/>
          <w:sz w:val="18"/>
          <w:szCs w:val="18"/>
          <w:color w:val="auto"/>
        </w:rPr>
        <w:t>Michael J. Albano, a Partner</w:t>
      </w:r>
    </w:p>
    <w:p>
      <w:pPr>
        <w:sectPr>
          <w:pgSz w:w="11900" w:h="16838" w:orient="portrait"/>
          <w:cols w:equalWidth="0" w:num="1">
            <w:col w:w="10960"/>
          </w:cols>
          <w:pgMar w:left="440" w:top="274" w:right="499" w:bottom="1440" w:gutter="0" w:footer="0" w:header="0"/>
        </w:sectPr>
      </w:pPr>
    </w:p>
    <w:bookmarkStart w:id="11" w:name="page12"/>
    <w:bookmarkEnd w:id="11"/>
    <w:p>
      <w:pPr>
        <w:jc w:val="right"/>
        <w:spacing w:after="0"/>
        <w:rPr>
          <w:sz w:val="20"/>
          <w:szCs w:val="20"/>
          <w:color w:val="auto"/>
        </w:rPr>
      </w:pPr>
      <w:r>
        <w:rPr>
          <w:rFonts w:ascii="Arial" w:cs="Arial" w:eastAsia="Arial" w:hAnsi="Arial"/>
          <w:sz w:val="18"/>
          <w:szCs w:val="18"/>
          <w:b w:val="1"/>
          <w:bCs w:val="1"/>
          <w:color w:val="auto"/>
        </w:rPr>
        <w:t>Exhibit 23.2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5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consent to the incorporation by reference in the Registration Statement (Form S-8) pertaining to the Sotera Health Company 2020 Omnibus Incentive Plan of our report dated September 2, 2020 (except as to Note 21, as to which the date is November 18, 2020), with respect to the consolidated financial statements and schedules of Sotera Health Company (formerly known as Sotera Health Topco, Inc.) for the years ended December 31, 2019 and 2018, included in its Registration Statement (Amendment No. 4 to Form S-1 No. 333-249648) and related Prospectus, filed with the Securities and Exchange Commission.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Akron, Ohio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20, 2020</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1"/>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1."/>
      <w:numFmt w:val="upperLetter"/>
      <w:start w:val="1"/>
    </w:lvl>
    <w:lvl w:ilvl="1">
      <w:lvlJc w:val="left"/>
      <w:lvlText w:val="(%2)"/>
      <w:numFmt w:val="decimal"/>
      <w:start w:val="1"/>
    </w:lvl>
    <w:lvl w:ilvl="2">
      <w:lvlJc w:val="left"/>
      <w:lvlText w:val="(%3)"/>
      <w:numFmt w:val="lowerRoman"/>
      <w:start w:val="1"/>
    </w:lvl>
  </w:abstractNum>
  <w:abstractNum w:abstractNumId="4">
    <w:nsid w:val="507ED7AB"/>
    <w:multiLevelType w:val="hybridMultilevel"/>
    <w:lvl w:ilvl="0">
      <w:lvlJc w:val="left"/>
      <w:lvlText w:val="%1"/>
      <w:numFmt w:val="upperLetter"/>
      <w:start w:val="1"/>
    </w:lvl>
    <w:lvl w:ilvl="1">
      <w:lvlJc w:val="left"/>
      <w:lvlText w:val="(%2)"/>
      <w:numFmt w:val="decimal"/>
      <w:start w:val="2"/>
    </w:lvl>
  </w:abstractNum>
  <w:abstractNum w:abstractNumId="5">
    <w:nsid w:val="2EB141F2"/>
    <w:multiLevelType w:val="hybridMultilevel"/>
    <w:lvl w:ilvl="0">
      <w:lvlJc w:val="left"/>
      <w:lvlText w:val="%1."/>
      <w:numFmt w:val="upperLetter"/>
      <w:start w:val="2"/>
    </w:lvl>
    <w:lvl w:ilvl="1">
      <w:lvlJc w:val="left"/>
      <w:lvlText w:val="%2"/>
      <w:numFmt w:val="decimal"/>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0"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jpeg"/><Relationship Id="rId37" Type="http://schemas.openxmlformats.org/officeDocument/2006/relationships/image" Target="media/image25.jpeg"/><Relationship Id="rId38" Type="http://schemas.openxmlformats.org/officeDocument/2006/relationships/image" Target="media/image26.png"/><Relationship Id="rId39" Type="http://schemas.openxmlformats.org/officeDocument/2006/relationships/image" Target="media/image27.png"/><Relationship Id="rId18" Type="http://schemas.openxmlformats.org/officeDocument/2006/relationships/hyperlink" Target="http://www.sec.gov/Archives/edgar/data/1822479/000119312520299567/d93452d424b4.htm" TargetMode="External"/><Relationship Id="rId19" Type="http://schemas.openxmlformats.org/officeDocument/2006/relationships/hyperlink" Target="http://www.sec.gov/Archives/edgar/data/1822479/000119312520298473/d43792d8a12b.htm" TargetMode="External"/><Relationship Id="rId21" Type="http://schemas.openxmlformats.org/officeDocument/2006/relationships/hyperlink" Target="http://www.sec.gov/Archives/edgar/data/1822479/000119312520290973/d93452dex105.htm" TargetMode="External"/><Relationship Id="rId22" Type="http://schemas.openxmlformats.org/officeDocument/2006/relationships/hyperlink" Target="http://www.sec.gov/Archives/edgar/data/1822479/000119312520290973/d93452dex106.htm" TargetMode="External"/><Relationship Id="rId23" Type="http://schemas.openxmlformats.org/officeDocument/2006/relationships/hyperlink" Target="http://www.sec.gov/Archives/edgar/data/1822479/000119312520290973/d93452dex10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2020-11-23T15:55:09Z</dcterms:created>
  <dcterms:modified xsi:type="dcterms:W3CDTF">2020-11-23T15:55:09Z</dcterms:modified>
</cp:coreProperties>
</file>