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22, 2023</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78" w:right="339" w:bottom="1440" w:gutter="0" w:footer="0" w:header="0"/>
        </w:sectPr>
      </w:pPr>
    </w:p>
    <w:p>
      <w:pPr>
        <w:spacing w:after="0" w:line="39"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20" w:space="720"/>
            <w:col w:w="3020" w:space="720"/>
            <w:col w:w="2260"/>
          </w:cols>
          <w:pgMar w:left="320" w:top="1178"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78" w:right="339" w:bottom="1440" w:gutter="0" w:footer="0" w:header="0"/>
          <w:type w:val="continuous"/>
        </w:sectPr>
      </w:pPr>
    </w:p>
    <w:p>
      <w:pPr>
        <w:spacing w:after="0" w:line="2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78"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77"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80" w:firstLine="26"/>
        <w:spacing w:after="0" w:line="527" w:lineRule="auto"/>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r>
      <w:tr>
        <w:trPr>
          <w:trHeight w:val="20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2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$0.01 par value per share</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SHC</w:t>
            </w:r>
          </w:p>
        </w:tc>
        <w:tc>
          <w:tcPr>
            <w:tcW w:w="12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5"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On June 22, 2023, Sotera Health Company (the “Company”) and Sotera Health Holdings, LLC (“SHH”) entered into an amendment (the “Amendment”) to the First Lien Credit Agreement, dated as of December 13, 2019, by and among the Company, SHH, certain subsidiaries of the Company, JPMorgan Chase Bank, N.A., as First Lien Administrative Agent and the lenders and issuing banks party thereto (the “Credit Agreement”).</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Consistent with the market phaseout of the London Interbank Offered Rate (LIBOR), this Amendment replaces the LIBOR-based reference interest rate option under the term loan with a reference interest rate option based on the Term Secured Overnight Financing Rate plus an applicable credit spread adjustment of 0.11448% (for one-month interest periods), 0.26161% (for three-month interest periods) and 0.42826% (for six-month interest periods) (in all cases, subject to a minimum floor of 0.50%). Any difference in interest expense under the term loan as a result of the Amendment is not expected to be material.</w:t>
      </w:r>
    </w:p>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Amendment does not give effect to any material changes to the terms and conditions of the Credit Agreement, including the representations and warranties, events of default, affirmative or negative covenants.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certain provisions of the Amendment and the underlying Credit Agreement does not purport to be complete and is qualified in its entirety by the full text of the Credit Agreement and the Amendment, a copy of which is attached hereto as Exhibit 10.1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above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On June 22, 2023, the Company issued a press release (the “Press Release”) announcing the completion of the opt-in process for the January 2023 settlements of the ethylene oxide claims against Sotera Health LLC and Sterigenics U.S., LLC (“Sterigenics” and, together with Sotera Health LLC, the “Settling Defendants”) in the Circuit Court of Cook County, Illinois and the Settling Defendants’ election to proceed with the settlements.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879 of the 882 claimants eligible to participate in the settlement program have opted in. Pursuant to the settlement agreements, the three claimants who did not opt in created an option for the Settling Defendants to exercise walkaway rights. After evaluating the information about these claimants and their cases, the Settling Defendants waived their walkaway rights and will proceed in the settlement with the 879 claimants who opted in. The amounts allocated by the Plaintiffs’ Executive Committee through the claims administration process to those claimants who did not opt in represent an immaterial fraction of the total $408 million settlement and will remain in escrow until December 31, 2023, at which point, absent opt in election of those claimants, those funds will revert to Sterigenics.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Circuit Court has entered an order confirming that these are good-faith settlements under the Illinois Contribution Among Joint Tortfeasors Act.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forward-looking statements that reflect management’s expectations about future events and speak only as of the date hereof. You can identify these forward-looking statements by the use of forward-looking words such as “will,” “expect,” “may,” “post-trial,” “appeal,” “believe,” “continue,” or other comparable words. Any forward-looking statements contained in this report are based upon current plans, estimates and expectations in light of information currently available to the Company. The inclusion of this forward-looking information should not be regarded as a representation by us that the future plans,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17"/>
          <w:szCs w:val="17"/>
          <w:color w:val="auto"/>
        </w:rPr>
        <w:t>or expectations contemplated by the Company will be achieved. These forward-looking statements are subject to various risks, uncertainties and assumptions including, without limitation, changes in environmental, health and safety regulations; satisfaction of conditions to completing the settlement, including the impact of, and developments in, current and future legal proceedings and liability claims related to purported exposure to emissions of EO from Sterigenics’ facilities, including claims not encompassed by the settlement that are presently pending against Sterigenics and related co-defendants in Illinois, Georgia and New Mexico; capital market and other risks to our ability to raise additional debt financing on reasonable terms or at all, including availability of capital and the impact of future litigation developments on our ability to access capital markets; and the possibility that other claims will be made in the future, including in Illinois. For additional discussion of these risks and uncertainties, please refer to those described in the Company’s Annual Report on Form 10-K for the year ended December 31, 2022, the Company’s Quarterly Report on Form 10-Q for the quarterly period ended March 31, 2023, and the Company’s other filings with the Securities and Exchange Commission, including under the headings “Risk Factors” and “Cautionary Note Regarding Forward-Looking Statements,” as well as the Current Report on Form 8-K filed by the Company on January 10, 2023 disclosing the terms of the settlement. The Company does not undertake any obligation to publicly update or revise these forward-looking statements,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1361440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ind w:left="20"/>
              <w:spacing w:after="0"/>
              <w:rPr>
                <w:sz w:val="20"/>
                <w:szCs w:val="20"/>
                <w:color w:val="auto"/>
              </w:rPr>
            </w:pPr>
            <w:r>
              <w:rPr>
                <w:rFonts w:ascii="Arial" w:cs="Arial" w:eastAsia="Arial" w:hAnsi="Arial"/>
                <w:sz w:val="14"/>
                <w:szCs w:val="14"/>
                <w:color w:val="auto"/>
              </w:rPr>
              <w:t>Exhibit 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5"/>
          </w:tcPr>
          <w:p>
            <w:pPr>
              <w:spacing w:after="0"/>
              <w:rPr>
                <w:sz w:val="20"/>
                <w:szCs w:val="20"/>
                <w:color w:val="auto"/>
              </w:rPr>
            </w:pPr>
            <w:r>
              <w:rPr>
                <w:rFonts w:ascii="Arial" w:cs="Arial" w:eastAsia="Arial" w:hAnsi="Arial"/>
                <w:sz w:val="14"/>
                <w:szCs w:val="14"/>
                <w:color w:val="auto"/>
              </w:rPr>
              <w:t>Description</w:t>
            </w:r>
          </w:p>
        </w:tc>
      </w:tr>
      <w:tr>
        <w:trPr>
          <w:trHeight w:val="39"/>
        </w:trPr>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132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196" w:lineRule="exact"/>
              <w:rPr>
                <w:sz w:val="20"/>
                <w:szCs w:val="20"/>
                <w:color w:val="auto"/>
              </w:rPr>
            </w:pPr>
            <w:r>
              <w:rPr>
                <w:rFonts w:ascii="Arial" w:cs="Arial" w:eastAsia="Arial" w:hAnsi="Arial"/>
                <w:sz w:val="18"/>
                <w:szCs w:val="18"/>
                <w:color w:val="0000FF"/>
                <w:w w:val="90"/>
              </w:rPr>
              <w:t>Amendment, dated as of June 22, 2023, to the First Lien Credit Agreement dated as of December 13, 2019 by and among Sotera Health</w:t>
            </w: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3"/>
              </w:rPr>
              <w:t>Company, Sotera Health Holdings, LLC, certain subsidiaries of Sotera Health Company, JPMorgan Chase Bank, N.A., as First Lien</w:t>
            </w:r>
          </w:p>
        </w:tc>
        <w:tc>
          <w:tcPr>
            <w:tcW w:w="40" w:type="dxa"/>
            <w:vAlign w:val="bottom"/>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Administrative Agent and the lenders and issuing banks party thereto.</w:t>
            </w:r>
          </w:p>
        </w:tc>
        <w:tc>
          <w:tcPr>
            <w:tcW w:w="320" w:type="dxa"/>
            <w:vAlign w:val="bottom"/>
            <w:gridSpan w:val="2"/>
          </w:tcPr>
          <w:p>
            <w:pPr>
              <w:spacing w:after="0"/>
              <w:rPr>
                <w:sz w:val="17"/>
                <w:szCs w:val="17"/>
                <w:color w:val="auto"/>
              </w:rPr>
            </w:pPr>
          </w:p>
        </w:tc>
      </w:tr>
      <w:tr>
        <w:trPr>
          <w:trHeight w:val="237"/>
        </w:trPr>
        <w:tc>
          <w:tcPr>
            <w:tcW w:w="132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Press Release, dated June 22, 2023</w:t>
            </w:r>
          </w:p>
        </w:tc>
        <w:tc>
          <w:tcPr>
            <w:tcW w:w="4800" w:type="dxa"/>
            <w:vAlign w:val="bottom"/>
            <w:gridSpan w:val="3"/>
          </w:tcPr>
          <w:p>
            <w:pPr>
              <w:spacing w:after="0"/>
              <w:rPr>
                <w:sz w:val="20"/>
                <w:szCs w:val="20"/>
                <w:color w:val="auto"/>
              </w:rPr>
            </w:pPr>
          </w:p>
        </w:tc>
      </w:tr>
      <w:tr>
        <w:trPr>
          <w:trHeight w:val="1607"/>
        </w:trPr>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top w:val="single" w:sz="8" w:color="0000FF"/>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 w:name="page5"/>
    <w:bookmarkEnd w:id="4"/>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20"/>
        <w:spacing w:after="0"/>
        <w:tabs>
          <w:tab w:leader="none" w:pos="5160" w:val="left"/>
          <w:tab w:leader="none" w:pos="6000" w:val="left"/>
        </w:tabs>
        <w:rPr>
          <w:sz w:val="20"/>
          <w:szCs w:val="20"/>
          <w:color w:val="auto"/>
        </w:rPr>
      </w:pPr>
      <w:r>
        <w:rPr>
          <w:rFonts w:ascii="Arial" w:cs="Arial" w:eastAsia="Arial" w:hAnsi="Arial"/>
          <w:sz w:val="18"/>
          <w:szCs w:val="18"/>
          <w:color w:val="auto"/>
        </w:rPr>
        <w:t>Date: June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31750</wp:posOffset>
            </wp:positionV>
            <wp:extent cx="3326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Michael F. Biehl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0720"/>
          </w:cols>
          <w:pgMar w:left="320" w:top="1012" w:right="859" w:bottom="1440" w:gutter="0" w:footer="0" w:header="0"/>
        </w:sectPr>
      </w:pPr>
    </w:p>
    <w:bookmarkStart w:id="5" w:name="page6"/>
    <w:bookmarkEnd w:id="5"/>
    <w:p>
      <w:pPr>
        <w:ind w:left="10240"/>
        <w:spacing w:after="0"/>
        <w:rPr>
          <w:sz w:val="20"/>
          <w:szCs w:val="20"/>
          <w:color w:val="auto"/>
        </w:rPr>
      </w:pPr>
      <w:r>
        <w:rPr>
          <w:rFonts w:ascii="Arial" w:cs="Arial" w:eastAsia="Arial" w:hAnsi="Arial"/>
          <w:sz w:val="16"/>
          <w:szCs w:val="16"/>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AMENDMENT TO FIRST LIEN CREDIT AGREEMENT, dated as of June 22, 2023 (this “</w:t>
      </w:r>
      <w:r>
        <w:rPr>
          <w:rFonts w:ascii="Arial" w:cs="Arial" w:eastAsia="Arial" w:hAnsi="Arial"/>
          <w:sz w:val="20"/>
          <w:szCs w:val="20"/>
          <w:u w:val="single" w:color="auto"/>
          <w:color w:val="auto"/>
        </w:rPr>
        <w:t>Amendment</w:t>
      </w:r>
      <w:r>
        <w:rPr>
          <w:rFonts w:ascii="Arial" w:cs="Arial" w:eastAsia="Arial" w:hAnsi="Arial"/>
          <w:sz w:val="20"/>
          <w:szCs w:val="20"/>
          <w:color w:val="auto"/>
        </w:rPr>
        <w:t>”), is made and</w:t>
      </w:r>
    </w:p>
    <w:p>
      <w:pPr>
        <w:jc w:val="both"/>
        <w:spacing w:after="0" w:line="215" w:lineRule="auto"/>
        <w:rPr>
          <w:sz w:val="20"/>
          <w:szCs w:val="20"/>
          <w:color w:val="auto"/>
        </w:rPr>
      </w:pPr>
      <w:r>
        <w:rPr>
          <w:rFonts w:ascii="Arial" w:cs="Arial" w:eastAsia="Arial" w:hAnsi="Arial"/>
          <w:sz w:val="19"/>
          <w:szCs w:val="19"/>
          <w:color w:val="auto"/>
        </w:rPr>
        <w:t>entered into by and among Sotera Health Company (f/k/a Sotera Health Topco, Inc.),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and JPMorgan Chase Bank, N.A., as First Lien</w:t>
      </w:r>
    </w:p>
    <w:p>
      <w:pPr>
        <w:spacing w:after="0"/>
        <w:rPr>
          <w:sz w:val="20"/>
          <w:szCs w:val="20"/>
          <w:color w:val="auto"/>
        </w:rPr>
      </w:pPr>
      <w:r>
        <w:rPr>
          <w:rFonts w:ascii="Arial" w:cs="Arial" w:eastAsia="Arial" w:hAnsi="Arial"/>
          <w:sz w:val="20"/>
          <w:szCs w:val="20"/>
          <w:color w:val="auto"/>
        </w:rPr>
        <w:t>Administrative Agent (solely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8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WHEREAS, reference is made to the First Lien Credit Agreement dated as of December 13, 2019 (as amended by that certain Incremental Facility Amendment, dated as of December 17, 2020, as further amended by that certain Refinancing Amendment, dated</w:t>
      </w:r>
    </w:p>
    <w:p>
      <w:pPr>
        <w:jc w:val="both"/>
        <w:spacing w:after="0" w:line="226" w:lineRule="auto"/>
        <w:rPr>
          <w:sz w:val="20"/>
          <w:szCs w:val="20"/>
          <w:color w:val="auto"/>
        </w:rPr>
      </w:pPr>
      <w:r>
        <w:rPr>
          <w:rFonts w:ascii="Arial" w:cs="Arial" w:eastAsia="Arial" w:hAnsi="Arial"/>
          <w:sz w:val="18"/>
          <w:szCs w:val="18"/>
          <w:color w:val="auto"/>
        </w:rPr>
        <w:t>as of January 20, 2021, as further amended by that certain Resignation, Consent and Appointment Agreement, dated as of January 20, 2021, as further amended by that certain Revolving Facilities Amendment, dated as of March 26, 2021, as further amended by that certain</w:t>
      </w:r>
    </w:p>
    <w:p>
      <w:pPr>
        <w:spacing w:after="0" w:line="236" w:lineRule="auto"/>
        <w:rPr>
          <w:sz w:val="20"/>
          <w:szCs w:val="20"/>
          <w:color w:val="auto"/>
        </w:rPr>
      </w:pPr>
      <w:r>
        <w:rPr>
          <w:rFonts w:ascii="Arial" w:cs="Arial" w:eastAsia="Arial" w:hAnsi="Arial"/>
          <w:sz w:val="18"/>
          <w:szCs w:val="18"/>
          <w:color w:val="auto"/>
        </w:rPr>
        <w:t>Amendment to First Lien Credit Agreement, dated as of December 23, 2021, as further amended by that certain Amendment to First Lien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Credit Agreement, dated as of March 24, 2022, as further amended by that certain Incremental Facility Amendment No. 2 to First Lien Credit Agreement, dated as of March 21, 2023 and as further amended, supplemented or otherwise modified to the date hereof, the “</w:t>
      </w:r>
      <w:r>
        <w:rPr>
          <w:rFonts w:ascii="Arial" w:cs="Arial" w:eastAsia="Arial" w:hAnsi="Arial"/>
          <w:sz w:val="18"/>
          <w:szCs w:val="18"/>
          <w:u w:val="single" w:color="auto"/>
          <w:color w:val="auto"/>
        </w:rPr>
        <w:t>Existing Credit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and as amended by this Amendment,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Holdings, the Borrower, the lenders from time to time party thereto and the Administrative Agent;</w:t>
      </w:r>
    </w:p>
    <w:p>
      <w:pPr>
        <w:spacing w:after="0" w:line="18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WHEREAS, Section 9.02(b) of the Credit Agreement provides that any provision of the Credit Agreement or any other First Lien Loan Document may be amended by an agreement in writing entered into by Holdings, the Borrower and the Administrative Agent to</w:t>
      </w:r>
    </w:p>
    <w:p>
      <w:pPr>
        <w:jc w:val="both"/>
        <w:spacing w:after="0" w:line="220" w:lineRule="auto"/>
        <w:rPr>
          <w:sz w:val="20"/>
          <w:szCs w:val="20"/>
          <w:color w:val="auto"/>
        </w:rPr>
      </w:pPr>
      <w:r>
        <w:rPr>
          <w:rFonts w:ascii="Arial" w:cs="Arial" w:eastAsia="Arial" w:hAnsi="Arial"/>
          <w:sz w:val="20"/>
          <w:szCs w:val="20"/>
          <w:color w:val="auto"/>
        </w:rPr>
        <w:t>cure any ambiguity, omission, mistake, defect, incorrect cross-reference, inconsistency, obvious error or technical or immaterial errors (as reasonably determined by the Administrative Agent and the Borrower); and</w:t>
      </w:r>
    </w:p>
    <w:p>
      <w:pPr>
        <w:spacing w:after="0" w:line="19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WHEREAS, Holdings, the Borrower and the Administrative Agent have jointly identified certain omissions in the Credit Agreement, and therefore desire to amend the Credit Agreement in order to cure such omissions on the terms set forth herein (the “</w:t>
      </w:r>
      <w:r>
        <w:rPr>
          <w:rFonts w:ascii="Arial" w:cs="Arial" w:eastAsia="Arial" w:hAnsi="Arial"/>
          <w:sz w:val="18"/>
          <w:szCs w:val="18"/>
          <w:u w:val="single" w:color="auto"/>
          <w:color w:val="auto"/>
        </w:rPr>
        <w:t>Technical</w:t>
      </w:r>
    </w:p>
    <w:p>
      <w:pPr>
        <w:spacing w:after="0"/>
        <w:rPr>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0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WHEREAS, pursuant to Section 2.14(b) of the Existing Credit Agreement and the definition of Benchmark Replacement Date (as defined in the Existing Credit Agreement), the Borrower and the Administrative Agent have jointly elected to make an Early Opt-in</w:t>
      </w:r>
    </w:p>
    <w:p>
      <w:pPr>
        <w:spacing w:after="0" w:line="235" w:lineRule="auto"/>
        <w:rPr>
          <w:sz w:val="20"/>
          <w:szCs w:val="20"/>
          <w:color w:val="auto"/>
        </w:rPr>
      </w:pPr>
      <w:r>
        <w:rPr>
          <w:rFonts w:ascii="Arial" w:cs="Arial" w:eastAsia="Arial" w:hAnsi="Arial"/>
          <w:sz w:val="18"/>
          <w:szCs w:val="18"/>
          <w:color w:val="auto"/>
        </w:rPr>
        <w:t>Election to trigger a fallback from the LIBO Rate with respect to Term Loans denominated in Dollars to a Benchmark Replacement and have</w:t>
      </w:r>
    </w:p>
    <w:p>
      <w:pPr>
        <w:jc w:val="both"/>
        <w:spacing w:after="0" w:line="215" w:lineRule="auto"/>
        <w:rPr>
          <w:sz w:val="20"/>
          <w:szCs w:val="20"/>
          <w:color w:val="auto"/>
        </w:rPr>
      </w:pPr>
      <w:r>
        <w:rPr>
          <w:rFonts w:ascii="Arial" w:cs="Arial" w:eastAsia="Arial" w:hAnsi="Arial"/>
          <w:sz w:val="19"/>
          <w:szCs w:val="19"/>
          <w:color w:val="auto"/>
        </w:rPr>
        <w:t>provided notification to Lenders of such Early Opt-in Election, which shall be effective on and as of the Amendment Effective Date (as defined below), so long as the Administrative Agent has not received, by not later than 5:00 p.m.(New York City time) on the fifth (5th)</w:t>
      </w:r>
    </w:p>
    <w:p>
      <w:pPr>
        <w:jc w:val="both"/>
        <w:spacing w:after="0" w:line="227" w:lineRule="auto"/>
        <w:rPr>
          <w:sz w:val="20"/>
          <w:szCs w:val="20"/>
          <w:color w:val="auto"/>
        </w:rPr>
      </w:pPr>
      <w:r>
        <w:rPr>
          <w:rFonts w:ascii="Arial" w:cs="Arial" w:eastAsia="Arial" w:hAnsi="Arial"/>
          <w:sz w:val="20"/>
          <w:szCs w:val="20"/>
          <w:color w:val="auto"/>
        </w:rPr>
        <w:t>Business Day after the date the Administrative Agent has posted this Amendment to all Lenders (such time, the “</w:t>
      </w:r>
      <w:r>
        <w:rPr>
          <w:rFonts w:ascii="Arial" w:cs="Arial" w:eastAsia="Arial" w:hAnsi="Arial"/>
          <w:sz w:val="20"/>
          <w:szCs w:val="20"/>
          <w:u w:val="single" w:color="auto"/>
          <w:color w:val="auto"/>
        </w:rPr>
        <w:t>Objection Deadline</w:t>
      </w:r>
      <w:r>
        <w:rPr>
          <w:rFonts w:ascii="Arial" w:cs="Arial" w:eastAsia="Arial" w:hAnsi="Arial"/>
          <w:sz w:val="20"/>
          <w:szCs w:val="20"/>
          <w:color w:val="auto"/>
        </w:rPr>
        <w:t>”), written notice of objection to such Amendment from Lenders comprising the Required Lenders;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2.14(c) of the Credit Agreement, in connection with the implementation of a Benchmark</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Replacement, the Administrative Agent may amend the Credit Agreement without any further action or consent of any other party to this Agreement to reflect such Benchmark Replacement Conforming Changes as may be applicable;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WHEREAS, Holdings, the Borrower and the Administrative Agent have agreed to amend the Credit Agreement to reflect the</w:t>
      </w:r>
    </w:p>
    <w:p>
      <w:pPr>
        <w:jc w:val="both"/>
        <w:spacing w:after="0" w:line="220" w:lineRule="auto"/>
        <w:rPr>
          <w:sz w:val="20"/>
          <w:szCs w:val="20"/>
          <w:color w:val="auto"/>
        </w:rPr>
      </w:pPr>
      <w:r>
        <w:rPr>
          <w:rFonts w:ascii="Arial" w:cs="Arial" w:eastAsia="Arial" w:hAnsi="Arial"/>
          <w:sz w:val="20"/>
          <w:szCs w:val="20"/>
          <w:color w:val="auto"/>
        </w:rPr>
        <w:t>establishment of Term SOFR as the Benchmark Replacement (as defined in the Existing Credit Agreement) for Term Loans denominated in Dollars and to make Benchmark Replacement Conforming Changes in connection therewith;</w:t>
      </w:r>
    </w:p>
    <w:p>
      <w:pPr>
        <w:spacing w:after="0" w:line="19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NOW, THEREFORE, in consideration of the mutual agreements herein contained and other good and valuable consideration, the sufficiency and receipt of which are hereby acknowledged, the parties hereto agree as follows:</w:t>
      </w:r>
    </w:p>
    <w:p>
      <w:pPr>
        <w:sectPr>
          <w:pgSz w:w="11900" w:h="16838" w:orient="portrait"/>
          <w:cols w:equalWidth="0" w:num="1">
            <w:col w:w="11240"/>
          </w:cols>
          <w:pgMar w:left="320" w:top="108" w:right="339" w:bottom="1440" w:gutter="0" w:footer="0" w:header="0"/>
        </w:sectPr>
      </w:pPr>
    </w:p>
    <w:bookmarkStart w:id="6" w:name="page7"/>
    <w:bookmarkEnd w:id="6"/>
    <w:p>
      <w:pPr>
        <w:ind w:left="11140"/>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864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b w:val="1"/>
          <w:bCs w:val="1"/>
          <w:i w:val="1"/>
          <w:iCs w:val="1"/>
          <w:color w:val="auto"/>
        </w:rPr>
        <w:t>Defined Terms; Interpretation; Etc</w:t>
      </w:r>
      <w:r>
        <w:rPr>
          <w:rFonts w:ascii="Arial" w:cs="Arial" w:eastAsia="Arial" w:hAnsi="Arial"/>
          <w:sz w:val="16"/>
          <w:szCs w:val="16"/>
          <w:color w:val="auto"/>
        </w:rPr>
        <w:t>. Capitalized terms used and not defined herein shall have the meanings</w:t>
      </w:r>
    </w:p>
    <w:p>
      <w:pPr>
        <w:jc w:val="both"/>
        <w:spacing w:after="0" w:line="220" w:lineRule="auto"/>
        <w:rPr>
          <w:sz w:val="20"/>
          <w:szCs w:val="20"/>
          <w:color w:val="auto"/>
        </w:rPr>
      </w:pPr>
      <w:r>
        <w:rPr>
          <w:rFonts w:ascii="Arial" w:cs="Arial" w:eastAsia="Arial" w:hAnsi="Arial"/>
          <w:sz w:val="20"/>
          <w:szCs w:val="20"/>
          <w:color w:val="auto"/>
        </w:rPr>
        <w:t>assigned to such terms in the Credit Agreement. This Amendment constitutes a “First Lien Loan Document”, as defined in the Credit Agreement, for all purposes of the Credit Agreement and the other First Lien Loan Documents.</w:t>
      </w:r>
    </w:p>
    <w:p>
      <w:pPr>
        <w:spacing w:after="0" w:line="158" w:lineRule="exact"/>
        <w:rPr>
          <w:sz w:val="20"/>
          <w:szCs w:val="20"/>
          <w:color w:val="auto"/>
        </w:rPr>
      </w:pPr>
    </w:p>
    <w:p>
      <w:pPr>
        <w:jc w:val="right"/>
        <w:spacing w:after="0"/>
        <w:tabs>
          <w:tab w:leader="none" w:pos="862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Each of the parties hereto agrees that, effective on the Amendment Effective Date, (a) the</w:t>
      </w:r>
    </w:p>
    <w:p>
      <w:pPr>
        <w:spacing w:after="0" w:line="219" w:lineRule="auto"/>
        <w:rPr>
          <w:sz w:val="20"/>
          <w:szCs w:val="20"/>
          <w:color w:val="auto"/>
        </w:rPr>
      </w:pPr>
      <w:r>
        <w:rPr>
          <w:rFonts w:ascii="Arial" w:cs="Arial" w:eastAsia="Arial" w:hAnsi="Arial"/>
          <w:sz w:val="18"/>
          <w:szCs w:val="18"/>
          <w:color w:val="auto"/>
        </w:rPr>
        <w:t xml:space="preserve">Credit Agreement is hereby amended to delete the stricken text (indicated textually in the same manner as the following example: </w:t>
      </w:r>
      <w:r>
        <w:rPr>
          <w:rFonts w:ascii="Arial" w:cs="Arial" w:eastAsia="Arial" w:hAnsi="Arial"/>
          <w:sz w:val="18"/>
          <w:szCs w:val="18"/>
          <w:color w:val="FF0000"/>
          <w:strike w:val="1"/>
        </w:rPr>
        <w:t>stricken</w:t>
      </w:r>
    </w:p>
    <w:p>
      <w:pPr>
        <w:jc w:val="both"/>
        <w:spacing w:after="0" w:line="258" w:lineRule="auto"/>
        <w:rPr>
          <w:sz w:val="20"/>
          <w:szCs w:val="20"/>
          <w:color w:val="auto"/>
        </w:rPr>
      </w:pPr>
      <w:r>
        <w:rPr>
          <w:rFonts w:ascii="Arial" w:cs="Arial" w:eastAsia="Arial" w:hAnsi="Arial"/>
          <w:sz w:val="16"/>
          <w:szCs w:val="16"/>
          <w:color w:val="FF0000"/>
          <w:strike w:val="1"/>
        </w:rPr>
        <w:t>text</w:t>
      </w:r>
      <w:r>
        <w:rPr>
          <w:rFonts w:ascii="Arial" w:cs="Arial" w:eastAsia="Arial" w:hAnsi="Arial"/>
          <w:sz w:val="16"/>
          <w:szCs w:val="16"/>
          <w:color w:val="000000"/>
        </w:rPr>
        <w:t>) and to add the double-underlined text (indicated textually in the same manner as the following example: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double-underlined text</w:t>
      </w:r>
      <w:r>
        <w:rPr>
          <w:rFonts w:ascii="Arial" w:cs="Arial" w:eastAsia="Arial" w:hAnsi="Arial"/>
          <w:sz w:val="16"/>
          <w:szCs w:val="16"/>
          <w:color w:val="000000"/>
        </w:rPr>
        <w:t>) as set</w:t>
      </w:r>
      <w:r>
        <w:rPr>
          <w:rFonts w:ascii="Arial" w:cs="Arial" w:eastAsia="Arial" w:hAnsi="Arial"/>
          <w:sz w:val="16"/>
          <w:szCs w:val="16"/>
          <w:color w:val="FF0000"/>
        </w:rPr>
        <w:t xml:space="preserve"> </w:t>
      </w:r>
      <w:r>
        <w:rPr>
          <w:rFonts w:ascii="Arial" w:cs="Arial" w:eastAsia="Arial" w:hAnsi="Arial"/>
          <w:sz w:val="16"/>
          <w:szCs w:val="16"/>
          <w:color w:val="000000"/>
        </w:rPr>
        <w:t xml:space="preserve">forth in </w:t>
      </w:r>
      <w:r>
        <w:rPr>
          <w:rFonts w:ascii="Arial" w:cs="Arial" w:eastAsia="Arial" w:hAnsi="Arial"/>
          <w:sz w:val="16"/>
          <w:szCs w:val="16"/>
          <w:u w:val="single" w:color="auto"/>
          <w:color w:val="000000"/>
        </w:rPr>
        <w:t>Annex A</w:t>
      </w:r>
      <w:r>
        <w:rPr>
          <w:rFonts w:ascii="Arial" w:cs="Arial" w:eastAsia="Arial" w:hAnsi="Arial"/>
          <w:sz w:val="16"/>
          <w:szCs w:val="16"/>
          <w:color w:val="000000"/>
        </w:rPr>
        <w:t xml:space="preserve"> attached hereto and (b) Exhibit Q to the Credit Agreement shall be amended to delete the stricken text (indicated textually in the same manner as the following example: </w:t>
      </w:r>
      <w:r>
        <w:rPr>
          <w:rFonts w:ascii="Arial" w:cs="Arial" w:eastAsia="Arial" w:hAnsi="Arial"/>
          <w:sz w:val="16"/>
          <w:szCs w:val="16"/>
          <w:color w:val="FF0000"/>
          <w:strike w:val="1"/>
        </w:rPr>
        <w:t>stricken text</w:t>
      </w:r>
      <w:r>
        <w:rPr>
          <w:rFonts w:ascii="Arial" w:cs="Arial" w:eastAsia="Arial" w:hAnsi="Arial"/>
          <w:sz w:val="16"/>
          <w:szCs w:val="16"/>
          <w:color w:val="000000"/>
        </w:rPr>
        <w:t>) and to add the double-underlined text (indicated textually in the same manner as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0000FF"/>
        </w:rPr>
        <w:t>)</w:t>
      </w:r>
      <w:r>
        <w:rPr>
          <w:rFonts w:ascii="Arial" w:cs="Arial" w:eastAsia="Arial" w:hAnsi="Arial"/>
          <w:sz w:val="20"/>
          <w:szCs w:val="20"/>
          <w:color w:val="auto"/>
        </w:rPr>
        <w:t xml:space="preserve"> as set forth in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hereto.</w:t>
      </w:r>
    </w:p>
    <w:p>
      <w:pPr>
        <w:spacing w:after="0" w:line="16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b w:val="1"/>
          <w:bCs w:val="1"/>
          <w:i w:val="1"/>
          <w:iCs w:val="1"/>
          <w:color w:val="auto"/>
        </w:rPr>
        <w:t>Conditions to the Effectiveness of this Amendment</w:t>
      </w:r>
      <w:r>
        <w:rPr>
          <w:rFonts w:ascii="Arial" w:cs="Arial" w:eastAsia="Arial" w:hAnsi="Arial"/>
          <w:sz w:val="16"/>
          <w:szCs w:val="16"/>
          <w:color w:val="auto"/>
        </w:rPr>
        <w:t>. This Amendment shall become effective as of the date</w:t>
      </w:r>
    </w:p>
    <w:p>
      <w:pPr>
        <w:jc w:val="both"/>
        <w:spacing w:after="0" w:line="220" w:lineRule="auto"/>
        <w:rPr>
          <w:sz w:val="20"/>
          <w:szCs w:val="20"/>
          <w:color w:val="auto"/>
        </w:rPr>
      </w:pPr>
      <w:r>
        <w:rPr>
          <w:rFonts w:ascii="Arial" w:cs="Arial" w:eastAsia="Arial" w:hAnsi="Arial"/>
          <w:sz w:val="20"/>
          <w:szCs w:val="20"/>
          <w:color w:val="auto"/>
        </w:rPr>
        <w:t>on which the following conditions precedent are satisfied or waived by the Administrative Agent (such date, the “</w:t>
      </w:r>
      <w:r>
        <w:rPr>
          <w:rFonts w:ascii="Arial" w:cs="Arial" w:eastAsia="Arial" w:hAnsi="Arial"/>
          <w:sz w:val="20"/>
          <w:szCs w:val="20"/>
          <w:u w:val="single" w:color="auto"/>
          <w:color w:val="auto"/>
        </w:rPr>
        <w:t>Amendment 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w:t>
      </w:r>
    </w:p>
    <w:p>
      <w:pPr>
        <w:spacing w:after="0" w:line="278" w:lineRule="exact"/>
        <w:rPr>
          <w:sz w:val="20"/>
          <w:szCs w:val="20"/>
          <w:color w:val="auto"/>
        </w:rPr>
      </w:pPr>
    </w:p>
    <w:p>
      <w:pPr>
        <w:ind w:left="2520" w:firstLine="647"/>
        <w:spacing w:after="0" w:line="236" w:lineRule="auto"/>
        <w:tabs>
          <w:tab w:leader="none" w:pos="3854"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Administrative Agent has not received, prior to the Objection Deadline, written notice of objection to such Amendment from Lenders comprising the Required Lenders; and</w:t>
      </w:r>
    </w:p>
    <w:p>
      <w:pPr>
        <w:spacing w:after="0" w:line="155" w:lineRule="exact"/>
        <w:rPr>
          <w:rFonts w:ascii="Arial" w:cs="Arial" w:eastAsia="Arial" w:hAnsi="Arial"/>
          <w:sz w:val="20"/>
          <w:szCs w:val="20"/>
          <w:color w:val="auto"/>
        </w:rPr>
      </w:pPr>
    </w:p>
    <w:p>
      <w:pPr>
        <w:jc w:val="both"/>
        <w:ind w:left="2520" w:firstLine="647"/>
        <w:spacing w:after="0" w:line="246" w:lineRule="auto"/>
        <w:tabs>
          <w:tab w:leader="none" w:pos="390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Holdings and the Borrower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spacing w:after="0" w:line="164"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i w:val="1"/>
          <w:iCs w:val="1"/>
          <w:color w:val="auto"/>
        </w:rPr>
        <w:t>Representations and Warranties</w:t>
      </w:r>
      <w:r>
        <w:rPr>
          <w:rFonts w:ascii="Arial" w:cs="Arial" w:eastAsia="Arial" w:hAnsi="Arial"/>
          <w:sz w:val="20"/>
          <w:szCs w:val="20"/>
          <w:color w:val="auto"/>
        </w:rPr>
        <w:t>. The Borrower hereby represents and warrants as of the Amendment Effective Date that after giving effect to this Amendment, no Event of Default has occurred and is continuing.</w:t>
      </w:r>
    </w:p>
    <w:p>
      <w:pPr>
        <w:spacing w:after="0" w:line="157" w:lineRule="exact"/>
        <w:rPr>
          <w:sz w:val="20"/>
          <w:szCs w:val="20"/>
          <w:color w:val="auto"/>
        </w:rPr>
      </w:pPr>
    </w:p>
    <w:p>
      <w:pPr>
        <w:jc w:val="right"/>
        <w:spacing w:after="0"/>
        <w:tabs>
          <w:tab w:leader="none" w:pos="856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9"/>
          <w:szCs w:val="19"/>
          <w:b w:val="1"/>
          <w:bCs w:val="1"/>
          <w:i w:val="1"/>
          <w:iCs w:val="1"/>
          <w:color w:val="auto"/>
        </w:rPr>
        <w:t>Type of Amendments</w:t>
      </w:r>
      <w:r>
        <w:rPr>
          <w:rFonts w:ascii="Arial" w:cs="Arial" w:eastAsia="Arial" w:hAnsi="Arial"/>
          <w:sz w:val="19"/>
          <w:szCs w:val="19"/>
          <w:color w:val="auto"/>
        </w:rPr>
        <w:t>. The Borrower and the Administrative Agent hereby agree that the Technical</w:t>
      </w:r>
    </w:p>
    <w:p>
      <w:pPr>
        <w:spacing w:after="0" w:line="220" w:lineRule="auto"/>
        <w:rPr>
          <w:sz w:val="20"/>
          <w:szCs w:val="20"/>
          <w:color w:val="auto"/>
        </w:rPr>
      </w:pPr>
      <w:r>
        <w:rPr>
          <w:rFonts w:ascii="Arial" w:cs="Arial" w:eastAsia="Arial" w:hAnsi="Arial"/>
          <w:sz w:val="20"/>
          <w:szCs w:val="20"/>
          <w:color w:val="auto"/>
        </w:rPr>
        <w:t>Amendments, in the reasonable opinion of the Administrative Agent and the Borrower, cure the omissions identified pursuant to the provisions of Section 9.02(b) of the Credit Agreement.</w:t>
      </w:r>
    </w:p>
    <w:p>
      <w:pPr>
        <w:spacing w:after="0" w:line="15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6"/>
          <w:szCs w:val="16"/>
          <w:b w:val="1"/>
          <w:bCs w:val="1"/>
          <w:i w:val="1"/>
          <w:iCs w:val="1"/>
          <w:color w:val="auto"/>
        </w:rPr>
        <w:t>Expenses; Indemnity; Damage Waiver</w:t>
      </w:r>
      <w:r>
        <w:rPr>
          <w:rFonts w:ascii="Arial" w:cs="Arial" w:eastAsia="Arial" w:hAnsi="Arial"/>
          <w:sz w:val="16"/>
          <w:szCs w:val="16"/>
          <w:color w:val="auto"/>
        </w:rPr>
        <w:t>. Sections 9.03(a), (b), (d), (e), (f) and (g) of the Credit Agreement are</w:t>
      </w:r>
    </w:p>
    <w:p>
      <w:pPr>
        <w:spacing w:after="0" w:line="226" w:lineRule="auto"/>
        <w:rPr>
          <w:sz w:val="20"/>
          <w:szCs w:val="20"/>
          <w:color w:val="auto"/>
        </w:rPr>
      </w:pPr>
      <w:r>
        <w:rPr>
          <w:rFonts w:ascii="Arial" w:cs="Arial" w:eastAsia="Arial" w:hAnsi="Arial"/>
          <w:sz w:val="18"/>
          <w:szCs w:val="18"/>
          <w:color w:val="auto"/>
        </w:rPr>
        <w:t xml:space="preserve">hereby incorporated, </w:t>
      </w:r>
      <w:r>
        <w:rPr>
          <w:rFonts w:ascii="Arial" w:cs="Arial" w:eastAsia="Arial" w:hAnsi="Arial"/>
          <w:sz w:val="18"/>
          <w:szCs w:val="18"/>
          <w:i w:val="1"/>
          <w:iCs w:val="1"/>
          <w:color w:val="auto"/>
        </w:rPr>
        <w:t>mutatis mutandis</w:t>
      </w:r>
      <w:r>
        <w:rPr>
          <w:rFonts w:ascii="Arial" w:cs="Arial" w:eastAsia="Arial" w:hAnsi="Arial"/>
          <w:sz w:val="18"/>
          <w:szCs w:val="18"/>
          <w:color w:val="auto"/>
        </w:rPr>
        <w:t>, by reference as if such sections were set forth in full herein; provided that, notwithstanding anything else therein, such expense reimbursement provisions of Section 9.03(a) of the Credit Agreement shall only apply as provided hereinabove if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Amendment Effective Date occurs.</w:t>
      </w:r>
    </w:p>
    <w:p>
      <w:pPr>
        <w:spacing w:after="0" w:line="173"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6"/>
          <w:szCs w:val="16"/>
          <w:b w:val="1"/>
          <w:bCs w:val="1"/>
          <w:i w:val="1"/>
          <w:iCs w:val="1"/>
          <w:color w:val="auto"/>
        </w:rPr>
        <w:t>Miscellaneous</w:t>
      </w:r>
      <w:r>
        <w:rPr>
          <w:rFonts w:ascii="Arial" w:cs="Arial" w:eastAsia="Arial" w:hAnsi="Arial"/>
          <w:sz w:val="16"/>
          <w:szCs w:val="16"/>
          <w:color w:val="auto"/>
        </w:rPr>
        <w:t>.</w:t>
      </w:r>
    </w:p>
    <w:p>
      <w:pPr>
        <w:spacing w:after="0" w:line="175" w:lineRule="exact"/>
        <w:rPr>
          <w:sz w:val="20"/>
          <w:szCs w:val="20"/>
          <w:color w:val="auto"/>
        </w:rPr>
      </w:pPr>
    </w:p>
    <w:p>
      <w:pPr>
        <w:ind w:left="2520" w:firstLine="647"/>
        <w:spacing w:after="0" w:line="257" w:lineRule="auto"/>
        <w:tabs>
          <w:tab w:leader="none" w:pos="3854"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Amendment, Modification and Waiver</w:t>
      </w:r>
      <w:r>
        <w:rPr>
          <w:rFonts w:ascii="Arial" w:cs="Arial" w:eastAsia="Arial" w:hAnsi="Arial"/>
          <w:sz w:val="19"/>
          <w:szCs w:val="19"/>
          <w:color w:val="auto"/>
        </w:rPr>
        <w:t>. This Amendment may not be amended nor may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 hereof be waived except pursuant to a writing signed by each of the parties hereto.</w:t>
      </w:r>
    </w:p>
    <w:p>
      <w:pPr>
        <w:spacing w:after="0" w:line="147" w:lineRule="exact"/>
        <w:rPr>
          <w:rFonts w:ascii="Arial" w:cs="Arial" w:eastAsia="Arial" w:hAnsi="Arial"/>
          <w:sz w:val="19"/>
          <w:szCs w:val="19"/>
          <w:color w:val="auto"/>
        </w:rPr>
      </w:pPr>
    </w:p>
    <w:p>
      <w:pPr>
        <w:jc w:val="both"/>
        <w:ind w:left="2520" w:firstLine="728"/>
        <w:spacing w:after="0" w:line="233" w:lineRule="auto"/>
        <w:tabs>
          <w:tab w:leader="none" w:pos="3871" w:val="left"/>
        </w:tabs>
        <w:numPr>
          <w:ilvl w:val="1"/>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Entire Agreement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Amendment, the Credit Agreement and the other First Lien Loan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0" w:firstLine="728"/>
        <w:spacing w:after="0" w:line="236" w:lineRule="auto"/>
        <w:tabs>
          <w:tab w:leader="none" w:pos="2749"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Governing Law. </w:t>
      </w:r>
      <w:r>
        <w:rPr>
          <w:rFonts w:ascii="Arial" w:cs="Arial" w:eastAsia="Arial" w:hAnsi="Arial"/>
          <w:sz w:val="20"/>
          <w:szCs w:val="20"/>
          <w:color w:val="auto"/>
        </w:rPr>
        <w:t>This Amendment shall be construed in accordance with and governed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laws of the State of New York.</w:t>
      </w:r>
    </w:p>
    <w:p>
      <w:pPr>
        <w:spacing w:after="0" w:line="155" w:lineRule="exact"/>
        <w:rPr>
          <w:rFonts w:ascii="Arial" w:cs="Arial" w:eastAsia="Arial" w:hAnsi="Arial"/>
          <w:sz w:val="20"/>
          <w:szCs w:val="20"/>
          <w:color w:val="auto"/>
        </w:rPr>
      </w:pPr>
    </w:p>
    <w:p>
      <w:pPr>
        <w:jc w:val="both"/>
        <w:ind w:left="1400" w:firstLine="728"/>
        <w:spacing w:after="0" w:line="223" w:lineRule="auto"/>
        <w:tabs>
          <w:tab w:leader="none" w:pos="2756"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Jurisdiction. </w:t>
      </w:r>
      <w:r>
        <w:rPr>
          <w:rFonts w:ascii="Arial" w:cs="Arial" w:eastAsia="Arial" w:hAnsi="Arial"/>
          <w:sz w:val="19"/>
          <w:szCs w:val="19"/>
          <w:color w:val="auto"/>
        </w:rPr>
        <w:t>Each party hereto hereby irrevocably and unconditionally submits, for itself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Administrative Agent or any Lender may otherwise have to bring any action or proceeding relating to this Amendment against Holdings or the Borrower or their respective properties in the courts of any jurisdiction.</w:t>
      </w:r>
    </w:p>
    <w:p>
      <w:pPr>
        <w:spacing w:after="0" w:line="149" w:lineRule="exact"/>
        <w:rPr>
          <w:rFonts w:ascii="Arial" w:cs="Arial" w:eastAsia="Arial" w:hAnsi="Arial"/>
          <w:sz w:val="19"/>
          <w:szCs w:val="19"/>
          <w:color w:val="auto"/>
        </w:rPr>
      </w:pPr>
    </w:p>
    <w:p>
      <w:pPr>
        <w:jc w:val="both"/>
        <w:ind w:left="1400" w:firstLine="728"/>
        <w:spacing w:after="0" w:line="227" w:lineRule="auto"/>
        <w:tabs>
          <w:tab w:leader="none" w:pos="2769"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Waiver of Objection to Venue and Forum Non Conveniens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party hereto hereby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irrevocably and unconditionally waives, to the fullest extent it may legally and effectively do so, any objection that it may now or hereafter have to the laying of venue of any suit, action or proceeding arising out of or relating to this Amendment in any court referred to in Section 6(f) above. Each of the parties hereto hereby irrevocably waives, to the fullest extent permitted by law, the defense of an inconvenient forum to the maintenance of such action or proceeding in any such court.</w:t>
      </w:r>
    </w:p>
    <w:p>
      <w:pPr>
        <w:spacing w:after="0" w:line="170" w:lineRule="exact"/>
        <w:rPr>
          <w:rFonts w:ascii="Arial" w:cs="Arial" w:eastAsia="Arial" w:hAnsi="Arial"/>
          <w:sz w:val="19"/>
          <w:szCs w:val="19"/>
          <w:color w:val="auto"/>
        </w:rPr>
      </w:pPr>
    </w:p>
    <w:p>
      <w:pPr>
        <w:jc w:val="both"/>
        <w:ind w:left="1400" w:firstLine="728"/>
        <w:spacing w:after="0" w:line="220" w:lineRule="auto"/>
        <w:tabs>
          <w:tab w:leader="none" w:pos="2773"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Consent to Service of Process. </w:t>
      </w:r>
      <w:r>
        <w:rPr>
          <w:rFonts w:ascii="Arial" w:cs="Arial" w:eastAsia="Arial" w:hAnsi="Arial"/>
          <w:sz w:val="20"/>
          <w:szCs w:val="20"/>
          <w:color w:val="auto"/>
        </w:rPr>
        <w:t>Each party to this Amendment irrevocably consents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service of process in the manner provided for notices in Section 9.01 of the Credit Agreement. Nothing in any First Lien Loan Document will affect the right of any party to this Amendment to serve process in any other manner permitted by law.</w:t>
      </w:r>
    </w:p>
    <w:p>
      <w:pPr>
        <w:spacing w:after="0" w:line="163" w:lineRule="exact"/>
        <w:rPr>
          <w:rFonts w:ascii="Arial" w:cs="Arial" w:eastAsia="Arial" w:hAnsi="Arial"/>
          <w:sz w:val="20"/>
          <w:szCs w:val="20"/>
          <w:color w:val="auto"/>
        </w:rPr>
      </w:pPr>
    </w:p>
    <w:p>
      <w:pPr>
        <w:jc w:val="both"/>
        <w:ind w:left="1400" w:firstLine="728"/>
        <w:spacing w:after="0" w:line="211" w:lineRule="auto"/>
        <w:tabs>
          <w:tab w:leader="none" w:pos="2757"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WAIVER OF JURY TRIAL</w:t>
      </w:r>
      <w:r>
        <w:rPr>
          <w:rFonts w:ascii="Arial" w:cs="Arial" w:eastAsia="Arial" w:hAnsi="Arial"/>
          <w:sz w:val="20"/>
          <w:szCs w:val="20"/>
          <w:b w:val="1"/>
          <w:bCs w:val="1"/>
          <w:color w:val="auto"/>
        </w:rPr>
        <w:t>. EACH PARTY HERETO HEREBY WAIVES, TO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71" w:lineRule="exact"/>
        <w:rPr>
          <w:rFonts w:ascii="Arial" w:cs="Arial" w:eastAsia="Arial" w:hAnsi="Arial"/>
          <w:sz w:val="20"/>
          <w:szCs w:val="20"/>
          <w:color w:val="auto"/>
        </w:rPr>
      </w:pPr>
    </w:p>
    <w:p>
      <w:pPr>
        <w:ind w:left="1400" w:firstLine="728"/>
        <w:spacing w:after="0" w:line="236" w:lineRule="auto"/>
        <w:tabs>
          <w:tab w:leader="none" w:pos="2736"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Severability</w:t>
      </w:r>
      <w:r>
        <w:rPr>
          <w:rFonts w:ascii="Arial" w:cs="Arial" w:eastAsia="Arial" w:hAnsi="Arial"/>
          <w:sz w:val="20"/>
          <w:szCs w:val="20"/>
          <w:color w:val="auto"/>
        </w:rPr>
        <w:t>. Any term or provision of this Amendment which is invalid or unenforceable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jurisdiction shall, as to that</w:t>
      </w:r>
    </w:p>
    <w:p>
      <w:pPr>
        <w:sectPr>
          <w:pgSz w:w="11900" w:h="16838" w:orient="portrait"/>
          <w:cols w:equalWidth="0" w:num="1">
            <w:col w:w="10120"/>
          </w:cols>
          <w:pgMar w:left="1440" w:top="108" w:right="339" w:bottom="1440" w:gutter="0" w:footer="0" w:header="0"/>
        </w:sectPr>
      </w:pPr>
    </w:p>
    <w:bookmarkStart w:id="8" w:name="page9"/>
    <w:bookmarkEnd w:id="8"/>
    <w:p>
      <w:pPr>
        <w:ind w:left="10020"/>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jurisdiction, be ineffective to the extent of such invalidity or unenforceability without rendering invalid or</w:t>
      </w:r>
    </w:p>
    <w:p>
      <w:pPr>
        <w:ind w:left="1400"/>
        <w:spacing w:after="0" w:line="226" w:lineRule="auto"/>
        <w:rPr>
          <w:sz w:val="20"/>
          <w:szCs w:val="20"/>
          <w:color w:val="auto"/>
        </w:rPr>
      </w:pPr>
      <w:r>
        <w:rPr>
          <w:rFonts w:ascii="Arial" w:cs="Arial" w:eastAsia="Arial" w:hAnsi="Arial"/>
          <w:sz w:val="18"/>
          <w:szCs w:val="18"/>
          <w:color w:val="auto"/>
        </w:rPr>
        <w:t>unenforceable the remaining terms and provisions of this Amendment or affecting the validity or enforceability of any of the terms or provisions of this Amendment in any other jurisdiction. If any provision</w:t>
      </w:r>
    </w:p>
    <w:p>
      <w:pPr>
        <w:spacing w:after="0" w:line="2" w:lineRule="exact"/>
        <w:rPr>
          <w:sz w:val="20"/>
          <w:szCs w:val="20"/>
          <w:color w:val="auto"/>
        </w:rPr>
      </w:pPr>
    </w:p>
    <w:p>
      <w:pPr>
        <w:ind w:left="1400"/>
        <w:spacing w:after="0" w:line="227" w:lineRule="auto"/>
        <w:rPr>
          <w:sz w:val="20"/>
          <w:szCs w:val="20"/>
          <w:color w:val="auto"/>
        </w:rPr>
      </w:pPr>
      <w:r>
        <w:rPr>
          <w:rFonts w:ascii="Arial" w:cs="Arial" w:eastAsia="Arial" w:hAnsi="Arial"/>
          <w:sz w:val="20"/>
          <w:szCs w:val="20"/>
          <w:color w:val="auto"/>
        </w:rPr>
        <w:t>of this Amendment is so broad as to be unenforceable, the provision shall be interpreted to be only so broad as would be enforceable.</w:t>
      </w:r>
    </w:p>
    <w:p>
      <w:pPr>
        <w:spacing w:after="0" w:line="156" w:lineRule="exact"/>
        <w:rPr>
          <w:sz w:val="20"/>
          <w:szCs w:val="20"/>
          <w:color w:val="auto"/>
        </w:rPr>
      </w:pPr>
    </w:p>
    <w:p>
      <w:pPr>
        <w:jc w:val="both"/>
        <w:ind w:left="1400" w:firstLine="728"/>
        <w:spacing w:after="0" w:line="220" w:lineRule="auto"/>
        <w:tabs>
          <w:tab w:leader="none" w:pos="2756"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Counterparts</w:t>
      </w:r>
      <w:r>
        <w:rPr>
          <w:rFonts w:ascii="Arial" w:cs="Arial" w:eastAsia="Arial" w:hAnsi="Arial"/>
          <w:sz w:val="20"/>
          <w:szCs w:val="20"/>
          <w:color w:val="auto"/>
        </w:rPr>
        <w:t>. This Amendment may be executed in counterparts, each of which shall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deemed to be an original, but all of which shall constitute one and the same agreement. Delivery of an executed counterpart of a signature page of this Amendment by facsimile or electronic transmission shall be as effective as delivery of a manually executed counterpart hereof.</w:t>
      </w:r>
    </w:p>
    <w:p>
      <w:pPr>
        <w:spacing w:after="0" w:line="169" w:lineRule="exact"/>
        <w:rPr>
          <w:rFonts w:ascii="Arial" w:cs="Arial" w:eastAsia="Arial" w:hAnsi="Arial"/>
          <w:sz w:val="20"/>
          <w:szCs w:val="20"/>
          <w:color w:val="auto"/>
        </w:rPr>
      </w:pPr>
    </w:p>
    <w:p>
      <w:pPr>
        <w:ind w:left="1400" w:firstLine="728"/>
        <w:spacing w:after="0" w:line="236" w:lineRule="auto"/>
        <w:tabs>
          <w:tab w:leader="none" w:pos="2734"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Headings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headings of this Amendment are for purposes of reference only and shall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limit or otherwise affect the meaning hereof.</w:t>
      </w:r>
    </w:p>
    <w:p>
      <w:pPr>
        <w:spacing w:after="0" w:line="155" w:lineRule="exact"/>
        <w:rPr>
          <w:rFonts w:ascii="Arial" w:cs="Arial" w:eastAsia="Arial" w:hAnsi="Arial"/>
          <w:sz w:val="20"/>
          <w:szCs w:val="20"/>
          <w:color w:val="auto"/>
        </w:rPr>
      </w:pPr>
    </w:p>
    <w:p>
      <w:pPr>
        <w:jc w:val="both"/>
        <w:ind w:left="1400" w:firstLine="728"/>
        <w:spacing w:after="0" w:line="228" w:lineRule="auto"/>
        <w:tabs>
          <w:tab w:leader="none" w:pos="2779"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Continued Effectiveness</w:t>
      </w:r>
      <w:r>
        <w:rPr>
          <w:rFonts w:ascii="Arial" w:cs="Arial" w:eastAsia="Arial" w:hAnsi="Arial"/>
          <w:sz w:val="19"/>
          <w:szCs w:val="19"/>
          <w:color w:val="auto"/>
        </w:rPr>
        <w:t>. Notwithstanding anything contained herein, the terms of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First Lien Loan Documents remain in full force and effect.</w:t>
      </w:r>
    </w:p>
    <w:p>
      <w:pPr>
        <w:spacing w:after="0" w:line="158" w:lineRule="exact"/>
        <w:rPr>
          <w:rFonts w:ascii="Arial" w:cs="Arial" w:eastAsia="Arial" w:hAnsi="Arial"/>
          <w:sz w:val="19"/>
          <w:szCs w:val="19"/>
          <w:color w:val="auto"/>
        </w:rPr>
      </w:pPr>
    </w:p>
    <w:p>
      <w:pPr>
        <w:jc w:val="both"/>
        <w:ind w:left="1400" w:firstLine="728"/>
        <w:spacing w:after="0" w:line="232" w:lineRule="auto"/>
        <w:tabs>
          <w:tab w:leader="none" w:pos="2772"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Electronic Signatures. </w:t>
      </w:r>
      <w:r>
        <w:rPr>
          <w:rFonts w:ascii="Arial" w:cs="Arial" w:eastAsia="Arial" w:hAnsi="Arial"/>
          <w:sz w:val="18"/>
          <w:szCs w:val="18"/>
          <w:color w:val="auto"/>
        </w:rPr>
        <w:t>Delivery of an executed counterpart of a signature page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 that is an 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Holdings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of the Borrower and Holdings hereby (i) agrees that, for all purposes, including without limitation, in connection</w:t>
      </w:r>
    </w:p>
    <w:p>
      <w:pPr>
        <w:sectPr>
          <w:pgSz w:w="11900" w:h="16838" w:orient="portrait"/>
          <w:cols w:equalWidth="0" w:num="1">
            <w:col w:w="10120"/>
          </w:cols>
          <w:pgMar w:left="1440" w:top="1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 any workout, restructuring, enforcement of remedies, bankruptcy proceedings or litigation among the</w:t>
      </w:r>
    </w:p>
    <w:p>
      <w:pPr>
        <w:spacing w:after="0" w:line="12" w:lineRule="exact"/>
        <w:rPr>
          <w:sz w:val="20"/>
          <w:szCs w:val="20"/>
          <w:color w:val="auto"/>
        </w:rPr>
      </w:pPr>
    </w:p>
    <w:p>
      <w:pPr>
        <w:ind w:left="1400"/>
        <w:spacing w:after="0" w:line="226" w:lineRule="auto"/>
        <w:rPr>
          <w:sz w:val="20"/>
          <w:szCs w:val="20"/>
          <w:color w:val="auto"/>
        </w:rPr>
      </w:pPr>
      <w:r>
        <w:rPr>
          <w:rFonts w:ascii="Arial" w:cs="Arial" w:eastAsia="Arial" w:hAnsi="Arial"/>
          <w:sz w:val="18"/>
          <w:szCs w:val="18"/>
          <w:color w:val="auto"/>
        </w:rPr>
        <w:t>Administrative Agent, the Lenders, Holdings and the Borrower, Electronic Signatures transmitted by telecopy, emailed pdf. or any other electronic means that reproduces an image of an actual executed signature</w:t>
      </w:r>
    </w:p>
    <w:p>
      <w:pPr>
        <w:ind w:left="1400"/>
        <w:spacing w:after="0" w:line="236" w:lineRule="auto"/>
        <w:rPr>
          <w:sz w:val="20"/>
          <w:szCs w:val="20"/>
          <w:color w:val="auto"/>
        </w:rPr>
      </w:pPr>
      <w:r>
        <w:rPr>
          <w:rFonts w:ascii="Arial" w:cs="Arial" w:eastAsia="Arial" w:hAnsi="Arial"/>
          <w:sz w:val="18"/>
          <w:szCs w:val="18"/>
          <w:color w:val="auto"/>
        </w:rPr>
        <w:t>page and/or any electronic images of this Amendment, any other First Lien Loan Document and/or any other</w:t>
      </w:r>
    </w:p>
    <w:p>
      <w:pPr>
        <w:spacing w:after="0" w:line="1" w:lineRule="exact"/>
        <w:rPr>
          <w:sz w:val="20"/>
          <w:szCs w:val="20"/>
          <w:color w:val="auto"/>
        </w:rPr>
      </w:pPr>
    </w:p>
    <w:p>
      <w:pPr>
        <w:ind w:left="1400"/>
        <w:spacing w:after="0" w:line="226" w:lineRule="auto"/>
        <w:rPr>
          <w:sz w:val="20"/>
          <w:szCs w:val="20"/>
          <w:color w:val="auto"/>
        </w:rPr>
      </w:pPr>
      <w:r>
        <w:rPr>
          <w:rFonts w:ascii="Arial" w:cs="Arial" w:eastAsia="Arial" w:hAnsi="Arial"/>
          <w:sz w:val="18"/>
          <w:szCs w:val="18"/>
          <w:color w:val="auto"/>
        </w:rPr>
        <w:t>document signed in connection with this Amendment and the transactions contemplated thereby, shall have the same legal effect, validity and enforceability as any paper original, and (ii) waives any argument, defense</w:t>
      </w:r>
    </w:p>
    <w:p>
      <w:pPr>
        <w:ind w:left="1400"/>
        <w:spacing w:after="0" w:line="224" w:lineRule="auto"/>
        <w:rPr>
          <w:sz w:val="20"/>
          <w:szCs w:val="20"/>
          <w:color w:val="auto"/>
        </w:rPr>
      </w:pPr>
      <w:r>
        <w:rPr>
          <w:rFonts w:ascii="Arial" w:cs="Arial" w:eastAsia="Arial" w:hAnsi="Arial"/>
          <w:sz w:val="19"/>
          <w:szCs w:val="19"/>
          <w:color w:val="auto"/>
        </w:rPr>
        <w:t>or right to contest the legal effect, validity or enforceability of this Amendment, any other First Lien Loan</w:t>
      </w:r>
    </w:p>
    <w:p>
      <w:pPr>
        <w:ind w:left="1400"/>
        <w:spacing w:after="0" w:line="226" w:lineRule="auto"/>
        <w:rPr>
          <w:sz w:val="20"/>
          <w:szCs w:val="20"/>
          <w:color w:val="auto"/>
        </w:rPr>
      </w:pPr>
      <w:r>
        <w:rPr>
          <w:rFonts w:ascii="Arial" w:cs="Arial" w:eastAsia="Arial" w:hAnsi="Arial"/>
          <w:sz w:val="18"/>
          <w:szCs w:val="18"/>
          <w:color w:val="auto"/>
        </w:rPr>
        <w:t>Document and/or any ancillary document based solely on the lack of paper original copies of this Amendment, such other First Lien Loan Document and/or such ancillary document, respectively, including</w:t>
      </w:r>
    </w:p>
    <w:p>
      <w:pPr>
        <w:ind w:left="1400"/>
        <w:spacing w:after="0" w:line="236" w:lineRule="auto"/>
        <w:rPr>
          <w:sz w:val="20"/>
          <w:szCs w:val="20"/>
          <w:color w:val="auto"/>
        </w:rPr>
      </w:pPr>
      <w:r>
        <w:rPr>
          <w:rFonts w:ascii="Arial" w:cs="Arial" w:eastAsia="Arial" w:hAnsi="Arial"/>
          <w:sz w:val="18"/>
          <w:szCs w:val="18"/>
          <w:color w:val="auto"/>
        </w:rPr>
        <w:t>with respect to any signature pages thereto.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w:t>
      </w:r>
    </w:p>
    <w:p>
      <w:pPr>
        <w:spacing w:after="0" w:line="1" w:lineRule="exact"/>
        <w:rPr>
          <w:sz w:val="20"/>
          <w:szCs w:val="20"/>
          <w:color w:val="auto"/>
        </w:rPr>
      </w:pPr>
    </w:p>
    <w:p>
      <w:pPr>
        <w:ind w:left="1400"/>
        <w:spacing w:after="0" w:line="220" w:lineRule="auto"/>
        <w:rPr>
          <w:sz w:val="20"/>
          <w:szCs w:val="20"/>
          <w:color w:val="auto"/>
        </w:rPr>
      </w:pPr>
      <w:r>
        <w:rPr>
          <w:rFonts w:ascii="Arial" w:cs="Arial" w:eastAsia="Arial" w:hAnsi="Arial"/>
          <w:sz w:val="20"/>
          <w:szCs w:val="20"/>
          <w:color w:val="auto"/>
        </w:rPr>
        <w:t>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left="1400" w:firstLine="728"/>
        <w:spacing w:after="0" w:line="235" w:lineRule="auto"/>
        <w:tabs>
          <w:tab w:leader="none" w:pos="2737"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Transition to Term SOFR</w:t>
      </w:r>
      <w:r>
        <w:rPr>
          <w:rFonts w:ascii="Arial" w:cs="Arial" w:eastAsia="Arial" w:hAnsi="Arial"/>
          <w:sz w:val="18"/>
          <w:szCs w:val="18"/>
          <w:color w:val="auto"/>
        </w:rPr>
        <w:t>. Notwithstanding any other provision herein or in any other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Lien Loan Document, any Term Loan that constitutes a Eurodollar Loan (as defined in the Existing Credit Agreement) that is outstanding as of the Amendment Effective Date shall continue until the end of the applicable Interest Period for such Eurodollar Loan and the provisions of the Existing Credit Agreement applicable thereto shall continue and remain in effect (notwithstanding the occurrence of the Amendment Effective Date) until the end of the applicable Interest Period for such Eurodollar Loan, after which such provisions shall have no further force or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at any time from and after the Amendment Effective Date, the Borrower shall not be permitted to request a Borrowing of, conversion to, or continuation of, any Eurodollar Loan (as defined in the Existing Credit Agreement).</w:t>
      </w:r>
    </w:p>
    <w:p>
      <w:pPr>
        <w:spacing w:after="0" w:line="17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this page intentionally left blank</w:t>
      </w:r>
      <w:r>
        <w:rPr>
          <w:rFonts w:ascii="Arial" w:cs="Arial" w:eastAsia="Arial" w:hAnsi="Arial"/>
          <w:sz w:val="20"/>
          <w:szCs w:val="20"/>
          <w:color w:val="auto"/>
        </w:rPr>
        <w:t>]</w:t>
      </w:r>
    </w:p>
    <w:p>
      <w:pPr>
        <w:sectPr>
          <w:pgSz w:w="11900" w:h="16838" w:orient="portrait"/>
          <w:cols w:equalWidth="0" w:num="1">
            <w:col w:w="10120"/>
          </w:cols>
          <w:pgMar w:left="1440" w:top="108" w:right="339" w:bottom="1440" w:gutter="0" w:footer="0" w:header="0"/>
        </w:sectPr>
      </w:pPr>
    </w:p>
    <w:bookmarkStart w:id="10" w:name="page11"/>
    <w:bookmarkEnd w:id="10"/>
    <w:p>
      <w:pPr>
        <w:ind w:firstLine="648"/>
        <w:spacing w:after="0" w:line="236"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SOTERA HEALTH HOLDINGS, LLC</w:t>
      </w:r>
      <w:r>
        <w:rPr>
          <w:rFonts w:ascii="Arial" w:cs="Arial" w:eastAsia="Arial" w:hAnsi="Arial"/>
          <w:sz w:val="20"/>
          <w:szCs w:val="20"/>
          <w:color w:val="auto"/>
        </w:rPr>
        <w:t>,</w:t>
      </w:r>
    </w:p>
    <w:p>
      <w:pPr>
        <w:ind w:left="3920"/>
        <w:spacing w:after="0"/>
        <w:rPr>
          <w:sz w:val="20"/>
          <w:szCs w:val="20"/>
          <w:color w:val="auto"/>
        </w:rPr>
      </w:pPr>
      <w:r>
        <w:rPr>
          <w:rFonts w:ascii="Arial" w:cs="Arial" w:eastAsia="Arial" w:hAnsi="Arial"/>
          <w:sz w:val="20"/>
          <w:szCs w:val="20"/>
          <w:color w:val="auto"/>
        </w:rPr>
        <w:t>as Borrower</w:t>
      </w:r>
    </w:p>
    <w:p>
      <w:pPr>
        <w:spacing w:after="0" w:line="11" w:lineRule="exact"/>
        <w:rPr>
          <w:sz w:val="20"/>
          <w:szCs w:val="20"/>
          <w:color w:val="auto"/>
        </w:rPr>
      </w:pPr>
    </w:p>
    <w:p>
      <w:pPr>
        <w:ind w:left="392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10160</wp:posOffset>
            </wp:positionV>
            <wp:extent cx="2099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SOTERA HEALTH COMPANY</w:t>
      </w:r>
      <w:r>
        <w:rPr>
          <w:rFonts w:ascii="Arial" w:cs="Arial" w:eastAsia="Arial" w:hAnsi="Arial"/>
          <w:sz w:val="20"/>
          <w:szCs w:val="20"/>
          <w:color w:val="auto"/>
        </w:rPr>
        <w:t>,</w:t>
      </w:r>
    </w:p>
    <w:p>
      <w:pPr>
        <w:ind w:left="3920"/>
        <w:spacing w:after="0"/>
        <w:rPr>
          <w:sz w:val="20"/>
          <w:szCs w:val="20"/>
          <w:color w:val="auto"/>
        </w:rPr>
      </w:pPr>
      <w:r>
        <w:rPr>
          <w:rFonts w:ascii="Arial" w:cs="Arial" w:eastAsia="Arial" w:hAnsi="Arial"/>
          <w:sz w:val="20"/>
          <w:szCs w:val="20"/>
          <w:color w:val="auto"/>
        </w:rPr>
        <w:t>as Holdings</w:t>
      </w:r>
    </w:p>
    <w:p>
      <w:pPr>
        <w:spacing w:after="0" w:line="11" w:lineRule="exact"/>
        <w:rPr>
          <w:sz w:val="20"/>
          <w:szCs w:val="20"/>
          <w:color w:val="auto"/>
        </w:rPr>
      </w:pPr>
    </w:p>
    <w:p>
      <w:pPr>
        <w:ind w:left="392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10160</wp:posOffset>
            </wp:positionV>
            <wp:extent cx="2099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SOFR Amendment]</w:t>
      </w:r>
    </w:p>
    <w:p>
      <w:pPr>
        <w:sectPr>
          <w:pgSz w:w="11900" w:h="16838" w:orient="portrait"/>
          <w:cols w:equalWidth="0" w:num="1">
            <w:col w:w="11240"/>
          </w:cols>
          <w:pgMar w:left="320" w:top="1405" w:right="339" w:bottom="1440" w:gutter="0" w:footer="0" w:header="0"/>
        </w:sectPr>
      </w:pPr>
    </w:p>
    <w:bookmarkStart w:id="11" w:name="page12"/>
    <w:bookmarkEnd w:id="11"/>
    <w:p>
      <w:pPr>
        <w:spacing w:after="0" w:line="200" w:lineRule="exact"/>
        <w:rPr>
          <w:sz w:val="20"/>
          <w:szCs w:val="20"/>
          <w:color w:val="auto"/>
        </w:rPr>
      </w:pPr>
    </w:p>
    <w:p>
      <w:pPr>
        <w:spacing w:after="0" w:line="300" w:lineRule="exact"/>
        <w:rPr>
          <w:sz w:val="20"/>
          <w:szCs w:val="20"/>
          <w:color w:val="auto"/>
        </w:rPr>
      </w:pPr>
    </w:p>
    <w:p>
      <w:pPr>
        <w:ind w:left="2800"/>
        <w:spacing w:after="0"/>
        <w:rPr>
          <w:sz w:val="20"/>
          <w:szCs w:val="20"/>
          <w:color w:val="auto"/>
        </w:rPr>
      </w:pPr>
      <w:r>
        <w:rPr>
          <w:rFonts w:ascii="Arial" w:cs="Arial" w:eastAsia="Arial" w:hAnsi="Arial"/>
          <w:sz w:val="19"/>
          <w:szCs w:val="19"/>
          <w:b w:val="1"/>
          <w:bCs w:val="1"/>
          <w:color w:val="auto"/>
        </w:rPr>
        <w:t>JPMORGAN CHASE BANK, N.A.</w:t>
      </w:r>
      <w:r>
        <w:rPr>
          <w:rFonts w:ascii="Arial" w:cs="Arial" w:eastAsia="Arial" w:hAnsi="Arial"/>
          <w:sz w:val="19"/>
          <w:szCs w:val="19"/>
          <w:color w:val="auto"/>
        </w:rPr>
        <w:t>, as</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Administrative Agent</w:t>
      </w:r>
    </w:p>
    <w:p>
      <w:pPr>
        <w:spacing w:after="0" w:line="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14605</wp:posOffset>
            </wp:positionV>
            <wp:extent cx="2099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3"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SOFR Amendment]</w:t>
      </w:r>
    </w:p>
    <w:p>
      <w:pPr>
        <w:sectPr>
          <w:pgSz w:w="11900" w:h="16838" w:orient="portrait"/>
          <w:cols w:equalWidth="0" w:num="1">
            <w:col w:w="9019"/>
          </w:cols>
          <w:pgMar w:left="1440" w:top="144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13, 2019</w:t>
      </w:r>
    </w:p>
    <w:p>
      <w:pPr>
        <w:spacing w:after="0" w:line="212" w:lineRule="exact"/>
        <w:rPr>
          <w:sz w:val="20"/>
          <w:szCs w:val="20"/>
          <w:color w:val="auto"/>
        </w:rPr>
      </w:pPr>
    </w:p>
    <w:p>
      <w:pPr>
        <w:jc w:val="center"/>
        <w:ind w:left="340" w:right="60"/>
        <w:spacing w:after="0" w:line="248" w:lineRule="auto"/>
        <w:rPr>
          <w:sz w:val="20"/>
          <w:szCs w:val="20"/>
          <w:color w:val="auto"/>
        </w:rPr>
      </w:pPr>
      <w:r>
        <w:rPr>
          <w:rFonts w:ascii="Arial" w:cs="Arial" w:eastAsia="Arial" w:hAnsi="Arial"/>
          <w:sz w:val="16"/>
          <w:szCs w:val="16"/>
          <w:color w:val="auto"/>
        </w:rPr>
        <w:t>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w:t>
      </w:r>
    </w:p>
    <w:p>
      <w:pPr>
        <w:jc w:val="center"/>
        <w:ind w:left="340" w:right="40"/>
        <w:spacing w:after="0" w:line="237" w:lineRule="auto"/>
        <w:rPr>
          <w:sz w:val="20"/>
          <w:szCs w:val="20"/>
          <w:color w:val="auto"/>
        </w:rPr>
      </w:pPr>
      <w:r>
        <w:rPr>
          <w:rFonts w:ascii="Arial" w:cs="Arial" w:eastAsia="Arial" w:hAnsi="Arial"/>
          <w:sz w:val="16"/>
          <w:szCs w:val="16"/>
          <w:color w:val="auto"/>
        </w:rPr>
        <w:t>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w:t>
      </w:r>
    </w:p>
    <w:p>
      <w:pPr>
        <w:jc w:val="center"/>
        <w:spacing w:after="0" w:line="230" w:lineRule="auto"/>
        <w:rPr>
          <w:sz w:val="20"/>
          <w:szCs w:val="20"/>
          <w:color w:val="auto"/>
        </w:rPr>
      </w:pPr>
      <w:r>
        <w:rPr>
          <w:rFonts w:ascii="Arial" w:cs="Arial" w:eastAsia="Arial" w:hAnsi="Arial"/>
          <w:sz w:val="16"/>
          <w:szCs w:val="16"/>
          <w:color w:val="auto"/>
        </w:rPr>
        <w:t xml:space="preserve">2022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as further amended by that certain Incremental Facility Amendment No. 2 dated as of March 21, 2023 </w:t>
      </w:r>
      <w:r>
        <w:rPr>
          <w:rFonts w:ascii="Arial" w:cs="Arial" w:eastAsia="Arial" w:hAnsi="Arial"/>
          <w:sz w:val="16"/>
          <w:szCs w:val="16"/>
          <w:color w:val="0000FF"/>
        </w:rPr>
        <w:t>and as further amended by that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-51435</wp:posOffset>
            </wp:positionV>
            <wp:extent cx="193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0</wp:posOffset>
            </wp:positionV>
            <wp:extent cx="1779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0000FF"/>
        </w:rPr>
        <w:t>Amendment to the First Lien Credit Agreement, dated as of June 22, 2023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 (f/k/a SOTERA HEALTH TOPCO, INC.),</w:t>
      </w:r>
    </w:p>
    <w:p>
      <w:pPr>
        <w:jc w:val="center"/>
        <w:spacing w:after="0"/>
        <w:rPr>
          <w:sz w:val="20"/>
          <w:szCs w:val="20"/>
          <w:color w:val="auto"/>
        </w:rPr>
      </w:pPr>
      <w:r>
        <w:rPr>
          <w:rFonts w:ascii="Arial" w:cs="Arial" w:eastAsia="Arial" w:hAnsi="Arial"/>
          <w:sz w:val="18"/>
          <w:szCs w:val="18"/>
          <w:color w:val="auto"/>
        </w:rPr>
        <w:t>as Holdings,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HOLDINGS, LLC,</w:t>
      </w:r>
    </w:p>
    <w:p>
      <w:pPr>
        <w:jc w:val="center"/>
        <w:spacing w:after="0"/>
        <w:rPr>
          <w:sz w:val="20"/>
          <w:szCs w:val="20"/>
          <w:color w:val="auto"/>
        </w:rPr>
      </w:pPr>
      <w:r>
        <w:rPr>
          <w:rFonts w:ascii="Arial" w:cs="Arial" w:eastAsia="Arial" w:hAnsi="Arial"/>
          <w:sz w:val="18"/>
          <w:szCs w:val="18"/>
          <w:color w:val="auto"/>
        </w:rPr>
        <w:t>as Borrower,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and Issuing Banks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jc w:val="center"/>
        <w:spacing w:after="0" w:line="219" w:lineRule="auto"/>
        <w:rPr>
          <w:sz w:val="20"/>
          <w:szCs w:val="20"/>
          <w:color w:val="auto"/>
        </w:rPr>
      </w:pPr>
      <w:r>
        <w:rPr>
          <w:rFonts w:ascii="Arial" w:cs="Arial" w:eastAsia="Arial" w:hAnsi="Arial"/>
          <w:sz w:val="18"/>
          <w:szCs w:val="18"/>
          <w:color w:val="auto"/>
        </w:rPr>
        <w:t>as First Lien Administrative Agent and First Lien Collateral Agent</w:t>
      </w: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JEFFERIES FINANCE LLC,</w:t>
      </w:r>
    </w:p>
    <w:p>
      <w:pPr>
        <w:jc w:val="center"/>
        <w:spacing w:after="0" w:line="219" w:lineRule="auto"/>
        <w:rPr>
          <w:sz w:val="20"/>
          <w:szCs w:val="20"/>
          <w:color w:val="auto"/>
        </w:rPr>
      </w:pPr>
      <w:r>
        <w:rPr>
          <w:rFonts w:ascii="Arial" w:cs="Arial" w:eastAsia="Arial" w:hAnsi="Arial"/>
          <w:sz w:val="18"/>
          <w:szCs w:val="18"/>
          <w:color w:val="auto"/>
        </w:rPr>
        <w:t>JPMORGAN CHASE BANK, N.A.,</w:t>
      </w:r>
    </w:p>
    <w:p>
      <w:pPr>
        <w:jc w:val="center"/>
        <w:spacing w:after="0" w:line="190" w:lineRule="auto"/>
        <w:rPr>
          <w:sz w:val="20"/>
          <w:szCs w:val="20"/>
          <w:color w:val="auto"/>
        </w:rPr>
      </w:pPr>
      <w:r>
        <w:rPr>
          <w:rFonts w:ascii="Arial" w:cs="Arial" w:eastAsia="Arial" w:hAnsi="Arial"/>
          <w:sz w:val="18"/>
          <w:szCs w:val="18"/>
          <w:color w:val="auto"/>
        </w:rPr>
        <w:t>BARCLAYS BANK PLC</w:t>
      </w:r>
    </w:p>
    <w:p>
      <w:pPr>
        <w:jc w:val="center"/>
        <w:spacing w:after="0" w:line="186" w:lineRule="auto"/>
        <w:rPr>
          <w:sz w:val="20"/>
          <w:szCs w:val="20"/>
          <w:color w:val="auto"/>
        </w:rPr>
      </w:pPr>
      <w:r>
        <w:rPr>
          <w:rFonts w:ascii="Arial" w:cs="Arial" w:eastAsia="Arial" w:hAnsi="Arial"/>
          <w:sz w:val="17"/>
          <w:szCs w:val="17"/>
          <w:color w:val="auto"/>
        </w:rPr>
        <w:t>RBC CAPITAL MARKETS</w:t>
      </w:r>
      <w:r>
        <w:rPr>
          <w:rFonts w:ascii="Arial" w:cs="Arial" w:eastAsia="Arial" w:hAnsi="Arial"/>
          <w:sz w:val="21"/>
          <w:szCs w:val="21"/>
          <w:color w:val="auto"/>
          <w:vertAlign w:val="superscript"/>
        </w:rPr>
        <w:t>1</w:t>
      </w:r>
      <w:r>
        <w:rPr>
          <w:rFonts w:ascii="Arial" w:cs="Arial" w:eastAsia="Arial" w:hAnsi="Arial"/>
          <w:sz w:val="17"/>
          <w:szCs w:val="17"/>
          <w:color w:val="auto"/>
        </w:rPr>
        <w:t>, and</w:t>
      </w:r>
    </w:p>
    <w:p>
      <w:pPr>
        <w:jc w:val="center"/>
        <w:spacing w:after="0"/>
        <w:rPr>
          <w:sz w:val="20"/>
          <w:szCs w:val="20"/>
          <w:color w:val="auto"/>
        </w:rPr>
      </w:pPr>
      <w:r>
        <w:rPr>
          <w:rFonts w:ascii="Arial" w:cs="Arial" w:eastAsia="Arial" w:hAnsi="Arial"/>
          <w:sz w:val="18"/>
          <w:szCs w:val="18"/>
          <w:color w:val="auto"/>
        </w:rPr>
        <w:t>ING CAPITAL LLC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1714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8"/>
          <w:szCs w:val="28"/>
          <w:color w:val="auto"/>
          <w:vertAlign w:val="superscript"/>
        </w:rPr>
      </w:pPr>
      <w:r>
        <w:rPr>
          <w:rFonts w:ascii="Arial" w:cs="Arial" w:eastAsia="Arial" w:hAnsi="Arial"/>
          <w:sz w:val="18"/>
          <w:szCs w:val="18"/>
          <w:color w:val="auto"/>
        </w:rPr>
        <w:t>RBC Capital Markets is a marketing name for the capital markets activities of Royal Bank of Canada and its affiliates.</w:t>
      </w:r>
    </w:p>
    <w:p>
      <w:pPr>
        <w:sectPr>
          <w:pgSz w:w="11900" w:h="16838" w:orient="portrait"/>
          <w:cols w:equalWidth="0" w:num="1">
            <w:col w:w="11240"/>
          </w:cols>
          <w:pgMar w:left="320" w:top="112" w:right="33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ARTICLE I DEFINITIONS</w:t>
            </w:r>
          </w:p>
        </w:tc>
        <w:tc>
          <w:tcPr>
            <w:tcW w:w="4860" w:type="dxa"/>
            <w:vAlign w:val="bottom"/>
            <w:gridSpan w:val="60"/>
          </w:tcPr>
          <w:p>
            <w:pPr>
              <w:jc w:val="right"/>
              <w:ind w:right="4630"/>
              <w:spacing w:after="0"/>
              <w:rPr>
                <w:sz w:val="20"/>
                <w:szCs w:val="20"/>
                <w:color w:val="auto"/>
              </w:rPr>
            </w:pPr>
            <w:r>
              <w:rPr>
                <w:rFonts w:ascii="Arial" w:cs="Arial" w:eastAsia="Arial" w:hAnsi="Arial"/>
                <w:sz w:val="18"/>
                <w:szCs w:val="18"/>
                <w:color w:val="auto"/>
              </w:rPr>
              <w:t>1</w:t>
            </w:r>
          </w:p>
        </w:tc>
      </w:tr>
      <w:tr>
        <w:trPr>
          <w:trHeight w:val="31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1.01</w:t>
            </w:r>
          </w:p>
        </w:tc>
        <w:tc>
          <w:tcPr>
            <w:tcW w:w="100" w:type="dxa"/>
            <w:vAlign w:val="bottom"/>
          </w:tcPr>
          <w:p>
            <w:pPr>
              <w:spacing w:after="0"/>
              <w:rPr>
                <w:sz w:val="24"/>
                <w:szCs w:val="24"/>
                <w:color w:val="auto"/>
              </w:rPr>
            </w:pPr>
          </w:p>
        </w:tc>
        <w:tc>
          <w:tcPr>
            <w:tcW w:w="1200" w:type="dxa"/>
            <w:vAlign w:val="bottom"/>
            <w:gridSpan w:val="10"/>
          </w:tcPr>
          <w:p>
            <w:pPr>
              <w:spacing w:after="0"/>
              <w:rPr>
                <w:sz w:val="20"/>
                <w:szCs w:val="20"/>
                <w:color w:val="auto"/>
              </w:rPr>
            </w:pPr>
            <w:r>
              <w:rPr>
                <w:rFonts w:ascii="Arial" w:cs="Arial" w:eastAsia="Arial" w:hAnsi="Arial"/>
                <w:sz w:val="18"/>
                <w:szCs w:val="18"/>
                <w:color w:val="auto"/>
                <w:w w:val="99"/>
              </w:rPr>
              <w:t>Defined Terms</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0"/>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1.02</w:t>
            </w:r>
          </w:p>
        </w:tc>
        <w:tc>
          <w:tcPr>
            <w:tcW w:w="100" w:type="dxa"/>
            <w:vAlign w:val="bottom"/>
          </w:tcPr>
          <w:p>
            <w:pPr>
              <w:spacing w:after="0"/>
              <w:rPr>
                <w:sz w:val="24"/>
                <w:szCs w:val="24"/>
                <w:color w:val="auto"/>
              </w:rPr>
            </w:pPr>
          </w:p>
        </w:tc>
        <w:tc>
          <w:tcPr>
            <w:tcW w:w="3020" w:type="dxa"/>
            <w:vAlign w:val="bottom"/>
            <w:gridSpan w:val="50"/>
          </w:tcPr>
          <w:p>
            <w:pPr>
              <w:spacing w:after="0"/>
              <w:rPr>
                <w:sz w:val="20"/>
                <w:szCs w:val="20"/>
                <w:color w:val="auto"/>
              </w:rPr>
            </w:pPr>
            <w:r>
              <w:rPr>
                <w:rFonts w:ascii="Arial" w:cs="Arial" w:eastAsia="Arial" w:hAnsi="Arial"/>
                <w:sz w:val="18"/>
                <w:szCs w:val="18"/>
                <w:color w:val="auto"/>
                <w:w w:val="96"/>
              </w:rPr>
              <w:t>Classification of Loans and Borrowings</w:t>
            </w:r>
          </w:p>
        </w:tc>
        <w:tc>
          <w:tcPr>
            <w:tcW w:w="200" w:type="dxa"/>
            <w:vAlign w:val="bottom"/>
            <w:gridSpan w:val="3"/>
          </w:tcPr>
          <w:p>
            <w:pPr>
              <w:jc w:val="right"/>
              <w:spacing w:after="0"/>
              <w:rPr>
                <w:sz w:val="20"/>
                <w:szCs w:val="20"/>
                <w:color w:val="auto"/>
              </w:rPr>
            </w:pPr>
            <w:r>
              <w:rPr>
                <w:rFonts w:ascii="Arial" w:cs="Arial" w:eastAsia="Arial" w:hAnsi="Arial"/>
                <w:sz w:val="18"/>
                <w:szCs w:val="18"/>
                <w:color w:val="FF0000"/>
                <w:strike w:val="1"/>
                <w:w w:val="89"/>
              </w:rPr>
              <w:t>72</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71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1.03</w:t>
            </w:r>
          </w:p>
        </w:tc>
        <w:tc>
          <w:tcPr>
            <w:tcW w:w="100" w:type="dxa"/>
            <w:vAlign w:val="bottom"/>
          </w:tcPr>
          <w:p>
            <w:pPr>
              <w:spacing w:after="0"/>
              <w:rPr>
                <w:sz w:val="24"/>
                <w:szCs w:val="24"/>
                <w:color w:val="auto"/>
              </w:rPr>
            </w:pPr>
          </w:p>
        </w:tc>
        <w:tc>
          <w:tcPr>
            <w:tcW w:w="1200" w:type="dxa"/>
            <w:vAlign w:val="bottom"/>
            <w:gridSpan w:val="10"/>
          </w:tcPr>
          <w:p>
            <w:pPr>
              <w:spacing w:after="0"/>
              <w:rPr>
                <w:sz w:val="20"/>
                <w:szCs w:val="20"/>
                <w:color w:val="auto"/>
              </w:rPr>
            </w:pPr>
            <w:r>
              <w:rPr>
                <w:rFonts w:ascii="Arial" w:cs="Arial" w:eastAsia="Arial" w:hAnsi="Arial"/>
                <w:sz w:val="18"/>
                <w:szCs w:val="18"/>
                <w:color w:val="auto"/>
                <w:w w:val="88"/>
              </w:rPr>
              <w:t>Terms Generally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72</w:t>
            </w:r>
          </w:p>
        </w:tc>
        <w:tc>
          <w:tcPr>
            <w:tcW w:w="140" w:type="dxa"/>
            <w:vAlign w:val="bottom"/>
            <w:tcBorders>
              <w:bottom w:val="single" w:sz="8" w:color="0000FF"/>
            </w:tcBorders>
            <w:gridSpan w:val="3"/>
          </w:tcPr>
          <w:p>
            <w:pPr>
              <w:spacing w:after="0"/>
              <w:rPr>
                <w:sz w:val="20"/>
                <w:szCs w:val="20"/>
                <w:color w:val="auto"/>
              </w:rPr>
            </w:pPr>
            <w:r>
              <w:rPr>
                <w:rFonts w:ascii="Arial" w:cs="Arial" w:eastAsia="Arial" w:hAnsi="Arial"/>
                <w:sz w:val="12"/>
                <w:szCs w:val="12"/>
                <w:color w:val="0000FF"/>
                <w:w w:val="74"/>
              </w:rPr>
              <w:t>71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1.04</w:t>
            </w:r>
          </w:p>
        </w:tc>
        <w:tc>
          <w:tcPr>
            <w:tcW w:w="100" w:type="dxa"/>
            <w:vAlign w:val="bottom"/>
          </w:tcPr>
          <w:p>
            <w:pPr>
              <w:spacing w:after="0"/>
              <w:rPr>
                <w:sz w:val="24"/>
                <w:szCs w:val="24"/>
                <w:color w:val="auto"/>
              </w:rPr>
            </w:pPr>
          </w:p>
        </w:tc>
        <w:tc>
          <w:tcPr>
            <w:tcW w:w="2080" w:type="dxa"/>
            <w:vAlign w:val="bottom"/>
            <w:gridSpan w:val="29"/>
          </w:tcPr>
          <w:p>
            <w:pPr>
              <w:spacing w:after="0"/>
              <w:rPr>
                <w:sz w:val="20"/>
                <w:szCs w:val="20"/>
                <w:color w:val="auto"/>
              </w:rPr>
            </w:pPr>
            <w:r>
              <w:rPr>
                <w:rFonts w:ascii="Arial" w:cs="Arial" w:eastAsia="Arial" w:hAnsi="Arial"/>
                <w:sz w:val="18"/>
                <w:szCs w:val="18"/>
                <w:color w:val="auto"/>
              </w:rPr>
              <w:t>Accounting Terms; GAAP</w:t>
            </w:r>
          </w:p>
        </w:tc>
        <w:tc>
          <w:tcPr>
            <w:tcW w:w="18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73</w:t>
            </w:r>
          </w:p>
        </w:tc>
        <w:tc>
          <w:tcPr>
            <w:tcW w:w="200" w:type="dxa"/>
            <w:vAlign w:val="bottom"/>
            <w:gridSpan w:val="4"/>
          </w:tcPr>
          <w:p>
            <w:pPr>
              <w:spacing w:after="0"/>
              <w:rPr>
                <w:sz w:val="20"/>
                <w:szCs w:val="20"/>
                <w:color w:val="auto"/>
              </w:rPr>
            </w:pPr>
            <w:r>
              <w:rPr>
                <w:rFonts w:ascii="Arial" w:cs="Arial" w:eastAsia="Arial" w:hAnsi="Arial"/>
                <w:sz w:val="18"/>
                <w:szCs w:val="18"/>
                <w:color w:val="0000FF"/>
                <w:w w:val="89"/>
              </w:rPr>
              <w:t>71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4400" w:type="dxa"/>
            <w:vAlign w:val="bottom"/>
            <w:tcBorders>
              <w:right w:val="single" w:sz="8" w:color="0000FF"/>
            </w:tcBorders>
            <w:gridSpan w:val="39"/>
          </w:tcPr>
          <w:p>
            <w:pPr>
              <w:spacing w:after="0" w:line="20" w:lineRule="exact"/>
              <w:rPr>
                <w:sz w:val="1"/>
                <w:szCs w:val="1"/>
                <w:color w:val="auto"/>
              </w:rPr>
            </w:pPr>
          </w:p>
        </w:tc>
        <w:tc>
          <w:tcPr>
            <w:tcW w:w="2620" w:type="dxa"/>
            <w:vAlign w:val="bottom"/>
            <w:gridSpan w:val="24"/>
          </w:tcPr>
          <w:p>
            <w:pPr>
              <w:spacing w:after="0" w:line="20" w:lineRule="exact"/>
              <w:rPr>
                <w:sz w:val="1"/>
                <w:szCs w:val="1"/>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1.05</w:t>
            </w:r>
          </w:p>
        </w:tc>
        <w:tc>
          <w:tcPr>
            <w:tcW w:w="100" w:type="dxa"/>
            <w:vAlign w:val="bottom"/>
          </w:tcPr>
          <w:p>
            <w:pPr>
              <w:spacing w:after="0"/>
              <w:rPr>
                <w:sz w:val="24"/>
                <w:szCs w:val="24"/>
                <w:color w:val="auto"/>
              </w:rPr>
            </w:pPr>
          </w:p>
        </w:tc>
        <w:tc>
          <w:tcPr>
            <w:tcW w:w="2080" w:type="dxa"/>
            <w:vAlign w:val="bottom"/>
            <w:gridSpan w:val="29"/>
          </w:tcPr>
          <w:p>
            <w:pPr>
              <w:spacing w:after="0"/>
              <w:rPr>
                <w:sz w:val="20"/>
                <w:szCs w:val="20"/>
                <w:color w:val="auto"/>
              </w:rPr>
            </w:pPr>
            <w:r>
              <w:rPr>
                <w:rFonts w:ascii="Arial" w:cs="Arial" w:eastAsia="Arial" w:hAnsi="Arial"/>
                <w:sz w:val="18"/>
                <w:szCs w:val="18"/>
                <w:color w:val="auto"/>
                <w:w w:val="92"/>
              </w:rPr>
              <w:t>Effectuation of Transactions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89"/>
              </w:rPr>
              <w:t>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1.06</w:t>
            </w:r>
          </w:p>
        </w:tc>
        <w:tc>
          <w:tcPr>
            <w:tcW w:w="100" w:type="dxa"/>
            <w:vAlign w:val="bottom"/>
          </w:tcPr>
          <w:p>
            <w:pPr>
              <w:spacing w:after="0"/>
              <w:rPr>
                <w:sz w:val="24"/>
                <w:szCs w:val="24"/>
                <w:color w:val="auto"/>
              </w:rPr>
            </w:pPr>
          </w:p>
        </w:tc>
        <w:tc>
          <w:tcPr>
            <w:tcW w:w="2460" w:type="dxa"/>
            <w:vAlign w:val="bottom"/>
            <w:gridSpan w:val="38"/>
          </w:tcPr>
          <w:p>
            <w:pPr>
              <w:spacing w:after="0"/>
              <w:rPr>
                <w:sz w:val="20"/>
                <w:szCs w:val="20"/>
                <w:color w:val="auto"/>
              </w:rPr>
            </w:pPr>
            <w:r>
              <w:rPr>
                <w:rFonts w:ascii="Arial" w:cs="Arial" w:eastAsia="Arial" w:hAnsi="Arial"/>
                <w:sz w:val="18"/>
                <w:szCs w:val="18"/>
                <w:color w:val="auto"/>
                <w:w w:val="98"/>
              </w:rPr>
              <w:t>Limited Condition Transactions</w:t>
            </w:r>
          </w:p>
        </w:tc>
        <w:tc>
          <w:tcPr>
            <w:tcW w:w="18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3860" w:type="dxa"/>
            <w:vAlign w:val="bottom"/>
            <w:gridSpan w:val="26"/>
          </w:tcPr>
          <w:p>
            <w:pPr>
              <w:ind w:left="660"/>
              <w:spacing w:after="0"/>
              <w:rPr>
                <w:sz w:val="20"/>
                <w:szCs w:val="20"/>
                <w:color w:val="auto"/>
              </w:rPr>
            </w:pPr>
            <w:r>
              <w:rPr>
                <w:rFonts w:ascii="Arial" w:cs="Arial" w:eastAsia="Arial" w:hAnsi="Arial"/>
                <w:sz w:val="18"/>
                <w:szCs w:val="18"/>
                <w:color w:val="auto"/>
                <w:w w:val="99"/>
              </w:rPr>
              <w:t>SECTION 1.07  Certain Determinations.</w:t>
            </w:r>
          </w:p>
        </w:tc>
        <w:tc>
          <w:tcPr>
            <w:tcW w:w="18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73</w:t>
            </w:r>
          </w:p>
        </w:tc>
        <w:tc>
          <w:tcPr>
            <w:tcW w:w="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4620" w:type="dxa"/>
            <w:vAlign w:val="bottom"/>
            <w:gridSpan w:val="46"/>
          </w:tcPr>
          <w:p>
            <w:pPr>
              <w:ind w:left="660"/>
              <w:spacing w:after="0"/>
              <w:rPr>
                <w:sz w:val="20"/>
                <w:szCs w:val="20"/>
                <w:color w:val="auto"/>
              </w:rPr>
            </w:pPr>
            <w:r>
              <w:rPr>
                <w:rFonts w:ascii="Arial" w:cs="Arial" w:eastAsia="Arial" w:hAnsi="Arial"/>
                <w:sz w:val="18"/>
                <w:szCs w:val="18"/>
                <w:color w:val="auto"/>
                <w:w w:val="99"/>
              </w:rPr>
              <w:t>SECTION 1.08  Additional Alternative Currencies.</w:t>
            </w:r>
          </w:p>
        </w:tc>
        <w:tc>
          <w:tcPr>
            <w:tcW w:w="18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73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4480" w:type="dxa"/>
            <w:vAlign w:val="bottom"/>
            <w:gridSpan w:val="41"/>
          </w:tcPr>
          <w:p>
            <w:pPr>
              <w:ind w:left="660"/>
              <w:spacing w:after="0"/>
              <w:rPr>
                <w:sz w:val="20"/>
                <w:szCs w:val="20"/>
                <w:color w:val="auto"/>
              </w:rPr>
            </w:pPr>
            <w:r>
              <w:rPr>
                <w:rFonts w:ascii="Arial" w:cs="Arial" w:eastAsia="Arial" w:hAnsi="Arial"/>
                <w:sz w:val="18"/>
                <w:szCs w:val="18"/>
                <w:color w:val="auto"/>
                <w:w w:val="97"/>
              </w:rPr>
              <w:t>SECTION 1.09  Currency Equivalents Generally.</w:t>
            </w:r>
          </w:p>
        </w:tc>
        <w:tc>
          <w:tcPr>
            <w:tcW w:w="18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74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3620" w:type="dxa"/>
            <w:vAlign w:val="bottom"/>
            <w:gridSpan w:val="19"/>
          </w:tcPr>
          <w:p>
            <w:pPr>
              <w:ind w:left="660"/>
              <w:spacing w:after="0"/>
              <w:rPr>
                <w:sz w:val="20"/>
                <w:szCs w:val="20"/>
                <w:color w:val="auto"/>
              </w:rPr>
            </w:pPr>
            <w:r>
              <w:rPr>
                <w:rFonts w:ascii="Arial" w:cs="Arial" w:eastAsia="Arial" w:hAnsi="Arial"/>
                <w:sz w:val="18"/>
                <w:szCs w:val="18"/>
                <w:color w:val="auto"/>
                <w:w w:val="99"/>
              </w:rPr>
              <w:t>SECTION 1.10  Change in Currency.</w:t>
            </w:r>
          </w:p>
        </w:tc>
        <w:tc>
          <w:tcPr>
            <w:tcW w:w="18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76</w:t>
            </w:r>
          </w:p>
        </w:tc>
        <w:tc>
          <w:tcPr>
            <w:tcW w:w="20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1.11</w:t>
            </w:r>
          </w:p>
        </w:tc>
        <w:tc>
          <w:tcPr>
            <w:tcW w:w="780" w:type="dxa"/>
            <w:vAlign w:val="bottom"/>
            <w:gridSpan w:val="4"/>
          </w:tcPr>
          <w:p>
            <w:pPr>
              <w:ind w:left="80"/>
              <w:spacing w:after="0"/>
              <w:rPr>
                <w:sz w:val="20"/>
                <w:szCs w:val="20"/>
                <w:color w:val="auto"/>
              </w:rPr>
            </w:pPr>
            <w:r>
              <w:rPr>
                <w:rFonts w:ascii="Arial" w:cs="Arial" w:eastAsia="Arial" w:hAnsi="Arial"/>
                <w:sz w:val="18"/>
                <w:szCs w:val="18"/>
                <w:color w:val="auto"/>
                <w:w w:val="94"/>
              </w:rPr>
              <w:t>Divisions</w:t>
            </w:r>
          </w:p>
        </w:tc>
        <w:tc>
          <w:tcPr>
            <w:tcW w:w="100" w:type="dxa"/>
            <w:vAlign w:val="bottom"/>
          </w:tcPr>
          <w:p>
            <w:pPr>
              <w:spacing w:after="0"/>
              <w:rPr>
                <w:sz w:val="24"/>
                <w:szCs w:val="24"/>
                <w:color w:val="auto"/>
              </w:rPr>
            </w:pPr>
          </w:p>
        </w:tc>
        <w:tc>
          <w:tcPr>
            <w:tcW w:w="260" w:type="dxa"/>
            <w:vAlign w:val="bottom"/>
            <w:gridSpan w:val="4"/>
          </w:tcPr>
          <w:p>
            <w:pPr>
              <w:ind w:left="80"/>
              <w:spacing w:after="0"/>
              <w:rPr>
                <w:sz w:val="20"/>
                <w:szCs w:val="20"/>
                <w:color w:val="auto"/>
              </w:rPr>
            </w:pPr>
            <w:r>
              <w:rPr>
                <w:rFonts w:ascii="Arial" w:cs="Arial" w:eastAsia="Arial" w:hAnsi="Arial"/>
                <w:sz w:val="18"/>
                <w:szCs w:val="18"/>
                <w:color w:val="FF0000"/>
                <w:strike w:val="1"/>
                <w:w w:val="79"/>
              </w:rPr>
              <w:t>76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75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1.12</w:t>
            </w:r>
          </w:p>
        </w:tc>
        <w:tc>
          <w:tcPr>
            <w:tcW w:w="100" w:type="dxa"/>
            <w:vAlign w:val="bottom"/>
          </w:tcPr>
          <w:p>
            <w:pPr>
              <w:spacing w:after="0"/>
              <w:rPr>
                <w:sz w:val="24"/>
                <w:szCs w:val="24"/>
                <w:color w:val="auto"/>
              </w:rPr>
            </w:pPr>
          </w:p>
        </w:tc>
        <w:tc>
          <w:tcPr>
            <w:tcW w:w="1740" w:type="dxa"/>
            <w:vAlign w:val="bottom"/>
            <w:gridSpan w:val="19"/>
          </w:tcPr>
          <w:p>
            <w:pPr>
              <w:spacing w:after="0"/>
              <w:rPr>
                <w:sz w:val="20"/>
                <w:szCs w:val="20"/>
                <w:color w:val="auto"/>
              </w:rPr>
            </w:pPr>
            <w:r>
              <w:rPr>
                <w:rFonts w:ascii="Arial" w:cs="Arial" w:eastAsia="Arial" w:hAnsi="Arial"/>
                <w:sz w:val="18"/>
                <w:szCs w:val="18"/>
                <w:color w:val="FF0000"/>
                <w:strike w:val="1"/>
                <w:w w:val="93"/>
              </w:rPr>
              <w:t>LIBOR Discontinuation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76</w:t>
            </w:r>
          </w:p>
        </w:tc>
        <w:tc>
          <w:tcPr>
            <w:tcW w:w="940" w:type="dxa"/>
            <w:vAlign w:val="bottom"/>
            <w:gridSpan w:val="21"/>
          </w:tcPr>
          <w:p>
            <w:pPr>
              <w:jc w:val="center"/>
              <w:ind w:right="100"/>
              <w:spacing w:after="0"/>
              <w:rPr>
                <w:sz w:val="20"/>
                <w:szCs w:val="20"/>
                <w:color w:val="auto"/>
              </w:rPr>
            </w:pPr>
            <w:r>
              <w:rPr>
                <w:rFonts w:ascii="Arial" w:cs="Arial" w:eastAsia="Arial" w:hAnsi="Arial"/>
                <w:sz w:val="18"/>
                <w:szCs w:val="18"/>
                <w:color w:val="0000FF"/>
                <w:w w:val="91"/>
              </w:rPr>
              <w:t>[Reserved].</w:t>
            </w:r>
          </w:p>
        </w:tc>
        <w:tc>
          <w:tcPr>
            <w:tcW w:w="260" w:type="dxa"/>
            <w:vAlign w:val="bottom"/>
            <w:gridSpan w:val="4"/>
          </w:tcPr>
          <w:p>
            <w:pPr>
              <w:jc w:val="right"/>
              <w:spacing w:after="0"/>
              <w:rPr>
                <w:sz w:val="20"/>
                <w:szCs w:val="20"/>
                <w:color w:val="auto"/>
              </w:rPr>
            </w:pPr>
            <w:r>
              <w:rPr>
                <w:rFonts w:ascii="Arial" w:cs="Arial" w:eastAsia="Arial" w:hAnsi="Arial"/>
                <w:sz w:val="18"/>
                <w:szCs w:val="18"/>
                <w:color w:val="0000FF"/>
              </w:rPr>
              <w:t>75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2160" w:type="dxa"/>
            <w:vAlign w:val="bottom"/>
            <w:gridSpan w:val="3"/>
          </w:tcPr>
          <w:p>
            <w:pPr>
              <w:spacing w:after="0"/>
              <w:rPr>
                <w:sz w:val="20"/>
                <w:szCs w:val="20"/>
                <w:color w:val="auto"/>
              </w:rPr>
            </w:pPr>
            <w:r>
              <w:rPr>
                <w:rFonts w:ascii="Arial" w:cs="Arial" w:eastAsia="Arial" w:hAnsi="Arial"/>
                <w:sz w:val="18"/>
                <w:szCs w:val="18"/>
                <w:color w:val="auto"/>
                <w:w w:val="99"/>
              </w:rPr>
              <w:t>ARTICLE II THE CREDITS</w:t>
            </w:r>
          </w:p>
        </w:tc>
        <w:tc>
          <w:tcPr>
            <w:tcW w:w="300" w:type="dxa"/>
            <w:vAlign w:val="bottom"/>
          </w:tcPr>
          <w:p>
            <w:pPr>
              <w:jc w:val="right"/>
              <w:spacing w:after="0"/>
              <w:rPr>
                <w:sz w:val="20"/>
                <w:szCs w:val="20"/>
                <w:color w:val="auto"/>
              </w:rPr>
            </w:pPr>
            <w:r>
              <w:rPr>
                <w:rFonts w:ascii="Arial" w:cs="Arial" w:eastAsia="Arial" w:hAnsi="Arial"/>
                <w:sz w:val="18"/>
                <w:szCs w:val="18"/>
                <w:color w:val="FF0000"/>
                <w:strike w:val="1"/>
              </w:rPr>
              <w:t>77</w:t>
            </w:r>
          </w:p>
        </w:tc>
        <w:tc>
          <w:tcPr>
            <w:tcW w:w="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75</w:t>
            </w:r>
          </w:p>
        </w:tc>
        <w:tc>
          <w:tcPr>
            <w:tcW w:w="1400" w:type="dxa"/>
            <w:vAlign w:val="bottom"/>
            <w:gridSpan w:val="26"/>
          </w:tcPr>
          <w:p>
            <w:pPr>
              <w:spacing w:after="0"/>
              <w:rPr>
                <w:sz w:val="24"/>
                <w:szCs w:val="24"/>
                <w:color w:val="auto"/>
              </w:rPr>
            </w:pPr>
          </w:p>
        </w:tc>
        <w:tc>
          <w:tcPr>
            <w:tcW w:w="840" w:type="dxa"/>
            <w:vAlign w:val="bottom"/>
            <w:tcBorders>
              <w:top w:val="single" w:sz="8" w:color="0000FF"/>
            </w:tcBorders>
            <w:gridSpan w:val="20"/>
          </w:tcPr>
          <w:p>
            <w:pPr>
              <w:spacing w:after="0"/>
              <w:rPr>
                <w:sz w:val="24"/>
                <w:szCs w:val="24"/>
                <w:color w:val="auto"/>
              </w:rPr>
            </w:pPr>
          </w:p>
        </w:tc>
        <w:tc>
          <w:tcPr>
            <w:tcW w:w="180" w:type="dxa"/>
            <w:vAlign w:val="bottom"/>
            <w:gridSpan w:val="2"/>
          </w:tcPr>
          <w:p>
            <w:pPr>
              <w:spacing w:after="0"/>
              <w:rPr>
                <w:sz w:val="24"/>
                <w:szCs w:val="24"/>
                <w:color w:val="auto"/>
              </w:rPr>
            </w:pPr>
          </w:p>
        </w:tc>
        <w:tc>
          <w:tcPr>
            <w:tcW w:w="180" w:type="dxa"/>
            <w:vAlign w:val="bottom"/>
            <w:tcBorders>
              <w:top w:val="single" w:sz="8" w:color="0000FF"/>
            </w:tcBorders>
            <w:gridSpan w:val="3"/>
          </w:tcPr>
          <w:p>
            <w:pPr>
              <w:spacing w:after="0"/>
              <w:rPr>
                <w:sz w:val="24"/>
                <w:szCs w:val="24"/>
                <w:color w:val="auto"/>
              </w:rPr>
            </w:pPr>
          </w:p>
        </w:tc>
        <w:tc>
          <w:tcPr>
            <w:tcW w:w="1780" w:type="dxa"/>
            <w:vAlign w:val="bottom"/>
            <w:gridSpan w:val="7"/>
          </w:tcPr>
          <w:p>
            <w:pPr>
              <w:spacing w:after="0"/>
              <w:rPr>
                <w:sz w:val="24"/>
                <w:szCs w:val="24"/>
                <w:color w:val="auto"/>
              </w:rPr>
            </w:pPr>
          </w:p>
        </w:tc>
      </w:tr>
      <w:tr>
        <w:trPr>
          <w:trHeight w:val="30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2.01</w:t>
            </w:r>
          </w:p>
        </w:tc>
        <w:tc>
          <w:tcPr>
            <w:tcW w:w="100" w:type="dxa"/>
            <w:vAlign w:val="bottom"/>
          </w:tcPr>
          <w:p>
            <w:pPr>
              <w:spacing w:after="0"/>
              <w:rPr>
                <w:sz w:val="24"/>
                <w:szCs w:val="24"/>
                <w:color w:val="auto"/>
              </w:rPr>
            </w:pPr>
          </w:p>
        </w:tc>
        <w:tc>
          <w:tcPr>
            <w:tcW w:w="1200" w:type="dxa"/>
            <w:vAlign w:val="bottom"/>
            <w:gridSpan w:val="10"/>
          </w:tcPr>
          <w:p>
            <w:pPr>
              <w:spacing w:after="0"/>
              <w:rPr>
                <w:sz w:val="20"/>
                <w:szCs w:val="20"/>
                <w:color w:val="auto"/>
              </w:rPr>
            </w:pPr>
            <w:r>
              <w:rPr>
                <w:rFonts w:ascii="Arial" w:cs="Arial" w:eastAsia="Arial" w:hAnsi="Arial"/>
                <w:sz w:val="18"/>
                <w:szCs w:val="18"/>
                <w:color w:val="auto"/>
              </w:rPr>
              <w:t>Commitments</w:t>
            </w:r>
          </w:p>
        </w:tc>
        <w:tc>
          <w:tcPr>
            <w:tcW w:w="18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77</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2.02</w:t>
            </w:r>
          </w:p>
        </w:tc>
        <w:tc>
          <w:tcPr>
            <w:tcW w:w="100" w:type="dxa"/>
            <w:vAlign w:val="bottom"/>
          </w:tcPr>
          <w:p>
            <w:pPr>
              <w:spacing w:after="0"/>
              <w:rPr>
                <w:sz w:val="24"/>
                <w:szCs w:val="24"/>
                <w:color w:val="auto"/>
              </w:rPr>
            </w:pPr>
          </w:p>
        </w:tc>
        <w:tc>
          <w:tcPr>
            <w:tcW w:w="1700" w:type="dxa"/>
            <w:vAlign w:val="bottom"/>
            <w:gridSpan w:val="18"/>
          </w:tcPr>
          <w:p>
            <w:pPr>
              <w:spacing w:after="0"/>
              <w:rPr>
                <w:sz w:val="20"/>
                <w:szCs w:val="20"/>
                <w:color w:val="auto"/>
              </w:rPr>
            </w:pPr>
            <w:r>
              <w:rPr>
                <w:rFonts w:ascii="Arial" w:cs="Arial" w:eastAsia="Arial" w:hAnsi="Arial"/>
                <w:sz w:val="18"/>
                <w:szCs w:val="18"/>
                <w:color w:val="auto"/>
                <w:w w:val="93"/>
              </w:rPr>
              <w:t>Loans and Borrowings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77</w:t>
            </w:r>
          </w:p>
        </w:tc>
        <w:tc>
          <w:tcPr>
            <w:tcW w:w="18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9"/>
              </w:rPr>
              <w:t>76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2.03</w:t>
            </w:r>
          </w:p>
        </w:tc>
        <w:tc>
          <w:tcPr>
            <w:tcW w:w="100" w:type="dxa"/>
            <w:vAlign w:val="bottom"/>
          </w:tcPr>
          <w:p>
            <w:pPr>
              <w:spacing w:after="0"/>
              <w:rPr>
                <w:sz w:val="24"/>
                <w:szCs w:val="24"/>
                <w:color w:val="auto"/>
              </w:rPr>
            </w:pPr>
          </w:p>
        </w:tc>
        <w:tc>
          <w:tcPr>
            <w:tcW w:w="1840" w:type="dxa"/>
            <w:vAlign w:val="bottom"/>
            <w:gridSpan w:val="22"/>
          </w:tcPr>
          <w:p>
            <w:pPr>
              <w:spacing w:after="0"/>
              <w:rPr>
                <w:sz w:val="20"/>
                <w:szCs w:val="20"/>
                <w:color w:val="auto"/>
              </w:rPr>
            </w:pPr>
            <w:r>
              <w:rPr>
                <w:rFonts w:ascii="Arial" w:cs="Arial" w:eastAsia="Arial" w:hAnsi="Arial"/>
                <w:sz w:val="18"/>
                <w:szCs w:val="18"/>
                <w:color w:val="auto"/>
                <w:w w:val="92"/>
              </w:rPr>
              <w:t>Requests for Borrowings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rPr>
              <w:t>78</w:t>
            </w:r>
          </w:p>
        </w:tc>
        <w:tc>
          <w:tcPr>
            <w:tcW w:w="18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2.04</w:t>
            </w:r>
          </w:p>
        </w:tc>
        <w:tc>
          <w:tcPr>
            <w:tcW w:w="100" w:type="dxa"/>
            <w:vAlign w:val="bottom"/>
          </w:tcPr>
          <w:p>
            <w:pPr>
              <w:spacing w:after="0"/>
              <w:rPr>
                <w:sz w:val="24"/>
                <w:szCs w:val="24"/>
                <w:color w:val="auto"/>
              </w:rPr>
            </w:pPr>
          </w:p>
        </w:tc>
        <w:tc>
          <w:tcPr>
            <w:tcW w:w="1300" w:type="dxa"/>
            <w:vAlign w:val="bottom"/>
            <w:gridSpan w:val="12"/>
          </w:tcPr>
          <w:p>
            <w:pPr>
              <w:spacing w:after="0"/>
              <w:rPr>
                <w:sz w:val="20"/>
                <w:szCs w:val="20"/>
                <w:color w:val="auto"/>
              </w:rPr>
            </w:pPr>
            <w:r>
              <w:rPr>
                <w:rFonts w:ascii="Arial" w:cs="Arial" w:eastAsia="Arial" w:hAnsi="Arial"/>
                <w:sz w:val="18"/>
                <w:szCs w:val="18"/>
                <w:color w:val="auto"/>
                <w:w w:val="97"/>
              </w:rPr>
              <w:t>Swingline Loans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79</w:t>
            </w:r>
          </w:p>
        </w:tc>
        <w:tc>
          <w:tcPr>
            <w:tcW w:w="180" w:type="dxa"/>
            <w:vAlign w:val="bottom"/>
            <w:gridSpan w:val="4"/>
          </w:tcPr>
          <w:p>
            <w:pPr>
              <w:spacing w:after="0"/>
              <w:rPr>
                <w:sz w:val="20"/>
                <w:szCs w:val="20"/>
                <w:color w:val="auto"/>
              </w:rPr>
            </w:pPr>
            <w:r>
              <w:rPr>
                <w:rFonts w:ascii="Arial" w:cs="Arial" w:eastAsia="Arial" w:hAnsi="Arial"/>
                <w:sz w:val="18"/>
                <w:szCs w:val="18"/>
                <w:color w:val="0000FF"/>
                <w:w w:val="79"/>
              </w:rPr>
              <w:t>77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3560" w:type="dxa"/>
            <w:vAlign w:val="bottom"/>
            <w:tcBorders>
              <w:right w:val="single" w:sz="8" w:color="0000FF"/>
            </w:tcBorders>
            <w:gridSpan w:val="18"/>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3320" w:type="dxa"/>
            <w:vAlign w:val="bottom"/>
            <w:gridSpan w:val="42"/>
          </w:tcPr>
          <w:p>
            <w:pPr>
              <w:spacing w:after="0" w:line="20" w:lineRule="exact"/>
              <w:rPr>
                <w:sz w:val="1"/>
                <w:szCs w:val="1"/>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2.05</w:t>
            </w:r>
          </w:p>
        </w:tc>
        <w:tc>
          <w:tcPr>
            <w:tcW w:w="100" w:type="dxa"/>
            <w:vAlign w:val="bottom"/>
          </w:tcPr>
          <w:p>
            <w:pPr>
              <w:spacing w:after="0"/>
              <w:rPr>
                <w:sz w:val="24"/>
                <w:szCs w:val="24"/>
                <w:color w:val="auto"/>
              </w:rPr>
            </w:pPr>
          </w:p>
        </w:tc>
        <w:tc>
          <w:tcPr>
            <w:tcW w:w="1200" w:type="dxa"/>
            <w:vAlign w:val="bottom"/>
            <w:gridSpan w:val="10"/>
          </w:tcPr>
          <w:p>
            <w:pPr>
              <w:spacing w:after="0"/>
              <w:rPr>
                <w:sz w:val="20"/>
                <w:szCs w:val="20"/>
                <w:color w:val="auto"/>
              </w:rPr>
            </w:pPr>
            <w:r>
              <w:rPr>
                <w:rFonts w:ascii="Arial" w:cs="Arial" w:eastAsia="Arial" w:hAnsi="Arial"/>
                <w:sz w:val="18"/>
                <w:szCs w:val="18"/>
                <w:color w:val="auto"/>
                <w:w w:val="92"/>
              </w:rPr>
              <w:t>Letters of Credit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80</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79"/>
              </w:rPr>
              <w:t>78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2.06</w:t>
            </w:r>
          </w:p>
        </w:tc>
        <w:tc>
          <w:tcPr>
            <w:tcW w:w="100" w:type="dxa"/>
            <w:vAlign w:val="bottom"/>
          </w:tcPr>
          <w:p>
            <w:pPr>
              <w:spacing w:after="0"/>
              <w:rPr>
                <w:sz w:val="24"/>
                <w:szCs w:val="24"/>
                <w:color w:val="auto"/>
              </w:rPr>
            </w:pPr>
          </w:p>
        </w:tc>
        <w:tc>
          <w:tcPr>
            <w:tcW w:w="1700" w:type="dxa"/>
            <w:vAlign w:val="bottom"/>
            <w:gridSpan w:val="18"/>
          </w:tcPr>
          <w:p>
            <w:pPr>
              <w:spacing w:after="0"/>
              <w:rPr>
                <w:sz w:val="20"/>
                <w:szCs w:val="20"/>
                <w:color w:val="auto"/>
              </w:rPr>
            </w:pPr>
            <w:r>
              <w:rPr>
                <w:rFonts w:ascii="Arial" w:cs="Arial" w:eastAsia="Arial" w:hAnsi="Arial"/>
                <w:sz w:val="18"/>
                <w:szCs w:val="18"/>
                <w:color w:val="auto"/>
                <w:w w:val="93"/>
              </w:rPr>
              <w:t>Funding of Borrowings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18"/>
                <w:szCs w:val="18"/>
                <w:color w:val="FF0000"/>
                <w:strike w:val="1"/>
                <w:w w:val="89"/>
              </w:rPr>
              <w:t>86</w:t>
            </w:r>
          </w:p>
        </w:tc>
        <w:tc>
          <w:tcPr>
            <w:tcW w:w="200" w:type="dxa"/>
            <w:vAlign w:val="bottom"/>
            <w:gridSpan w:val="6"/>
          </w:tcPr>
          <w:p>
            <w:pPr>
              <w:jc w:val="right"/>
              <w:spacing w:after="0"/>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2.07</w:t>
            </w:r>
          </w:p>
        </w:tc>
        <w:tc>
          <w:tcPr>
            <w:tcW w:w="100" w:type="dxa"/>
            <w:vAlign w:val="bottom"/>
          </w:tcPr>
          <w:p>
            <w:pPr>
              <w:spacing w:after="0"/>
              <w:rPr>
                <w:sz w:val="24"/>
                <w:szCs w:val="24"/>
                <w:color w:val="auto"/>
              </w:rPr>
            </w:pPr>
          </w:p>
        </w:tc>
        <w:tc>
          <w:tcPr>
            <w:tcW w:w="1300" w:type="dxa"/>
            <w:vAlign w:val="bottom"/>
            <w:gridSpan w:val="12"/>
          </w:tcPr>
          <w:p>
            <w:pPr>
              <w:spacing w:after="0"/>
              <w:rPr>
                <w:sz w:val="20"/>
                <w:szCs w:val="20"/>
                <w:color w:val="auto"/>
              </w:rPr>
            </w:pPr>
            <w:r>
              <w:rPr>
                <w:rFonts w:ascii="Arial" w:cs="Arial" w:eastAsia="Arial" w:hAnsi="Arial"/>
                <w:sz w:val="18"/>
                <w:szCs w:val="18"/>
                <w:color w:val="auto"/>
                <w:w w:val="92"/>
              </w:rPr>
              <w:t>Interest Elections</w:t>
            </w:r>
          </w:p>
        </w:tc>
        <w:tc>
          <w:tcPr>
            <w:tcW w:w="8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FF0000"/>
                <w:strike w:val="1"/>
                <w:w w:val="99"/>
              </w:rPr>
              <w:t>87</w:t>
            </w:r>
          </w:p>
        </w:tc>
        <w:tc>
          <w:tcPr>
            <w:tcW w:w="220" w:type="dxa"/>
            <w:vAlign w:val="bottom"/>
            <w:gridSpan w:val="5"/>
          </w:tcPr>
          <w:p>
            <w:pPr>
              <w:jc w:val="right"/>
              <w:ind w:right="40"/>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2.08</w:t>
            </w:r>
          </w:p>
        </w:tc>
        <w:tc>
          <w:tcPr>
            <w:tcW w:w="100" w:type="dxa"/>
            <w:vAlign w:val="bottom"/>
          </w:tcPr>
          <w:p>
            <w:pPr>
              <w:spacing w:after="0"/>
              <w:rPr>
                <w:sz w:val="24"/>
                <w:szCs w:val="24"/>
                <w:color w:val="auto"/>
              </w:rPr>
            </w:pPr>
          </w:p>
        </w:tc>
        <w:tc>
          <w:tcPr>
            <w:tcW w:w="3400" w:type="dxa"/>
            <w:vAlign w:val="bottom"/>
            <w:gridSpan w:val="56"/>
          </w:tcPr>
          <w:p>
            <w:pPr>
              <w:spacing w:after="0"/>
              <w:rPr>
                <w:sz w:val="20"/>
                <w:szCs w:val="20"/>
                <w:color w:val="auto"/>
              </w:rPr>
            </w:pPr>
            <w:r>
              <w:rPr>
                <w:rFonts w:ascii="Arial" w:cs="Arial" w:eastAsia="Arial" w:hAnsi="Arial"/>
                <w:sz w:val="18"/>
                <w:szCs w:val="18"/>
                <w:color w:val="auto"/>
                <w:w w:val="95"/>
              </w:rPr>
              <w:t>Termination and Reduction of Commitments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88</w:t>
            </w: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0000FF"/>
                <w:w w:val="79"/>
              </w:rPr>
              <w:t>86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2.09</w:t>
            </w:r>
          </w:p>
        </w:tc>
        <w:tc>
          <w:tcPr>
            <w:tcW w:w="100" w:type="dxa"/>
            <w:vAlign w:val="bottom"/>
          </w:tcPr>
          <w:p>
            <w:pPr>
              <w:spacing w:after="0"/>
              <w:rPr>
                <w:sz w:val="24"/>
                <w:szCs w:val="24"/>
                <w:color w:val="auto"/>
              </w:rPr>
            </w:pPr>
          </w:p>
        </w:tc>
        <w:tc>
          <w:tcPr>
            <w:tcW w:w="3020" w:type="dxa"/>
            <w:vAlign w:val="bottom"/>
            <w:gridSpan w:val="50"/>
          </w:tcPr>
          <w:p>
            <w:pPr>
              <w:spacing w:after="0"/>
              <w:rPr>
                <w:sz w:val="20"/>
                <w:szCs w:val="20"/>
                <w:color w:val="auto"/>
              </w:rPr>
            </w:pPr>
            <w:r>
              <w:rPr>
                <w:rFonts w:ascii="Arial" w:cs="Arial" w:eastAsia="Arial" w:hAnsi="Arial"/>
                <w:sz w:val="18"/>
                <w:szCs w:val="18"/>
                <w:color w:val="auto"/>
                <w:w w:val="95"/>
              </w:rPr>
              <w:t>Repayment of Loans; Evidence of Debt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89</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87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2.10</w:t>
            </w:r>
          </w:p>
        </w:tc>
        <w:tc>
          <w:tcPr>
            <w:tcW w:w="100" w:type="dxa"/>
            <w:vAlign w:val="bottom"/>
          </w:tcPr>
          <w:p>
            <w:pPr>
              <w:spacing w:after="0"/>
              <w:rPr>
                <w:sz w:val="24"/>
                <w:szCs w:val="24"/>
                <w:color w:val="auto"/>
              </w:rPr>
            </w:pPr>
          </w:p>
        </w:tc>
        <w:tc>
          <w:tcPr>
            <w:tcW w:w="2080" w:type="dxa"/>
            <w:vAlign w:val="bottom"/>
            <w:gridSpan w:val="29"/>
          </w:tcPr>
          <w:p>
            <w:pPr>
              <w:spacing w:after="0"/>
              <w:rPr>
                <w:sz w:val="20"/>
                <w:szCs w:val="20"/>
                <w:color w:val="auto"/>
              </w:rPr>
            </w:pPr>
            <w:r>
              <w:rPr>
                <w:rFonts w:ascii="Arial" w:cs="Arial" w:eastAsia="Arial" w:hAnsi="Arial"/>
                <w:sz w:val="18"/>
                <w:szCs w:val="18"/>
                <w:color w:val="auto"/>
                <w:w w:val="93"/>
              </w:rPr>
              <w:t>Amortization of Term Loans</w:t>
            </w: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89</w:t>
            </w:r>
          </w:p>
        </w:tc>
        <w:tc>
          <w:tcPr>
            <w:tcW w:w="1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79"/>
              </w:rPr>
              <w:t>87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2.11</w:t>
            </w:r>
          </w:p>
        </w:tc>
        <w:tc>
          <w:tcPr>
            <w:tcW w:w="1800" w:type="dxa"/>
            <w:vAlign w:val="bottom"/>
            <w:gridSpan w:val="19"/>
          </w:tcPr>
          <w:p>
            <w:pPr>
              <w:ind w:left="80"/>
              <w:spacing w:after="0"/>
              <w:rPr>
                <w:sz w:val="20"/>
                <w:szCs w:val="20"/>
                <w:color w:val="auto"/>
              </w:rPr>
            </w:pPr>
            <w:r>
              <w:rPr>
                <w:rFonts w:ascii="Arial" w:cs="Arial" w:eastAsia="Arial" w:hAnsi="Arial"/>
                <w:sz w:val="18"/>
                <w:szCs w:val="18"/>
                <w:color w:val="auto"/>
                <w:w w:val="99"/>
              </w:rPr>
              <w:t>Prepayment of Loans</w:t>
            </w:r>
          </w:p>
        </w:tc>
        <w:tc>
          <w:tcPr>
            <w:tcW w:w="18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91</w:t>
            </w:r>
          </w:p>
        </w:tc>
        <w:tc>
          <w:tcPr>
            <w:tcW w:w="200" w:type="dxa"/>
            <w:vAlign w:val="bottom"/>
            <w:gridSpan w:val="6"/>
          </w:tcPr>
          <w:p>
            <w:pPr>
              <w:jc w:val="right"/>
              <w:ind w:right="20"/>
              <w:spacing w:after="0"/>
              <w:rPr>
                <w:sz w:val="20"/>
                <w:szCs w:val="20"/>
                <w:color w:val="auto"/>
              </w:rPr>
            </w:pPr>
            <w:r>
              <w:rPr>
                <w:rFonts w:ascii="Arial" w:cs="Arial" w:eastAsia="Arial" w:hAnsi="Arial"/>
                <w:sz w:val="18"/>
                <w:szCs w:val="18"/>
                <w:color w:val="0000FF"/>
                <w:w w:val="79"/>
              </w:rPr>
              <w:t>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960" w:type="dxa"/>
            <w:vAlign w:val="bottom"/>
            <w:gridSpan w:val="2"/>
          </w:tcPr>
          <w:p>
            <w:pPr>
              <w:ind w:left="660"/>
              <w:spacing w:after="0"/>
              <w:rPr>
                <w:sz w:val="20"/>
                <w:szCs w:val="20"/>
                <w:color w:val="auto"/>
              </w:rPr>
            </w:pPr>
            <w:r>
              <w:rPr>
                <w:rFonts w:ascii="Arial" w:cs="Arial" w:eastAsia="Arial" w:hAnsi="Arial"/>
                <w:sz w:val="18"/>
                <w:szCs w:val="18"/>
                <w:color w:val="auto"/>
                <w:w w:val="98"/>
              </w:rPr>
              <w:t>SECTION 2.12</w:t>
            </w:r>
          </w:p>
        </w:tc>
        <w:tc>
          <w:tcPr>
            <w:tcW w:w="500" w:type="dxa"/>
            <w:vAlign w:val="bottom"/>
            <w:gridSpan w:val="2"/>
          </w:tcPr>
          <w:p>
            <w:pPr>
              <w:spacing w:after="0"/>
              <w:rPr>
                <w:sz w:val="20"/>
                <w:szCs w:val="20"/>
                <w:color w:val="auto"/>
              </w:rPr>
            </w:pPr>
            <w:r>
              <w:rPr>
                <w:rFonts w:ascii="Arial" w:cs="Arial" w:eastAsia="Arial" w:hAnsi="Arial"/>
                <w:sz w:val="18"/>
                <w:szCs w:val="18"/>
                <w:color w:val="auto"/>
              </w:rPr>
              <w:t>Fees</w:t>
            </w:r>
          </w:p>
        </w:tc>
        <w:tc>
          <w:tcPr>
            <w:tcW w:w="280" w:type="dxa"/>
            <w:vAlign w:val="bottom"/>
            <w:gridSpan w:val="2"/>
          </w:tcPr>
          <w:p>
            <w:pPr>
              <w:spacing w:after="0"/>
              <w:rPr>
                <w:sz w:val="20"/>
                <w:szCs w:val="20"/>
                <w:color w:val="auto"/>
              </w:rPr>
            </w:pPr>
            <w:r>
              <w:rPr>
                <w:rFonts w:ascii="Arial" w:cs="Arial" w:eastAsia="Arial" w:hAnsi="Arial"/>
                <w:sz w:val="18"/>
                <w:szCs w:val="18"/>
                <w:color w:val="FF0000"/>
                <w:strike w:val="1"/>
                <w:w w:val="86"/>
              </w:rPr>
              <w:t>100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98</w:t>
            </w:r>
          </w:p>
        </w:tc>
        <w:tc>
          <w:tcPr>
            <w:tcW w:w="920" w:type="dxa"/>
            <w:vAlign w:val="bottom"/>
            <w:gridSpan w:val="17"/>
          </w:tcPr>
          <w:p>
            <w:pPr>
              <w:spacing w:after="0"/>
              <w:rPr>
                <w:sz w:val="24"/>
                <w:szCs w:val="24"/>
                <w:color w:val="auto"/>
              </w:rPr>
            </w:pPr>
          </w:p>
        </w:tc>
        <w:tc>
          <w:tcPr>
            <w:tcW w:w="180" w:type="dxa"/>
            <w:vAlign w:val="bottom"/>
            <w:tcBorders>
              <w:top w:val="single" w:sz="8" w:color="0000FF"/>
            </w:tcBorders>
            <w:gridSpan w:val="5"/>
          </w:tcPr>
          <w:p>
            <w:pPr>
              <w:spacing w:after="0"/>
              <w:rPr>
                <w:sz w:val="24"/>
                <w:szCs w:val="24"/>
                <w:color w:val="auto"/>
              </w:rPr>
            </w:pPr>
          </w:p>
        </w:tc>
        <w:tc>
          <w:tcPr>
            <w:tcW w:w="3000" w:type="dxa"/>
            <w:vAlign w:val="bottom"/>
            <w:gridSpan w:val="33"/>
          </w:tcPr>
          <w:p>
            <w:pPr>
              <w:spacing w:after="0"/>
              <w:rPr>
                <w:sz w:val="24"/>
                <w:szCs w:val="24"/>
                <w:color w:val="auto"/>
              </w:rPr>
            </w:pPr>
          </w:p>
        </w:tc>
      </w:tr>
      <w:tr>
        <w:trPr>
          <w:trHeight w:val="331"/>
        </w:trPr>
        <w:tc>
          <w:tcPr>
            <w:tcW w:w="1960" w:type="dxa"/>
            <w:vAlign w:val="bottom"/>
            <w:gridSpan w:val="2"/>
          </w:tcPr>
          <w:p>
            <w:pPr>
              <w:ind w:left="660"/>
              <w:spacing w:after="0"/>
              <w:rPr>
                <w:sz w:val="20"/>
                <w:szCs w:val="20"/>
                <w:color w:val="auto"/>
              </w:rPr>
            </w:pPr>
            <w:r>
              <w:rPr>
                <w:rFonts w:ascii="Arial" w:cs="Arial" w:eastAsia="Arial" w:hAnsi="Arial"/>
                <w:sz w:val="18"/>
                <w:szCs w:val="18"/>
                <w:color w:val="auto"/>
                <w:w w:val="98"/>
              </w:rPr>
              <w:t>SECTION 2.13</w:t>
            </w:r>
          </w:p>
        </w:tc>
        <w:tc>
          <w:tcPr>
            <w:tcW w:w="680" w:type="dxa"/>
            <w:vAlign w:val="bottom"/>
            <w:gridSpan w:val="3"/>
          </w:tcPr>
          <w:p>
            <w:pPr>
              <w:spacing w:after="0"/>
              <w:rPr>
                <w:sz w:val="20"/>
                <w:szCs w:val="20"/>
                <w:color w:val="auto"/>
              </w:rPr>
            </w:pPr>
            <w:r>
              <w:rPr>
                <w:rFonts w:ascii="Arial" w:cs="Arial" w:eastAsia="Arial" w:hAnsi="Arial"/>
                <w:sz w:val="18"/>
                <w:szCs w:val="18"/>
                <w:color w:val="auto"/>
              </w:rPr>
              <w:t>Interest</w:t>
            </w:r>
          </w:p>
        </w:tc>
        <w:tc>
          <w:tcPr>
            <w:tcW w:w="300" w:type="dxa"/>
            <w:vAlign w:val="bottom"/>
            <w:gridSpan w:val="4"/>
          </w:tcPr>
          <w:p>
            <w:pPr>
              <w:jc w:val="right"/>
              <w:spacing w:after="0"/>
              <w:rPr>
                <w:sz w:val="20"/>
                <w:szCs w:val="20"/>
                <w:color w:val="auto"/>
              </w:rPr>
            </w:pPr>
            <w:r>
              <w:rPr>
                <w:rFonts w:ascii="Arial" w:cs="Arial" w:eastAsia="Arial" w:hAnsi="Arial"/>
                <w:sz w:val="18"/>
                <w:szCs w:val="18"/>
                <w:color w:val="FF0000"/>
                <w:strike w:val="1"/>
                <w:w w:val="93"/>
              </w:rPr>
              <w:t>100</w:t>
            </w:r>
          </w:p>
        </w:tc>
        <w:tc>
          <w:tcPr>
            <w:tcW w:w="4080" w:type="dxa"/>
            <w:vAlign w:val="bottom"/>
            <w:gridSpan w:val="54"/>
          </w:tcPr>
          <w:p>
            <w:pPr>
              <w:jc w:val="right"/>
              <w:ind w:right="3810"/>
              <w:spacing w:after="0"/>
              <w:rPr>
                <w:sz w:val="20"/>
                <w:szCs w:val="20"/>
                <w:color w:val="auto"/>
              </w:rPr>
            </w:pPr>
            <w:r>
              <w:rPr>
                <w:rFonts w:ascii="Arial" w:cs="Arial" w:eastAsia="Arial" w:hAnsi="Arial"/>
                <w:sz w:val="18"/>
                <w:szCs w:val="18"/>
                <w:color w:val="0000FF"/>
                <w:w w:val="79"/>
              </w:rPr>
              <w:t>99</w:t>
            </w: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2.14</w:t>
            </w:r>
          </w:p>
        </w:tc>
        <w:tc>
          <w:tcPr>
            <w:tcW w:w="100" w:type="dxa"/>
            <w:vAlign w:val="bottom"/>
          </w:tcPr>
          <w:p>
            <w:pPr>
              <w:spacing w:after="0"/>
              <w:rPr>
                <w:sz w:val="24"/>
                <w:szCs w:val="24"/>
                <w:color w:val="auto"/>
              </w:rPr>
            </w:pPr>
          </w:p>
        </w:tc>
        <w:tc>
          <w:tcPr>
            <w:tcW w:w="1840" w:type="dxa"/>
            <w:vAlign w:val="bottom"/>
            <w:gridSpan w:val="22"/>
          </w:tcPr>
          <w:p>
            <w:pPr>
              <w:spacing w:after="0"/>
              <w:rPr>
                <w:sz w:val="20"/>
                <w:szCs w:val="20"/>
                <w:color w:val="auto"/>
              </w:rPr>
            </w:pPr>
            <w:r>
              <w:rPr>
                <w:rFonts w:ascii="Arial" w:cs="Arial" w:eastAsia="Arial" w:hAnsi="Arial"/>
                <w:sz w:val="18"/>
                <w:szCs w:val="18"/>
                <w:color w:val="auto"/>
                <w:w w:val="90"/>
              </w:rPr>
              <w:t>Alternate Rate of Interest</w:t>
            </w:r>
          </w:p>
        </w:tc>
        <w:tc>
          <w:tcPr>
            <w:tcW w:w="160" w:type="dxa"/>
            <w:vAlign w:val="bottom"/>
            <w:gridSpan w:val="3"/>
          </w:tcPr>
          <w:p>
            <w:pPr>
              <w:spacing w:after="0"/>
              <w:rPr>
                <w:sz w:val="24"/>
                <w:szCs w:val="24"/>
                <w:color w:val="auto"/>
              </w:rPr>
            </w:pPr>
          </w:p>
        </w:tc>
        <w:tc>
          <w:tcPr>
            <w:tcW w:w="260" w:type="dxa"/>
            <w:vAlign w:val="bottom"/>
            <w:gridSpan w:val="9"/>
          </w:tcPr>
          <w:p>
            <w:pPr>
              <w:jc w:val="right"/>
              <w:spacing w:after="0"/>
              <w:rPr>
                <w:sz w:val="20"/>
                <w:szCs w:val="20"/>
                <w:color w:val="auto"/>
              </w:rPr>
            </w:pPr>
            <w:r>
              <w:rPr>
                <w:rFonts w:ascii="Arial" w:cs="Arial" w:eastAsia="Arial" w:hAnsi="Arial"/>
                <w:sz w:val="18"/>
                <w:szCs w:val="18"/>
                <w:color w:val="FF0000"/>
                <w:strike w:val="1"/>
                <w:w w:val="79"/>
              </w:rPr>
              <w:t>101</w:t>
            </w:r>
          </w:p>
        </w:tc>
        <w:tc>
          <w:tcPr>
            <w:tcW w:w="280" w:type="dxa"/>
            <w:vAlign w:val="bottom"/>
            <w:gridSpan w:val="6"/>
          </w:tcPr>
          <w:p>
            <w:pPr>
              <w:spacing w:after="0"/>
              <w:rPr>
                <w:sz w:val="20"/>
                <w:szCs w:val="20"/>
                <w:color w:val="auto"/>
              </w:rPr>
            </w:pPr>
            <w:r>
              <w:rPr>
                <w:rFonts w:ascii="Arial" w:cs="Arial" w:eastAsia="Arial" w:hAnsi="Arial"/>
                <w:sz w:val="18"/>
                <w:szCs w:val="18"/>
                <w:color w:val="0000FF"/>
                <w:w w:val="86"/>
              </w:rPr>
              <w:t>100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2.15</w:t>
            </w:r>
          </w:p>
        </w:tc>
        <w:tc>
          <w:tcPr>
            <w:tcW w:w="100" w:type="dxa"/>
            <w:vAlign w:val="bottom"/>
          </w:tcPr>
          <w:p>
            <w:pPr>
              <w:spacing w:after="0"/>
              <w:rPr>
                <w:sz w:val="24"/>
                <w:szCs w:val="24"/>
                <w:color w:val="auto"/>
              </w:rPr>
            </w:pPr>
          </w:p>
        </w:tc>
        <w:tc>
          <w:tcPr>
            <w:tcW w:w="1200" w:type="dxa"/>
            <w:vAlign w:val="bottom"/>
            <w:gridSpan w:val="10"/>
          </w:tcPr>
          <w:p>
            <w:pPr>
              <w:spacing w:after="0"/>
              <w:rPr>
                <w:sz w:val="20"/>
                <w:szCs w:val="20"/>
                <w:color w:val="auto"/>
              </w:rPr>
            </w:pPr>
            <w:r>
              <w:rPr>
                <w:rFonts w:ascii="Arial" w:cs="Arial" w:eastAsia="Arial" w:hAnsi="Arial"/>
                <w:sz w:val="18"/>
                <w:szCs w:val="18"/>
                <w:color w:val="auto"/>
                <w:w w:val="90"/>
              </w:rPr>
              <w:t>Increased Costs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104</w:t>
            </w:r>
          </w:p>
        </w:tc>
        <w:tc>
          <w:tcPr>
            <w:tcW w:w="24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3"/>
              </w:rPr>
              <w:t>102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2.16</w:t>
            </w:r>
          </w:p>
        </w:tc>
        <w:tc>
          <w:tcPr>
            <w:tcW w:w="100" w:type="dxa"/>
            <w:vAlign w:val="bottom"/>
          </w:tcPr>
          <w:p>
            <w:pPr>
              <w:spacing w:after="0"/>
              <w:rPr>
                <w:sz w:val="24"/>
                <w:szCs w:val="24"/>
                <w:color w:val="auto"/>
              </w:rPr>
            </w:pPr>
          </w:p>
        </w:tc>
        <w:tc>
          <w:tcPr>
            <w:tcW w:w="1840" w:type="dxa"/>
            <w:vAlign w:val="bottom"/>
            <w:gridSpan w:val="22"/>
          </w:tcPr>
          <w:p>
            <w:pPr>
              <w:spacing w:after="0"/>
              <w:rPr>
                <w:sz w:val="20"/>
                <w:szCs w:val="20"/>
                <w:color w:val="auto"/>
              </w:rPr>
            </w:pPr>
            <w:r>
              <w:rPr>
                <w:rFonts w:ascii="Arial" w:cs="Arial" w:eastAsia="Arial" w:hAnsi="Arial"/>
                <w:sz w:val="18"/>
                <w:szCs w:val="18"/>
                <w:color w:val="auto"/>
                <w:w w:val="90"/>
              </w:rPr>
              <w:t>Break Funding Payments</w:t>
            </w:r>
          </w:p>
        </w:tc>
        <w:tc>
          <w:tcPr>
            <w:tcW w:w="160" w:type="dxa"/>
            <w:vAlign w:val="bottom"/>
            <w:gridSpan w:val="3"/>
          </w:tcPr>
          <w:p>
            <w:pPr>
              <w:spacing w:after="0"/>
              <w:rPr>
                <w:sz w:val="24"/>
                <w:szCs w:val="24"/>
                <w:color w:val="auto"/>
              </w:rPr>
            </w:pPr>
          </w:p>
        </w:tc>
        <w:tc>
          <w:tcPr>
            <w:tcW w:w="260" w:type="dxa"/>
            <w:vAlign w:val="bottom"/>
            <w:gridSpan w:val="9"/>
          </w:tcPr>
          <w:p>
            <w:pPr>
              <w:jc w:val="right"/>
              <w:spacing w:after="0"/>
              <w:rPr>
                <w:sz w:val="20"/>
                <w:szCs w:val="20"/>
                <w:color w:val="auto"/>
              </w:rPr>
            </w:pPr>
            <w:r>
              <w:rPr>
                <w:rFonts w:ascii="Arial" w:cs="Arial" w:eastAsia="Arial" w:hAnsi="Arial"/>
                <w:sz w:val="18"/>
                <w:szCs w:val="18"/>
                <w:color w:val="FF0000"/>
                <w:strike w:val="1"/>
                <w:w w:val="79"/>
              </w:rPr>
              <w:t>105</w:t>
            </w:r>
          </w:p>
        </w:tc>
        <w:tc>
          <w:tcPr>
            <w:tcW w:w="2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6"/>
              </w:rPr>
              <w:t>103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960" w:type="dxa"/>
            <w:vAlign w:val="bottom"/>
            <w:gridSpan w:val="2"/>
          </w:tcPr>
          <w:p>
            <w:pPr>
              <w:ind w:left="660"/>
              <w:spacing w:after="0"/>
              <w:rPr>
                <w:sz w:val="20"/>
                <w:szCs w:val="20"/>
                <w:color w:val="auto"/>
              </w:rPr>
            </w:pPr>
            <w:r>
              <w:rPr>
                <w:rFonts w:ascii="Arial" w:cs="Arial" w:eastAsia="Arial" w:hAnsi="Arial"/>
                <w:sz w:val="18"/>
                <w:szCs w:val="18"/>
                <w:color w:val="auto"/>
                <w:w w:val="98"/>
              </w:rPr>
              <w:t>SECTION 2.17</w:t>
            </w:r>
          </w:p>
        </w:tc>
        <w:tc>
          <w:tcPr>
            <w:tcW w:w="500" w:type="dxa"/>
            <w:vAlign w:val="bottom"/>
            <w:gridSpan w:val="2"/>
          </w:tcPr>
          <w:p>
            <w:pPr>
              <w:spacing w:after="0"/>
              <w:rPr>
                <w:sz w:val="20"/>
                <w:szCs w:val="20"/>
                <w:color w:val="auto"/>
              </w:rPr>
            </w:pPr>
            <w:r>
              <w:rPr>
                <w:rFonts w:ascii="Arial" w:cs="Arial" w:eastAsia="Arial" w:hAnsi="Arial"/>
                <w:sz w:val="18"/>
                <w:szCs w:val="18"/>
                <w:color w:val="auto"/>
                <w:w w:val="97"/>
              </w:rPr>
              <w:t>Taxes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105</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6"/>
              </w:rPr>
              <w:t>103</w:t>
            </w:r>
          </w:p>
        </w:tc>
        <w:tc>
          <w:tcPr>
            <w:tcW w:w="3900" w:type="dxa"/>
            <w:vAlign w:val="bottom"/>
            <w:gridSpan w:val="52"/>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2.18</w:t>
            </w:r>
          </w:p>
        </w:tc>
        <w:tc>
          <w:tcPr>
            <w:tcW w:w="100" w:type="dxa"/>
            <w:vAlign w:val="bottom"/>
          </w:tcPr>
          <w:p>
            <w:pPr>
              <w:spacing w:after="0"/>
              <w:rPr>
                <w:sz w:val="24"/>
                <w:szCs w:val="24"/>
                <w:color w:val="auto"/>
              </w:rPr>
            </w:pPr>
          </w:p>
        </w:tc>
        <w:tc>
          <w:tcPr>
            <w:tcW w:w="4520" w:type="dxa"/>
            <w:vAlign w:val="bottom"/>
            <w:gridSpan w:val="59"/>
          </w:tcPr>
          <w:p>
            <w:pPr>
              <w:spacing w:after="0"/>
              <w:rPr>
                <w:sz w:val="20"/>
                <w:szCs w:val="20"/>
                <w:color w:val="auto"/>
              </w:rPr>
            </w:pPr>
            <w:r>
              <w:rPr>
                <w:rFonts w:ascii="Arial" w:cs="Arial" w:eastAsia="Arial" w:hAnsi="Arial"/>
                <w:sz w:val="18"/>
                <w:szCs w:val="18"/>
                <w:color w:val="auto"/>
                <w:w w:val="93"/>
              </w:rPr>
              <w:t>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108</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107</w:t>
            </w:r>
          </w:p>
        </w:tc>
      </w:tr>
    </w:tbl>
    <w:p>
      <w:pPr>
        <w:spacing w:after="0" w:line="200" w:lineRule="exact"/>
        <w:rPr>
          <w:sz w:val="20"/>
          <w:szCs w:val="20"/>
          <w:color w:val="auto"/>
        </w:rPr>
      </w:pPr>
    </w:p>
    <w:p>
      <w:pPr>
        <w:sectPr>
          <w:pgSz w:w="11900" w:h="16838" w:orient="portrait"/>
          <w:cols w:equalWidth="0" w:num="1">
            <w:col w:w="11140"/>
          </w:cols>
          <w:pgMar w:left="320" w:top="10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-i-</w:t>
      </w:r>
    </w:p>
    <w:p>
      <w:pPr>
        <w:sectPr>
          <w:pgSz w:w="11900" w:h="16838" w:orient="portrait"/>
          <w:cols w:equalWidth="0" w:num="1">
            <w:col w:w="11140"/>
          </w:cols>
          <w:pgMar w:left="320" w:top="108" w:right="439" w:bottom="1440" w:gutter="0" w:footer="0" w:header="0"/>
          <w:type w:val="continuous"/>
        </w:sectPr>
      </w:pPr>
    </w:p>
    <w:bookmarkStart w:id="14" w:name="page15"/>
    <w:bookmarkEnd w:id="14"/>
    <w:p>
      <w:pPr>
        <w:jc w:val="center"/>
        <w:ind w:right="-119"/>
        <w:spacing w:after="0"/>
        <w:rPr>
          <w:sz w:val="20"/>
          <w:szCs w:val="20"/>
          <w:color w:val="auto"/>
        </w:rPr>
      </w:pPr>
      <w:r>
        <w:rPr>
          <w:rFonts w:ascii="Arial" w:cs="Arial" w:eastAsia="Arial" w:hAnsi="Arial"/>
          <w:sz w:val="18"/>
          <w:szCs w:val="18"/>
          <w:b w:val="1"/>
          <w:bCs w:val="1"/>
          <w:color w:val="auto"/>
        </w:rPr>
        <w:t>TABLE OF CONTENTS</w:t>
      </w:r>
    </w:p>
    <w:p>
      <w:pPr>
        <w:jc w:val="center"/>
        <w:ind w:right="-119"/>
        <w:spacing w:after="0" w:line="219" w:lineRule="auto"/>
        <w:rPr>
          <w:sz w:val="20"/>
          <w:szCs w:val="20"/>
          <w:color w:val="auto"/>
        </w:rPr>
      </w:pPr>
      <w:r>
        <w:rPr>
          <w:rFonts w:ascii="Arial" w:cs="Arial" w:eastAsia="Arial" w:hAnsi="Arial"/>
          <w:sz w:val="18"/>
          <w:szCs w:val="18"/>
          <w:color w:val="auto"/>
        </w:rPr>
        <w:t>(continued)</w:t>
      </w: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ind w:left="660"/>
              <w:spacing w:after="0"/>
              <w:rPr>
                <w:sz w:val="20"/>
                <w:szCs w:val="20"/>
                <w:color w:val="auto"/>
              </w:rPr>
            </w:pPr>
            <w:r>
              <w:rPr>
                <w:rFonts w:ascii="Arial" w:cs="Arial" w:eastAsia="Arial" w:hAnsi="Arial"/>
                <w:sz w:val="18"/>
                <w:szCs w:val="18"/>
                <w:color w:val="auto"/>
              </w:rPr>
              <w:t>SECTION 2.19</w:t>
            </w:r>
          </w:p>
        </w:tc>
        <w:tc>
          <w:tcPr>
            <w:tcW w:w="3620" w:type="dxa"/>
            <w:vAlign w:val="bottom"/>
            <w:gridSpan w:val="63"/>
          </w:tcPr>
          <w:p>
            <w:pPr>
              <w:ind w:left="40"/>
              <w:spacing w:after="0"/>
              <w:rPr>
                <w:sz w:val="20"/>
                <w:szCs w:val="20"/>
                <w:color w:val="auto"/>
              </w:rPr>
            </w:pPr>
            <w:r>
              <w:rPr>
                <w:rFonts w:ascii="Arial" w:cs="Arial" w:eastAsia="Arial" w:hAnsi="Arial"/>
                <w:sz w:val="18"/>
                <w:szCs w:val="18"/>
                <w:color w:val="auto"/>
                <w:w w:val="94"/>
              </w:rPr>
              <w:t>Mitigation Obligations; Replacement of Lenders</w:t>
            </w:r>
          </w:p>
        </w:tc>
        <w:tc>
          <w:tcPr>
            <w:tcW w:w="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FF0000"/>
                <w:strike w:val="1"/>
                <w:w w:val="99"/>
              </w:rPr>
              <w:t>110</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108</w:t>
            </w:r>
          </w:p>
        </w:tc>
        <w:tc>
          <w:tcPr>
            <w:tcW w:w="20" w:type="dxa"/>
            <w:vAlign w:val="bottom"/>
          </w:tcPr>
          <w:p>
            <w:pPr>
              <w:spacing w:after="0"/>
              <w:rPr>
                <w:sz w:val="17"/>
                <w:szCs w:val="17"/>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2.20</w:t>
            </w:r>
          </w:p>
        </w:tc>
        <w:tc>
          <w:tcPr>
            <w:tcW w:w="2400" w:type="dxa"/>
            <w:vAlign w:val="bottom"/>
            <w:gridSpan w:val="34"/>
          </w:tcPr>
          <w:p>
            <w:pPr>
              <w:ind w:left="40"/>
              <w:spacing w:after="0"/>
              <w:rPr>
                <w:sz w:val="20"/>
                <w:szCs w:val="20"/>
                <w:color w:val="auto"/>
              </w:rPr>
            </w:pPr>
            <w:r>
              <w:rPr>
                <w:rFonts w:ascii="Arial" w:cs="Arial" w:eastAsia="Arial" w:hAnsi="Arial"/>
                <w:sz w:val="18"/>
                <w:szCs w:val="18"/>
                <w:color w:val="auto"/>
                <w:w w:val="97"/>
              </w:rPr>
              <w:t>Incremental Credit Extensions</w:t>
            </w:r>
          </w:p>
        </w:tc>
        <w:tc>
          <w:tcPr>
            <w:tcW w:w="260" w:type="dxa"/>
            <w:vAlign w:val="bottom"/>
            <w:gridSpan w:val="7"/>
          </w:tcPr>
          <w:p>
            <w:pPr>
              <w:jc w:val="right"/>
              <w:spacing w:after="0"/>
              <w:rPr>
                <w:sz w:val="20"/>
                <w:szCs w:val="20"/>
                <w:color w:val="auto"/>
              </w:rPr>
            </w:pPr>
            <w:r>
              <w:rPr>
                <w:rFonts w:ascii="Arial" w:cs="Arial" w:eastAsia="Arial" w:hAnsi="Arial"/>
                <w:sz w:val="18"/>
                <w:szCs w:val="18"/>
                <w:color w:val="FF0000"/>
                <w:strike w:val="1"/>
                <w:w w:val="79"/>
              </w:rPr>
              <w:t>111</w:t>
            </w:r>
          </w:p>
        </w:tc>
        <w:tc>
          <w:tcPr>
            <w:tcW w:w="260" w:type="dxa"/>
            <w:vAlign w:val="bottom"/>
            <w:tcBorders>
              <w:bottom w:val="single" w:sz="8" w:color="0000FF"/>
            </w:tcBorders>
            <w:gridSpan w:val="9"/>
          </w:tcPr>
          <w:p>
            <w:pPr>
              <w:jc w:val="right"/>
              <w:spacing w:after="0"/>
              <w:rPr>
                <w:sz w:val="20"/>
                <w:szCs w:val="20"/>
                <w:color w:val="auto"/>
              </w:rPr>
            </w:pPr>
            <w:r>
              <w:rPr>
                <w:rFonts w:ascii="Arial" w:cs="Arial" w:eastAsia="Arial" w:hAnsi="Arial"/>
                <w:sz w:val="18"/>
                <w:szCs w:val="18"/>
                <w:color w:val="0000FF"/>
                <w:w w:val="79"/>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w w:val="94"/>
              </w:rPr>
              <w:t>SECTION 2.21F</w:t>
            </w:r>
          </w:p>
        </w:tc>
        <w:tc>
          <w:tcPr>
            <w:tcW w:w="2080" w:type="dxa"/>
            <w:vAlign w:val="bottom"/>
            <w:gridSpan w:val="27"/>
          </w:tcPr>
          <w:p>
            <w:pPr>
              <w:jc w:val="center"/>
              <w:spacing w:after="0"/>
              <w:rPr>
                <w:sz w:val="20"/>
                <w:szCs w:val="20"/>
                <w:color w:val="auto"/>
              </w:rPr>
            </w:pPr>
            <w:r>
              <w:rPr>
                <w:rFonts w:ascii="Arial" w:cs="Arial" w:eastAsia="Arial" w:hAnsi="Arial"/>
                <w:sz w:val="18"/>
                <w:szCs w:val="18"/>
                <w:color w:val="auto"/>
                <w:w w:val="90"/>
              </w:rPr>
              <w:t>Refinancing Amendments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113</w:t>
            </w:r>
          </w:p>
        </w:tc>
        <w:tc>
          <w:tcPr>
            <w:tcW w:w="300" w:type="dxa"/>
            <w:vAlign w:val="bottom"/>
            <w:gridSpan w:val="8"/>
          </w:tcPr>
          <w:p>
            <w:pPr>
              <w:jc w:val="right"/>
              <w:ind w:right="40"/>
              <w:spacing w:after="0"/>
              <w:rPr>
                <w:sz w:val="20"/>
                <w:szCs w:val="20"/>
                <w:color w:val="auto"/>
              </w:rPr>
            </w:pPr>
            <w:r>
              <w:rPr>
                <w:rFonts w:ascii="Arial" w:cs="Arial" w:eastAsia="Arial" w:hAnsi="Arial"/>
                <w:sz w:val="18"/>
                <w:szCs w:val="18"/>
                <w:color w:val="0000FF"/>
                <w:w w:val="79"/>
              </w:rPr>
              <w:t>112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920" w:type="dxa"/>
            <w:vAlign w:val="bottom"/>
          </w:tcPr>
          <w:p>
            <w:pPr>
              <w:ind w:left="660"/>
              <w:spacing w:after="0"/>
              <w:rPr>
                <w:sz w:val="20"/>
                <w:szCs w:val="20"/>
                <w:color w:val="auto"/>
              </w:rPr>
            </w:pPr>
            <w:r>
              <w:rPr>
                <w:rFonts w:ascii="Arial" w:cs="Arial" w:eastAsia="Arial" w:hAnsi="Arial"/>
                <w:sz w:val="18"/>
                <w:szCs w:val="18"/>
                <w:color w:val="auto"/>
              </w:rPr>
              <w:t>SECTION 2.22</w:t>
            </w:r>
          </w:p>
        </w:tc>
        <w:tc>
          <w:tcPr>
            <w:tcW w:w="1520" w:type="dxa"/>
            <w:vAlign w:val="bottom"/>
            <w:gridSpan w:val="18"/>
          </w:tcPr>
          <w:p>
            <w:pPr>
              <w:ind w:left="40"/>
              <w:spacing w:after="0"/>
              <w:rPr>
                <w:sz w:val="20"/>
                <w:szCs w:val="20"/>
                <w:color w:val="auto"/>
              </w:rPr>
            </w:pPr>
            <w:r>
              <w:rPr>
                <w:rFonts w:ascii="Arial" w:cs="Arial" w:eastAsia="Arial" w:hAnsi="Arial"/>
                <w:sz w:val="18"/>
                <w:szCs w:val="18"/>
                <w:color w:val="auto"/>
                <w:w w:val="96"/>
              </w:rPr>
              <w:t>Defaulting Lenders</w:t>
            </w:r>
          </w:p>
        </w:tc>
        <w:tc>
          <w:tcPr>
            <w:tcW w:w="360" w:type="dxa"/>
            <w:vAlign w:val="bottom"/>
            <w:gridSpan w:val="6"/>
          </w:tcPr>
          <w:p>
            <w:pPr>
              <w:jc w:val="right"/>
              <w:spacing w:after="0"/>
              <w:rPr>
                <w:sz w:val="20"/>
                <w:szCs w:val="20"/>
                <w:color w:val="auto"/>
              </w:rPr>
            </w:pPr>
            <w:r>
              <w:rPr>
                <w:rFonts w:ascii="Arial" w:cs="Arial" w:eastAsia="Arial" w:hAnsi="Arial"/>
                <w:sz w:val="18"/>
                <w:szCs w:val="18"/>
                <w:color w:val="FF0000"/>
                <w:strike w:val="1"/>
              </w:rPr>
              <w:t>114</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2.23</w:t>
            </w:r>
          </w:p>
        </w:tc>
        <w:tc>
          <w:tcPr>
            <w:tcW w:w="860" w:type="dxa"/>
            <w:vAlign w:val="bottom"/>
            <w:gridSpan w:val="4"/>
          </w:tcPr>
          <w:p>
            <w:pPr>
              <w:ind w:left="40"/>
              <w:spacing w:after="0"/>
              <w:rPr>
                <w:sz w:val="20"/>
                <w:szCs w:val="20"/>
                <w:color w:val="auto"/>
              </w:rPr>
            </w:pPr>
            <w:r>
              <w:rPr>
                <w:rFonts w:ascii="Arial" w:cs="Arial" w:eastAsia="Arial" w:hAnsi="Arial"/>
                <w:sz w:val="18"/>
                <w:szCs w:val="18"/>
                <w:color w:val="auto"/>
              </w:rPr>
              <w:t>Illegality</w:t>
            </w:r>
          </w:p>
        </w:tc>
        <w:tc>
          <w:tcPr>
            <w:tcW w:w="26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116</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86"/>
              </w:rPr>
              <w:t>114</w:t>
            </w:r>
          </w:p>
        </w:tc>
        <w:tc>
          <w:tcPr>
            <w:tcW w:w="2860" w:type="dxa"/>
            <w:vAlign w:val="bottom"/>
            <w:gridSpan w:val="54"/>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2.24</w:t>
            </w:r>
          </w:p>
        </w:tc>
        <w:tc>
          <w:tcPr>
            <w:tcW w:w="2080" w:type="dxa"/>
            <w:vAlign w:val="bottom"/>
            <w:gridSpan w:val="27"/>
          </w:tcPr>
          <w:p>
            <w:pPr>
              <w:ind w:left="40"/>
              <w:spacing w:after="0"/>
              <w:rPr>
                <w:sz w:val="20"/>
                <w:szCs w:val="20"/>
                <w:color w:val="auto"/>
              </w:rPr>
            </w:pPr>
            <w:r>
              <w:rPr>
                <w:rFonts w:ascii="Arial" w:cs="Arial" w:eastAsia="Arial" w:hAnsi="Arial"/>
                <w:sz w:val="18"/>
                <w:szCs w:val="18"/>
                <w:color w:val="auto"/>
              </w:rPr>
              <w:t>Loan Modification Offers</w:t>
            </w:r>
          </w:p>
        </w:tc>
        <w:tc>
          <w:tcPr>
            <w:tcW w:w="26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117</w:t>
            </w:r>
          </w:p>
        </w:tc>
        <w:tc>
          <w:tcPr>
            <w:tcW w:w="26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79"/>
              </w:rPr>
              <w:t>115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380" w:type="dxa"/>
            <w:vAlign w:val="bottom"/>
            <w:gridSpan w:val="37"/>
          </w:tcPr>
          <w:p>
            <w:pPr>
              <w:spacing w:after="0"/>
              <w:rPr>
                <w:sz w:val="20"/>
                <w:szCs w:val="20"/>
                <w:color w:val="auto"/>
              </w:rPr>
            </w:pPr>
            <w:r>
              <w:rPr>
                <w:rFonts w:ascii="Arial" w:cs="Arial" w:eastAsia="Arial" w:hAnsi="Arial"/>
                <w:sz w:val="18"/>
                <w:szCs w:val="18"/>
                <w:color w:val="auto"/>
                <w:w w:val="97"/>
              </w:rPr>
              <w:t>ARTICLE III REPRESENTATIONS AND WARRANTIES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9"/>
          </w:tcPr>
          <w:p>
            <w:pPr>
              <w:spacing w:after="0"/>
              <w:rPr>
                <w:sz w:val="20"/>
                <w:szCs w:val="20"/>
                <w:color w:val="auto"/>
              </w:rPr>
            </w:pPr>
            <w:r>
              <w:rPr>
                <w:rFonts w:ascii="Arial" w:cs="Arial" w:eastAsia="Arial" w:hAnsi="Arial"/>
                <w:sz w:val="18"/>
                <w:szCs w:val="18"/>
                <w:color w:val="FF0000"/>
                <w:strike w:val="1"/>
                <w:w w:val="86"/>
              </w:rPr>
              <w:t>118</w:t>
            </w:r>
          </w:p>
        </w:tc>
        <w:tc>
          <w:tcPr>
            <w:tcW w:w="280" w:type="dxa"/>
            <w:vAlign w:val="bottom"/>
            <w:gridSpan w:val="7"/>
          </w:tcPr>
          <w:p>
            <w:pPr>
              <w:jc w:val="right"/>
              <w:ind w:right="20"/>
              <w:spacing w:after="0"/>
              <w:rPr>
                <w:sz w:val="20"/>
                <w:szCs w:val="20"/>
                <w:color w:val="auto"/>
              </w:rPr>
            </w:pPr>
            <w:r>
              <w:rPr>
                <w:rFonts w:ascii="Arial" w:cs="Arial" w:eastAsia="Arial" w:hAnsi="Arial"/>
                <w:sz w:val="18"/>
                <w:szCs w:val="18"/>
                <w:color w:val="0000FF"/>
                <w:w w:val="79"/>
              </w:rPr>
              <w:t>116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920" w:type="dxa"/>
            <w:vAlign w:val="bottom"/>
          </w:tcPr>
          <w:p>
            <w:pPr>
              <w:ind w:left="660"/>
              <w:spacing w:after="0"/>
              <w:rPr>
                <w:sz w:val="20"/>
                <w:szCs w:val="20"/>
                <w:color w:val="auto"/>
              </w:rPr>
            </w:pPr>
            <w:r>
              <w:rPr>
                <w:rFonts w:ascii="Arial" w:cs="Arial" w:eastAsia="Arial" w:hAnsi="Arial"/>
                <w:sz w:val="18"/>
                <w:szCs w:val="18"/>
                <w:color w:val="auto"/>
              </w:rPr>
              <w:t>SECTION 3.01</w:t>
            </w:r>
          </w:p>
        </w:tc>
        <w:tc>
          <w:tcPr>
            <w:tcW w:w="1780" w:type="dxa"/>
            <w:vAlign w:val="bottom"/>
            <w:gridSpan w:val="21"/>
          </w:tcPr>
          <w:p>
            <w:pPr>
              <w:ind w:left="40"/>
              <w:spacing w:after="0"/>
              <w:rPr>
                <w:sz w:val="20"/>
                <w:szCs w:val="20"/>
                <w:color w:val="auto"/>
              </w:rPr>
            </w:pPr>
            <w:r>
              <w:rPr>
                <w:rFonts w:ascii="Arial" w:cs="Arial" w:eastAsia="Arial" w:hAnsi="Arial"/>
                <w:sz w:val="18"/>
                <w:szCs w:val="18"/>
                <w:color w:val="auto"/>
                <w:w w:val="99"/>
              </w:rPr>
              <w:t>Organization; Powers</w:t>
            </w:r>
          </w:p>
        </w:tc>
        <w:tc>
          <w:tcPr>
            <w:tcW w:w="26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118</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116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3.02</w:t>
            </w:r>
          </w:p>
        </w:tc>
        <w:tc>
          <w:tcPr>
            <w:tcW w:w="2180" w:type="dxa"/>
            <w:vAlign w:val="bottom"/>
            <w:gridSpan w:val="30"/>
          </w:tcPr>
          <w:p>
            <w:pPr>
              <w:ind w:left="40"/>
              <w:spacing w:after="0"/>
              <w:rPr>
                <w:sz w:val="20"/>
                <w:szCs w:val="20"/>
                <w:color w:val="auto"/>
              </w:rPr>
            </w:pPr>
            <w:r>
              <w:rPr>
                <w:rFonts w:ascii="Arial" w:cs="Arial" w:eastAsia="Arial" w:hAnsi="Arial"/>
                <w:sz w:val="18"/>
                <w:szCs w:val="18"/>
                <w:color w:val="auto"/>
                <w:w w:val="95"/>
              </w:rPr>
              <w:t>Authorization; Enforceability</w:t>
            </w:r>
          </w:p>
        </w:tc>
        <w:tc>
          <w:tcPr>
            <w:tcW w:w="160" w:type="dxa"/>
            <w:vAlign w:val="bottom"/>
            <w:gridSpan w:val="2"/>
          </w:tcPr>
          <w:p>
            <w:pPr>
              <w:spacing w:after="0"/>
              <w:rPr>
                <w:sz w:val="24"/>
                <w:szCs w:val="24"/>
                <w:color w:val="auto"/>
              </w:rPr>
            </w:pPr>
          </w:p>
        </w:tc>
        <w:tc>
          <w:tcPr>
            <w:tcW w:w="260" w:type="dxa"/>
            <w:vAlign w:val="bottom"/>
            <w:gridSpan w:val="7"/>
          </w:tcPr>
          <w:p>
            <w:pPr>
              <w:jc w:val="right"/>
              <w:spacing w:after="0"/>
              <w:rPr>
                <w:sz w:val="20"/>
                <w:szCs w:val="20"/>
                <w:color w:val="auto"/>
              </w:rPr>
            </w:pPr>
            <w:r>
              <w:rPr>
                <w:rFonts w:ascii="Arial" w:cs="Arial" w:eastAsia="Arial" w:hAnsi="Arial"/>
                <w:sz w:val="18"/>
                <w:szCs w:val="18"/>
                <w:color w:val="FF0000"/>
                <w:strike w:val="1"/>
                <w:w w:val="79"/>
              </w:rPr>
              <w:t>118</w:t>
            </w:r>
          </w:p>
        </w:tc>
        <w:tc>
          <w:tcPr>
            <w:tcW w:w="260" w:type="dxa"/>
            <w:vAlign w:val="bottom"/>
            <w:tcBorders>
              <w:bottom w:val="single" w:sz="8" w:color="0000FF"/>
            </w:tcBorders>
            <w:gridSpan w:val="9"/>
          </w:tcPr>
          <w:p>
            <w:pPr>
              <w:jc w:val="right"/>
              <w:spacing w:after="0"/>
              <w:rPr>
                <w:sz w:val="20"/>
                <w:szCs w:val="20"/>
                <w:color w:val="auto"/>
              </w:rPr>
            </w:pPr>
            <w:r>
              <w:rPr>
                <w:rFonts w:ascii="Arial" w:cs="Arial" w:eastAsia="Arial" w:hAnsi="Arial"/>
                <w:sz w:val="18"/>
                <w:szCs w:val="18"/>
                <w:color w:val="0000FF"/>
                <w:w w:val="79"/>
              </w:rPr>
              <w:t>116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3.03</w:t>
            </w:r>
          </w:p>
        </w:tc>
        <w:tc>
          <w:tcPr>
            <w:tcW w:w="2920" w:type="dxa"/>
            <w:vAlign w:val="bottom"/>
            <w:gridSpan w:val="50"/>
          </w:tcPr>
          <w:p>
            <w:pPr>
              <w:ind w:left="40"/>
              <w:spacing w:after="0"/>
              <w:rPr>
                <w:sz w:val="20"/>
                <w:szCs w:val="20"/>
                <w:color w:val="auto"/>
              </w:rPr>
            </w:pPr>
            <w:r>
              <w:rPr>
                <w:rFonts w:ascii="Arial" w:cs="Arial" w:eastAsia="Arial" w:hAnsi="Arial"/>
                <w:sz w:val="18"/>
                <w:szCs w:val="18"/>
                <w:color w:val="auto"/>
                <w:w w:val="93"/>
              </w:rPr>
              <w:t>Governmental Approvals; No Conflicts</w:t>
            </w:r>
          </w:p>
        </w:tc>
        <w:tc>
          <w:tcPr>
            <w:tcW w:w="12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118</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116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3.04</w:t>
            </w:r>
          </w:p>
        </w:tc>
        <w:tc>
          <w:tcPr>
            <w:tcW w:w="3620" w:type="dxa"/>
            <w:vAlign w:val="bottom"/>
            <w:gridSpan w:val="63"/>
          </w:tcPr>
          <w:p>
            <w:pPr>
              <w:ind w:left="40"/>
              <w:spacing w:after="0"/>
              <w:rPr>
                <w:sz w:val="20"/>
                <w:szCs w:val="20"/>
                <w:color w:val="auto"/>
              </w:rPr>
            </w:pPr>
            <w:r>
              <w:rPr>
                <w:rFonts w:ascii="Arial" w:cs="Arial" w:eastAsia="Arial" w:hAnsi="Arial"/>
                <w:sz w:val="18"/>
                <w:szCs w:val="18"/>
                <w:color w:val="auto"/>
                <w:w w:val="94"/>
              </w:rPr>
              <w:t>Financial Condition; No Material Adverse Effect</w:t>
            </w:r>
          </w:p>
        </w:tc>
        <w:tc>
          <w:tcPr>
            <w:tcW w:w="4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FF0000"/>
                <w:strike w:val="1"/>
              </w:rPr>
              <w:t>118</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116</w:t>
            </w: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3.05</w:t>
            </w:r>
          </w:p>
        </w:tc>
        <w:tc>
          <w:tcPr>
            <w:tcW w:w="940" w:type="dxa"/>
            <w:vAlign w:val="bottom"/>
            <w:gridSpan w:val="6"/>
          </w:tcPr>
          <w:p>
            <w:pPr>
              <w:ind w:left="40"/>
              <w:spacing w:after="0"/>
              <w:rPr>
                <w:sz w:val="20"/>
                <w:szCs w:val="20"/>
                <w:color w:val="auto"/>
              </w:rPr>
            </w:pPr>
            <w:r>
              <w:rPr>
                <w:rFonts w:ascii="Arial" w:cs="Arial" w:eastAsia="Arial" w:hAnsi="Arial"/>
                <w:sz w:val="18"/>
                <w:szCs w:val="18"/>
                <w:color w:val="auto"/>
                <w:w w:val="97"/>
              </w:rPr>
              <w:t>Properties</w:t>
            </w: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119</w:t>
            </w:r>
          </w:p>
        </w:tc>
        <w:tc>
          <w:tcPr>
            <w:tcW w:w="28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86"/>
              </w:rPr>
              <w:t>117</w:t>
            </w:r>
          </w:p>
        </w:tc>
        <w:tc>
          <w:tcPr>
            <w:tcW w:w="2780" w:type="dxa"/>
            <w:vAlign w:val="bottom"/>
            <w:gridSpan w:val="52"/>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3.06</w:t>
            </w:r>
          </w:p>
        </w:tc>
        <w:tc>
          <w:tcPr>
            <w:tcW w:w="2920" w:type="dxa"/>
            <w:vAlign w:val="bottom"/>
            <w:gridSpan w:val="50"/>
          </w:tcPr>
          <w:p>
            <w:pPr>
              <w:ind w:left="40"/>
              <w:spacing w:after="0"/>
              <w:rPr>
                <w:sz w:val="20"/>
                <w:szCs w:val="20"/>
                <w:color w:val="auto"/>
              </w:rPr>
            </w:pPr>
            <w:r>
              <w:rPr>
                <w:rFonts w:ascii="Arial" w:cs="Arial" w:eastAsia="Arial" w:hAnsi="Arial"/>
                <w:sz w:val="18"/>
                <w:szCs w:val="18"/>
                <w:color w:val="auto"/>
                <w:w w:val="97"/>
              </w:rPr>
              <w:t>Litigation and Environmental Matters</w:t>
            </w: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119</w:t>
            </w:r>
          </w:p>
        </w:tc>
        <w:tc>
          <w:tcPr>
            <w:tcW w:w="380" w:type="dxa"/>
            <w:vAlign w:val="bottom"/>
            <w:gridSpan w:val="6"/>
          </w:tcPr>
          <w:p>
            <w:pPr>
              <w:jc w:val="right"/>
              <w:ind w:right="120"/>
              <w:spacing w:after="0"/>
              <w:rPr>
                <w:sz w:val="20"/>
                <w:szCs w:val="20"/>
                <w:color w:val="auto"/>
              </w:rPr>
            </w:pPr>
            <w:r>
              <w:rPr>
                <w:rFonts w:ascii="Arial" w:cs="Arial" w:eastAsia="Arial" w:hAnsi="Arial"/>
                <w:sz w:val="18"/>
                <w:szCs w:val="18"/>
                <w:color w:val="0000FF"/>
                <w:w w:val="79"/>
              </w:rPr>
              <w:t>117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920" w:type="dxa"/>
            <w:vAlign w:val="bottom"/>
          </w:tcPr>
          <w:p>
            <w:pPr>
              <w:ind w:left="660"/>
              <w:spacing w:after="0"/>
              <w:rPr>
                <w:sz w:val="20"/>
                <w:szCs w:val="20"/>
                <w:color w:val="auto"/>
              </w:rPr>
            </w:pPr>
            <w:r>
              <w:rPr>
                <w:rFonts w:ascii="Arial" w:cs="Arial" w:eastAsia="Arial" w:hAnsi="Arial"/>
                <w:sz w:val="18"/>
                <w:szCs w:val="18"/>
                <w:color w:val="auto"/>
              </w:rPr>
              <w:t>SECTION 3.07</w:t>
            </w:r>
          </w:p>
        </w:tc>
        <w:tc>
          <w:tcPr>
            <w:tcW w:w="2920" w:type="dxa"/>
            <w:vAlign w:val="bottom"/>
            <w:gridSpan w:val="50"/>
          </w:tcPr>
          <w:p>
            <w:pPr>
              <w:ind w:left="40"/>
              <w:spacing w:after="0"/>
              <w:rPr>
                <w:sz w:val="20"/>
                <w:szCs w:val="20"/>
                <w:color w:val="auto"/>
              </w:rPr>
            </w:pPr>
            <w:r>
              <w:rPr>
                <w:rFonts w:ascii="Arial" w:cs="Arial" w:eastAsia="Arial" w:hAnsi="Arial"/>
                <w:sz w:val="18"/>
                <w:szCs w:val="18"/>
                <w:color w:val="auto"/>
                <w:w w:val="90"/>
              </w:rPr>
              <w:t>Compliance with Laws and Agreements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6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119</w:t>
            </w:r>
          </w:p>
        </w:tc>
        <w:tc>
          <w:tcPr>
            <w:tcW w:w="2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79"/>
              </w:rPr>
              <w:t>117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3.08</w:t>
            </w:r>
          </w:p>
        </w:tc>
        <w:tc>
          <w:tcPr>
            <w:tcW w:w="2080" w:type="dxa"/>
            <w:vAlign w:val="bottom"/>
            <w:gridSpan w:val="27"/>
          </w:tcPr>
          <w:p>
            <w:pPr>
              <w:ind w:left="40"/>
              <w:spacing w:after="0"/>
              <w:rPr>
                <w:sz w:val="20"/>
                <w:szCs w:val="20"/>
                <w:color w:val="auto"/>
              </w:rPr>
            </w:pPr>
            <w:r>
              <w:rPr>
                <w:rFonts w:ascii="Arial" w:cs="Arial" w:eastAsia="Arial" w:hAnsi="Arial"/>
                <w:sz w:val="18"/>
                <w:szCs w:val="18"/>
                <w:color w:val="auto"/>
                <w:w w:val="89"/>
              </w:rPr>
              <w:t>Investment Company Status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Arial" w:cs="Arial" w:eastAsia="Arial" w:hAnsi="Arial"/>
                <w:sz w:val="18"/>
                <w:szCs w:val="18"/>
                <w:color w:val="FF0000"/>
                <w:strike w:val="1"/>
                <w:w w:val="99"/>
              </w:rPr>
              <w:t>119</w:t>
            </w:r>
          </w:p>
        </w:tc>
        <w:tc>
          <w:tcPr>
            <w:tcW w:w="28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color w:val="0000FF"/>
                <w:w w:val="86"/>
              </w:rPr>
              <w:t>117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3.09</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260" w:type="dxa"/>
            <w:vAlign w:val="bottom"/>
            <w:gridSpan w:val="3"/>
          </w:tcPr>
          <w:p>
            <w:pPr>
              <w:spacing w:after="0"/>
              <w:rPr>
                <w:sz w:val="20"/>
                <w:szCs w:val="20"/>
                <w:color w:val="auto"/>
              </w:rPr>
            </w:pPr>
            <w:r>
              <w:rPr>
                <w:rFonts w:ascii="Arial" w:cs="Arial" w:eastAsia="Arial" w:hAnsi="Arial"/>
                <w:sz w:val="18"/>
                <w:szCs w:val="18"/>
                <w:color w:val="FF0000"/>
                <w:strike w:val="1"/>
                <w:w w:val="79"/>
              </w:rPr>
              <w:t>119</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9"/>
              </w:rPr>
              <w:t>117</w:t>
            </w:r>
          </w:p>
        </w:tc>
        <w:tc>
          <w:tcPr>
            <w:tcW w:w="3100" w:type="dxa"/>
            <w:vAlign w:val="bottom"/>
            <w:gridSpan w:val="58"/>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3.10</w:t>
            </w: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ERISA</w:t>
            </w:r>
          </w:p>
        </w:tc>
        <w:tc>
          <w:tcPr>
            <w:tcW w:w="340" w:type="dxa"/>
            <w:vAlign w:val="bottom"/>
            <w:gridSpan w:val="4"/>
          </w:tcPr>
          <w:p>
            <w:pPr>
              <w:jc w:val="right"/>
              <w:spacing w:after="0"/>
              <w:rPr>
                <w:sz w:val="20"/>
                <w:szCs w:val="20"/>
                <w:color w:val="auto"/>
              </w:rPr>
            </w:pPr>
            <w:r>
              <w:rPr>
                <w:rFonts w:ascii="Arial" w:cs="Arial" w:eastAsia="Arial" w:hAnsi="Arial"/>
                <w:sz w:val="18"/>
                <w:szCs w:val="18"/>
                <w:color w:val="FF0000"/>
                <w:strike w:val="1"/>
              </w:rPr>
              <w:t>119</w:t>
            </w:r>
          </w:p>
        </w:tc>
        <w:tc>
          <w:tcPr>
            <w:tcW w:w="3260" w:type="dxa"/>
            <w:vAlign w:val="bottom"/>
            <w:gridSpan w:val="62"/>
          </w:tcPr>
          <w:p>
            <w:pPr>
              <w:jc w:val="right"/>
              <w:ind w:right="3000"/>
              <w:spacing w:after="0"/>
              <w:rPr>
                <w:sz w:val="20"/>
                <w:szCs w:val="20"/>
                <w:color w:val="auto"/>
              </w:rPr>
            </w:pPr>
            <w:r>
              <w:rPr>
                <w:rFonts w:ascii="Arial" w:cs="Arial" w:eastAsia="Arial" w:hAnsi="Arial"/>
                <w:sz w:val="18"/>
                <w:szCs w:val="18"/>
                <w:color w:val="0000FF"/>
                <w:w w:val="79"/>
              </w:rPr>
              <w:t>118</w:t>
            </w:r>
          </w:p>
        </w:tc>
      </w:tr>
      <w:tr>
        <w:trPr>
          <w:trHeight w:val="20"/>
        </w:trPr>
        <w:tc>
          <w:tcPr>
            <w:tcW w:w="3180" w:type="dxa"/>
            <w:vAlign w:val="bottom"/>
            <w:tcBorders>
              <w:right w:val="single" w:sz="8" w:color="0000FF"/>
            </w:tcBorders>
            <w:gridSpan w:val="14"/>
          </w:tcPr>
          <w:p>
            <w:pPr>
              <w:spacing w:after="0" w:line="20" w:lineRule="exact"/>
              <w:rPr>
                <w:sz w:val="1"/>
                <w:szCs w:val="1"/>
                <w:color w:val="auto"/>
              </w:rPr>
            </w:pPr>
          </w:p>
        </w:tc>
        <w:tc>
          <w:tcPr>
            <w:tcW w:w="3000" w:type="dxa"/>
            <w:vAlign w:val="bottom"/>
            <w:gridSpan w:val="56"/>
          </w:tcPr>
          <w:p>
            <w:pPr>
              <w:spacing w:after="0" w:line="20" w:lineRule="exact"/>
              <w:rPr>
                <w:sz w:val="1"/>
                <w:szCs w:val="1"/>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3.11</w:t>
            </w:r>
          </w:p>
        </w:tc>
        <w:tc>
          <w:tcPr>
            <w:tcW w:w="940" w:type="dxa"/>
            <w:vAlign w:val="bottom"/>
            <w:gridSpan w:val="6"/>
          </w:tcPr>
          <w:p>
            <w:pPr>
              <w:ind w:left="20"/>
              <w:spacing w:after="0"/>
              <w:rPr>
                <w:sz w:val="20"/>
                <w:szCs w:val="20"/>
                <w:color w:val="auto"/>
              </w:rPr>
            </w:pPr>
            <w:r>
              <w:rPr>
                <w:rFonts w:ascii="Arial" w:cs="Arial" w:eastAsia="Arial" w:hAnsi="Arial"/>
                <w:sz w:val="18"/>
                <w:szCs w:val="18"/>
                <w:color w:val="auto"/>
                <w:w w:val="97"/>
              </w:rPr>
              <w:t>Disclosure</w:t>
            </w:r>
          </w:p>
        </w:tc>
        <w:tc>
          <w:tcPr>
            <w:tcW w:w="320" w:type="dxa"/>
            <w:vAlign w:val="bottom"/>
            <w:gridSpan w:val="7"/>
          </w:tcPr>
          <w:p>
            <w:pPr>
              <w:jc w:val="right"/>
              <w:spacing w:after="0"/>
              <w:rPr>
                <w:sz w:val="20"/>
                <w:szCs w:val="20"/>
                <w:color w:val="auto"/>
              </w:rPr>
            </w:pPr>
            <w:r>
              <w:rPr>
                <w:rFonts w:ascii="Arial" w:cs="Arial" w:eastAsia="Arial" w:hAnsi="Arial"/>
                <w:sz w:val="18"/>
                <w:szCs w:val="18"/>
                <w:color w:val="FF0000"/>
                <w:strike w:val="1"/>
                <w:w w:val="93"/>
              </w:rPr>
              <w:t>120</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118</w:t>
            </w:r>
          </w:p>
        </w:tc>
        <w:tc>
          <w:tcPr>
            <w:tcW w:w="2740" w:type="dxa"/>
            <w:vAlign w:val="bottom"/>
            <w:gridSpan w:val="51"/>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3.12</w:t>
            </w:r>
          </w:p>
        </w:tc>
        <w:tc>
          <w:tcPr>
            <w:tcW w:w="1100" w:type="dxa"/>
            <w:vAlign w:val="bottom"/>
            <w:gridSpan w:val="8"/>
          </w:tcPr>
          <w:p>
            <w:pPr>
              <w:ind w:left="40"/>
              <w:spacing w:after="0"/>
              <w:rPr>
                <w:sz w:val="20"/>
                <w:szCs w:val="20"/>
                <w:color w:val="auto"/>
              </w:rPr>
            </w:pPr>
            <w:r>
              <w:rPr>
                <w:rFonts w:ascii="Arial" w:cs="Arial" w:eastAsia="Arial" w:hAnsi="Arial"/>
                <w:sz w:val="18"/>
                <w:szCs w:val="18"/>
                <w:color w:val="auto"/>
              </w:rPr>
              <w:t>Subsidiaries</w:t>
            </w: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120</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color w:val="0000FF"/>
                <w:w w:val="79"/>
              </w:rPr>
              <w:t>118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700" w:type="dxa"/>
            <w:vAlign w:val="bottom"/>
            <w:gridSpan w:val="46"/>
          </w:tcPr>
          <w:p>
            <w:pPr>
              <w:ind w:left="660"/>
              <w:spacing w:after="0"/>
              <w:rPr>
                <w:sz w:val="20"/>
                <w:szCs w:val="20"/>
                <w:color w:val="auto"/>
              </w:rPr>
            </w:pPr>
            <w:r>
              <w:rPr>
                <w:rFonts w:ascii="Arial" w:cs="Arial" w:eastAsia="Arial" w:hAnsi="Arial"/>
                <w:sz w:val="18"/>
                <w:szCs w:val="18"/>
                <w:color w:val="auto"/>
                <w:w w:val="97"/>
              </w:rPr>
              <w:t>SECTION 3.13  Intellectual Property; Licenses, Etc.</w:t>
            </w:r>
          </w:p>
        </w:tc>
        <w:tc>
          <w:tcPr>
            <w:tcW w:w="280" w:type="dxa"/>
            <w:vAlign w:val="bottom"/>
            <w:gridSpan w:val="7"/>
          </w:tcPr>
          <w:p>
            <w:pPr>
              <w:jc w:val="right"/>
              <w:spacing w:after="0"/>
              <w:rPr>
                <w:sz w:val="20"/>
                <w:szCs w:val="20"/>
                <w:color w:val="auto"/>
              </w:rPr>
            </w:pPr>
            <w:r>
              <w:rPr>
                <w:rFonts w:ascii="Arial" w:cs="Arial" w:eastAsia="Arial" w:hAnsi="Arial"/>
                <w:sz w:val="18"/>
                <w:szCs w:val="18"/>
                <w:color w:val="FF0000"/>
                <w:strike w:val="1"/>
                <w:w w:val="86"/>
              </w:rPr>
              <w:t>120</w:t>
            </w:r>
          </w:p>
        </w:tc>
        <w:tc>
          <w:tcPr>
            <w:tcW w:w="320" w:type="dxa"/>
            <w:vAlign w:val="bottom"/>
            <w:gridSpan w:val="8"/>
          </w:tcPr>
          <w:p>
            <w:pPr>
              <w:jc w:val="right"/>
              <w:spacing w:after="0"/>
              <w:rPr>
                <w:sz w:val="20"/>
                <w:szCs w:val="20"/>
                <w:color w:val="auto"/>
              </w:rPr>
            </w:pPr>
            <w:r>
              <w:rPr>
                <w:rFonts w:ascii="Arial" w:cs="Arial" w:eastAsia="Arial" w:hAnsi="Arial"/>
                <w:sz w:val="18"/>
                <w:szCs w:val="18"/>
                <w:color w:val="0000FF"/>
                <w:w w:val="79"/>
              </w:rPr>
              <w:t>118</w:t>
            </w:r>
          </w:p>
        </w:tc>
        <w:tc>
          <w:tcPr>
            <w:tcW w:w="2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920" w:type="dxa"/>
            <w:vAlign w:val="bottom"/>
          </w:tcPr>
          <w:p>
            <w:pPr>
              <w:ind w:left="660"/>
              <w:spacing w:after="0"/>
              <w:rPr>
                <w:sz w:val="20"/>
                <w:szCs w:val="20"/>
                <w:color w:val="auto"/>
              </w:rPr>
            </w:pPr>
            <w:r>
              <w:rPr>
                <w:rFonts w:ascii="Arial" w:cs="Arial" w:eastAsia="Arial" w:hAnsi="Arial"/>
                <w:sz w:val="18"/>
                <w:szCs w:val="18"/>
                <w:color w:val="auto"/>
              </w:rPr>
              <w:t>SECTION 3.14</w:t>
            </w:r>
          </w:p>
        </w:tc>
        <w:tc>
          <w:tcPr>
            <w:tcW w:w="860" w:type="dxa"/>
            <w:vAlign w:val="bottom"/>
            <w:gridSpan w:val="4"/>
          </w:tcPr>
          <w:p>
            <w:pPr>
              <w:ind w:left="40"/>
              <w:spacing w:after="0"/>
              <w:rPr>
                <w:sz w:val="20"/>
                <w:szCs w:val="20"/>
                <w:color w:val="auto"/>
              </w:rPr>
            </w:pPr>
            <w:r>
              <w:rPr>
                <w:rFonts w:ascii="Arial" w:cs="Arial" w:eastAsia="Arial" w:hAnsi="Arial"/>
                <w:sz w:val="18"/>
                <w:szCs w:val="18"/>
                <w:color w:val="auto"/>
              </w:rPr>
              <w:t>Solvency</w:t>
            </w: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121</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86"/>
              </w:rPr>
              <w:t>119</w:t>
            </w:r>
          </w:p>
        </w:tc>
        <w:tc>
          <w:tcPr>
            <w:tcW w:w="1640" w:type="dxa"/>
            <w:vAlign w:val="bottom"/>
            <w:gridSpan w:val="36"/>
          </w:tcPr>
          <w:p>
            <w:pPr>
              <w:spacing w:after="0"/>
              <w:rPr>
                <w:sz w:val="24"/>
                <w:szCs w:val="24"/>
                <w:color w:val="auto"/>
              </w:rPr>
            </w:pPr>
          </w:p>
        </w:tc>
        <w:tc>
          <w:tcPr>
            <w:tcW w:w="280" w:type="dxa"/>
            <w:vAlign w:val="bottom"/>
            <w:tcBorders>
              <w:top w:val="single" w:sz="8" w:color="0000FF"/>
            </w:tcBorders>
            <w:gridSpan w:val="6"/>
          </w:tcPr>
          <w:p>
            <w:pPr>
              <w:spacing w:after="0"/>
              <w:rPr>
                <w:sz w:val="24"/>
                <w:szCs w:val="24"/>
                <w:color w:val="auto"/>
              </w:rPr>
            </w:pPr>
          </w:p>
        </w:tc>
        <w:tc>
          <w:tcPr>
            <w:tcW w:w="920" w:type="dxa"/>
            <w:vAlign w:val="bottom"/>
            <w:gridSpan w:val="11"/>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3.15</w:t>
            </w:r>
          </w:p>
        </w:tc>
        <w:tc>
          <w:tcPr>
            <w:tcW w:w="2180" w:type="dxa"/>
            <w:vAlign w:val="bottom"/>
            <w:gridSpan w:val="30"/>
          </w:tcPr>
          <w:p>
            <w:pPr>
              <w:ind w:left="40"/>
              <w:spacing w:after="0"/>
              <w:rPr>
                <w:sz w:val="20"/>
                <w:szCs w:val="20"/>
                <w:color w:val="auto"/>
              </w:rPr>
            </w:pPr>
            <w:r>
              <w:rPr>
                <w:rFonts w:ascii="Arial" w:cs="Arial" w:eastAsia="Arial" w:hAnsi="Arial"/>
                <w:sz w:val="18"/>
                <w:szCs w:val="18"/>
                <w:color w:val="auto"/>
                <w:w w:val="90"/>
              </w:rPr>
              <w:t>Federal Reserve Regulations</w:t>
            </w:r>
          </w:p>
        </w:tc>
        <w:tc>
          <w:tcPr>
            <w:tcW w:w="360" w:type="dxa"/>
            <w:vAlign w:val="bottom"/>
            <w:gridSpan w:val="8"/>
          </w:tcPr>
          <w:p>
            <w:pPr>
              <w:jc w:val="right"/>
              <w:spacing w:after="0"/>
              <w:rPr>
                <w:sz w:val="20"/>
                <w:szCs w:val="20"/>
                <w:color w:val="auto"/>
              </w:rPr>
            </w:pPr>
            <w:r>
              <w:rPr>
                <w:rFonts w:ascii="Arial" w:cs="Arial" w:eastAsia="Arial" w:hAnsi="Arial"/>
                <w:sz w:val="18"/>
                <w:szCs w:val="18"/>
                <w:color w:val="FF0000"/>
                <w:strike w:val="1"/>
              </w:rPr>
              <w:t>121</w:t>
            </w:r>
          </w:p>
        </w:tc>
        <w:tc>
          <w:tcPr>
            <w:tcW w:w="2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79"/>
              </w:rPr>
              <w:t>119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3.16</w:t>
            </w:r>
          </w:p>
        </w:tc>
        <w:tc>
          <w:tcPr>
            <w:tcW w:w="1200" w:type="dxa"/>
            <w:vAlign w:val="bottom"/>
            <w:gridSpan w:val="12"/>
          </w:tcPr>
          <w:p>
            <w:pPr>
              <w:ind w:left="40"/>
              <w:spacing w:after="0"/>
              <w:rPr>
                <w:sz w:val="20"/>
                <w:szCs w:val="20"/>
                <w:color w:val="auto"/>
              </w:rPr>
            </w:pPr>
            <w:r>
              <w:rPr>
                <w:rFonts w:ascii="Arial" w:cs="Arial" w:eastAsia="Arial" w:hAnsi="Arial"/>
                <w:sz w:val="18"/>
                <w:szCs w:val="18"/>
                <w:color w:val="auto"/>
                <w:w w:val="85"/>
              </w:rPr>
              <w:t>Use of Proceeds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121</w:t>
            </w:r>
          </w:p>
        </w:tc>
        <w:tc>
          <w:tcPr>
            <w:tcW w:w="28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86"/>
              </w:rPr>
              <w:t>119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300" w:type="dxa"/>
            <w:vAlign w:val="bottom"/>
            <w:gridSpan w:val="34"/>
          </w:tcPr>
          <w:p>
            <w:pPr>
              <w:ind w:left="660"/>
              <w:spacing w:after="0"/>
              <w:rPr>
                <w:sz w:val="20"/>
                <w:szCs w:val="20"/>
                <w:color w:val="auto"/>
              </w:rPr>
            </w:pPr>
            <w:r>
              <w:rPr>
                <w:rFonts w:ascii="Arial" w:cs="Arial" w:eastAsia="Arial" w:hAnsi="Arial"/>
                <w:sz w:val="18"/>
                <w:szCs w:val="18"/>
                <w:color w:val="auto"/>
                <w:w w:val="98"/>
              </w:rPr>
              <w:t>SECTION 3.17  Patriot Act; OFAC and FCPA.</w:t>
            </w:r>
          </w:p>
        </w:tc>
        <w:tc>
          <w:tcPr>
            <w:tcW w:w="260" w:type="dxa"/>
            <w:vAlign w:val="bottom"/>
            <w:gridSpan w:val="7"/>
          </w:tcPr>
          <w:p>
            <w:pPr>
              <w:jc w:val="right"/>
              <w:spacing w:after="0"/>
              <w:rPr>
                <w:sz w:val="20"/>
                <w:szCs w:val="20"/>
                <w:color w:val="auto"/>
              </w:rPr>
            </w:pPr>
            <w:r>
              <w:rPr>
                <w:rFonts w:ascii="Arial" w:cs="Arial" w:eastAsia="Arial" w:hAnsi="Arial"/>
                <w:sz w:val="18"/>
                <w:szCs w:val="18"/>
                <w:color w:val="FF0000"/>
                <w:strike w:val="1"/>
                <w:w w:val="79"/>
              </w:rPr>
              <w:t>121</w:t>
            </w:r>
          </w:p>
        </w:tc>
        <w:tc>
          <w:tcPr>
            <w:tcW w:w="260" w:type="dxa"/>
            <w:vAlign w:val="bottom"/>
            <w:tcBorders>
              <w:bottom w:val="single" w:sz="8" w:color="0000FF"/>
            </w:tcBorders>
            <w:gridSpan w:val="9"/>
          </w:tcPr>
          <w:p>
            <w:pPr>
              <w:jc w:val="right"/>
              <w:spacing w:after="0"/>
              <w:rPr>
                <w:sz w:val="20"/>
                <w:szCs w:val="20"/>
                <w:color w:val="auto"/>
              </w:rPr>
            </w:pPr>
            <w:r>
              <w:rPr>
                <w:rFonts w:ascii="Arial" w:cs="Arial" w:eastAsia="Arial" w:hAnsi="Arial"/>
                <w:sz w:val="18"/>
                <w:szCs w:val="18"/>
                <w:color w:val="0000FF"/>
                <w:w w:val="79"/>
              </w:rPr>
              <w:t>119</w:t>
            </w:r>
          </w:p>
        </w:tc>
        <w:tc>
          <w:tcPr>
            <w:tcW w:w="20" w:type="dxa"/>
            <w:vAlign w:val="bottom"/>
            <w:tcBorders>
              <w:bottom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32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122</w:t>
            </w:r>
          </w:p>
        </w:tc>
        <w:tc>
          <w:tcPr>
            <w:tcW w:w="2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6"/>
              </w:rPr>
              <w:t>120</w:t>
            </w:r>
          </w:p>
        </w:tc>
        <w:tc>
          <w:tcPr>
            <w:tcW w:w="3320" w:type="dxa"/>
            <w:vAlign w:val="bottom"/>
            <w:gridSpan w:val="63"/>
          </w:tcPr>
          <w:p>
            <w:pPr>
              <w:spacing w:after="0"/>
              <w:rPr>
                <w:sz w:val="24"/>
                <w:szCs w:val="24"/>
                <w:color w:val="auto"/>
              </w:rPr>
            </w:pPr>
          </w:p>
        </w:tc>
      </w:tr>
      <w:tr>
        <w:trPr>
          <w:trHeight w:val="291"/>
        </w:trPr>
        <w:tc>
          <w:tcPr>
            <w:tcW w:w="1920" w:type="dxa"/>
            <w:vAlign w:val="bottom"/>
          </w:tcPr>
          <w:p>
            <w:pPr>
              <w:ind w:left="660"/>
              <w:spacing w:after="0"/>
              <w:rPr>
                <w:sz w:val="20"/>
                <w:szCs w:val="20"/>
                <w:color w:val="auto"/>
              </w:rPr>
            </w:pPr>
            <w:r>
              <w:rPr>
                <w:rFonts w:ascii="Arial" w:cs="Arial" w:eastAsia="Arial" w:hAnsi="Arial"/>
                <w:sz w:val="18"/>
                <w:szCs w:val="18"/>
                <w:color w:val="auto"/>
              </w:rPr>
              <w:t>SECTION 4.01</w:t>
            </w:r>
          </w:p>
        </w:tc>
        <w:tc>
          <w:tcPr>
            <w:tcW w:w="1200" w:type="dxa"/>
            <w:vAlign w:val="bottom"/>
            <w:gridSpan w:val="12"/>
          </w:tcPr>
          <w:p>
            <w:pPr>
              <w:ind w:left="40"/>
              <w:spacing w:after="0"/>
              <w:rPr>
                <w:sz w:val="20"/>
                <w:szCs w:val="20"/>
                <w:color w:val="auto"/>
              </w:rPr>
            </w:pPr>
            <w:r>
              <w:rPr>
                <w:rFonts w:ascii="Arial" w:cs="Arial" w:eastAsia="Arial" w:hAnsi="Arial"/>
                <w:sz w:val="18"/>
                <w:szCs w:val="18"/>
                <w:color w:val="auto"/>
              </w:rPr>
              <w:t>Effective Date</w:t>
            </w:r>
          </w:p>
        </w:tc>
        <w:tc>
          <w:tcPr>
            <w:tcW w:w="60" w:type="dxa"/>
            <w:vAlign w:val="bottom"/>
          </w:tcPr>
          <w:p>
            <w:pPr>
              <w:spacing w:after="0"/>
              <w:rPr>
                <w:sz w:val="24"/>
                <w:szCs w:val="24"/>
                <w:color w:val="auto"/>
              </w:rPr>
            </w:pPr>
          </w:p>
        </w:tc>
        <w:tc>
          <w:tcPr>
            <w:tcW w:w="26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122</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4.02</w:t>
            </w:r>
          </w:p>
        </w:tc>
        <w:tc>
          <w:tcPr>
            <w:tcW w:w="1520" w:type="dxa"/>
            <w:vAlign w:val="bottom"/>
            <w:gridSpan w:val="18"/>
          </w:tcPr>
          <w:p>
            <w:pPr>
              <w:ind w:left="40"/>
              <w:spacing w:after="0"/>
              <w:rPr>
                <w:sz w:val="20"/>
                <w:szCs w:val="20"/>
                <w:color w:val="auto"/>
              </w:rPr>
            </w:pPr>
            <w:r>
              <w:rPr>
                <w:rFonts w:ascii="Arial" w:cs="Arial" w:eastAsia="Arial" w:hAnsi="Arial"/>
                <w:sz w:val="18"/>
                <w:szCs w:val="18"/>
                <w:color w:val="auto"/>
              </w:rPr>
              <w:t>Each Credit Event</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123</w:t>
            </w:r>
          </w:p>
        </w:tc>
        <w:tc>
          <w:tcPr>
            <w:tcW w:w="28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86"/>
              </w:rPr>
              <w:t>121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440" w:type="dxa"/>
            <w:vAlign w:val="bottom"/>
            <w:gridSpan w:val="19"/>
          </w:tcPr>
          <w:p>
            <w:pPr>
              <w:spacing w:after="0"/>
              <w:rPr>
                <w:sz w:val="20"/>
                <w:szCs w:val="20"/>
                <w:color w:val="auto"/>
              </w:rPr>
            </w:pPr>
            <w:r>
              <w:rPr>
                <w:rFonts w:ascii="Arial" w:cs="Arial" w:eastAsia="Arial" w:hAnsi="Arial"/>
                <w:sz w:val="18"/>
                <w:szCs w:val="18"/>
                <w:color w:val="auto"/>
              </w:rPr>
              <w:t>ARTICLE V AFFIRMATIVE COVENANTS</w:t>
            </w:r>
          </w:p>
        </w:tc>
        <w:tc>
          <w:tcPr>
            <w:tcW w:w="300" w:type="dxa"/>
            <w:vAlign w:val="bottom"/>
            <w:gridSpan w:val="5"/>
          </w:tcPr>
          <w:p>
            <w:pPr>
              <w:jc w:val="right"/>
              <w:spacing w:after="0"/>
              <w:rPr>
                <w:sz w:val="20"/>
                <w:szCs w:val="20"/>
                <w:color w:val="auto"/>
              </w:rPr>
            </w:pPr>
            <w:r>
              <w:rPr>
                <w:rFonts w:ascii="Arial" w:cs="Arial" w:eastAsia="Arial" w:hAnsi="Arial"/>
                <w:sz w:val="18"/>
                <w:szCs w:val="18"/>
                <w:color w:val="FF0000"/>
                <w:strike w:val="1"/>
                <w:w w:val="93"/>
              </w:rPr>
              <w:t>124</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920" w:type="dxa"/>
            <w:vAlign w:val="bottom"/>
          </w:tcPr>
          <w:p>
            <w:pPr>
              <w:ind w:left="660"/>
              <w:spacing w:after="0"/>
              <w:rPr>
                <w:sz w:val="20"/>
                <w:szCs w:val="20"/>
                <w:color w:val="auto"/>
              </w:rPr>
            </w:pPr>
            <w:r>
              <w:rPr>
                <w:rFonts w:ascii="Arial" w:cs="Arial" w:eastAsia="Arial" w:hAnsi="Arial"/>
                <w:sz w:val="18"/>
                <w:szCs w:val="18"/>
                <w:color w:val="auto"/>
              </w:rPr>
              <w:t>SECTION 5.01</w:t>
            </w:r>
          </w:p>
        </w:tc>
        <w:tc>
          <w:tcPr>
            <w:tcW w:w="3380" w:type="dxa"/>
            <w:vAlign w:val="bottom"/>
            <w:gridSpan w:val="60"/>
          </w:tcPr>
          <w:p>
            <w:pPr>
              <w:ind w:left="40"/>
              <w:spacing w:after="0"/>
              <w:rPr>
                <w:sz w:val="20"/>
                <w:szCs w:val="20"/>
                <w:color w:val="auto"/>
              </w:rPr>
            </w:pPr>
            <w:r>
              <w:rPr>
                <w:rFonts w:ascii="Arial" w:cs="Arial" w:eastAsia="Arial" w:hAnsi="Arial"/>
                <w:sz w:val="18"/>
                <w:szCs w:val="18"/>
                <w:color w:val="auto"/>
                <w:w w:val="95"/>
              </w:rPr>
              <w:t>Financial Statements and Other Information</w:t>
            </w:r>
          </w:p>
        </w:tc>
        <w:tc>
          <w:tcPr>
            <w:tcW w:w="280" w:type="dxa"/>
            <w:vAlign w:val="bottom"/>
            <w:gridSpan w:val="4"/>
          </w:tcPr>
          <w:p>
            <w:pPr>
              <w:spacing w:after="0"/>
              <w:rPr>
                <w:sz w:val="20"/>
                <w:szCs w:val="20"/>
                <w:color w:val="auto"/>
              </w:rPr>
            </w:pPr>
            <w:r>
              <w:rPr>
                <w:rFonts w:ascii="Arial" w:cs="Arial" w:eastAsia="Arial" w:hAnsi="Arial"/>
                <w:sz w:val="18"/>
                <w:szCs w:val="18"/>
                <w:color w:val="FF0000"/>
                <w:strike w:val="1"/>
                <w:w w:val="86"/>
              </w:rPr>
              <w:t>124</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122</w:t>
            </w:r>
          </w:p>
        </w:tc>
        <w:tc>
          <w:tcPr>
            <w:tcW w:w="340" w:type="dxa"/>
            <w:vAlign w:val="bottom"/>
            <w:gridSpan w:val="4"/>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5.02</w:t>
            </w:r>
          </w:p>
        </w:tc>
        <w:tc>
          <w:tcPr>
            <w:tcW w:w="2080" w:type="dxa"/>
            <w:vAlign w:val="bottom"/>
            <w:gridSpan w:val="27"/>
          </w:tcPr>
          <w:p>
            <w:pPr>
              <w:ind w:left="40"/>
              <w:spacing w:after="0"/>
              <w:rPr>
                <w:sz w:val="20"/>
                <w:szCs w:val="20"/>
                <w:color w:val="auto"/>
              </w:rPr>
            </w:pPr>
            <w:r>
              <w:rPr>
                <w:rFonts w:ascii="Arial" w:cs="Arial" w:eastAsia="Arial" w:hAnsi="Arial"/>
                <w:sz w:val="18"/>
                <w:szCs w:val="18"/>
                <w:color w:val="auto"/>
                <w:w w:val="96"/>
              </w:rPr>
              <w:t>Notices of Material Events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127</w:t>
            </w:r>
          </w:p>
        </w:tc>
        <w:tc>
          <w:tcPr>
            <w:tcW w:w="26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79"/>
              </w:rPr>
              <w:t>125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5.03</w:t>
            </w:r>
          </w:p>
        </w:tc>
        <w:tc>
          <w:tcPr>
            <w:tcW w:w="2460" w:type="dxa"/>
            <w:vAlign w:val="bottom"/>
            <w:gridSpan w:val="36"/>
          </w:tcPr>
          <w:p>
            <w:pPr>
              <w:ind w:left="40"/>
              <w:spacing w:after="0"/>
              <w:rPr>
                <w:sz w:val="20"/>
                <w:szCs w:val="20"/>
                <w:color w:val="auto"/>
              </w:rPr>
            </w:pPr>
            <w:r>
              <w:rPr>
                <w:rFonts w:ascii="Arial" w:cs="Arial" w:eastAsia="Arial" w:hAnsi="Arial"/>
                <w:sz w:val="18"/>
                <w:szCs w:val="18"/>
                <w:color w:val="auto"/>
                <w:w w:val="92"/>
              </w:rPr>
              <w:t>Information Regarding Collateral</w:t>
            </w:r>
          </w:p>
        </w:tc>
        <w:tc>
          <w:tcPr>
            <w:tcW w:w="140" w:type="dxa"/>
            <w:vAlign w:val="bottom"/>
            <w:gridSpan w:val="3"/>
          </w:tcPr>
          <w:p>
            <w:pPr>
              <w:spacing w:after="0"/>
              <w:rPr>
                <w:sz w:val="24"/>
                <w:szCs w:val="24"/>
                <w:color w:val="auto"/>
              </w:rPr>
            </w:pPr>
          </w:p>
        </w:tc>
        <w:tc>
          <w:tcPr>
            <w:tcW w:w="300" w:type="dxa"/>
            <w:vAlign w:val="bottom"/>
            <w:gridSpan w:val="10"/>
          </w:tcPr>
          <w:p>
            <w:pPr>
              <w:jc w:val="right"/>
              <w:spacing w:after="0"/>
              <w:rPr>
                <w:sz w:val="20"/>
                <w:szCs w:val="20"/>
                <w:color w:val="auto"/>
              </w:rPr>
            </w:pPr>
            <w:r>
              <w:rPr>
                <w:rFonts w:ascii="Arial" w:cs="Arial" w:eastAsia="Arial" w:hAnsi="Arial"/>
                <w:sz w:val="18"/>
                <w:szCs w:val="18"/>
                <w:color w:val="FF0000"/>
                <w:strike w:val="1"/>
                <w:w w:val="93"/>
              </w:rPr>
              <w:t>127</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9"/>
              </w:rPr>
              <w:t>125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5.04</w:t>
            </w:r>
          </w:p>
        </w:tc>
        <w:tc>
          <w:tcPr>
            <w:tcW w:w="2460" w:type="dxa"/>
            <w:vAlign w:val="bottom"/>
            <w:gridSpan w:val="36"/>
          </w:tcPr>
          <w:p>
            <w:pPr>
              <w:ind w:left="40"/>
              <w:spacing w:after="0"/>
              <w:rPr>
                <w:sz w:val="20"/>
                <w:szCs w:val="20"/>
                <w:color w:val="auto"/>
              </w:rPr>
            </w:pPr>
            <w:r>
              <w:rPr>
                <w:rFonts w:ascii="Arial" w:cs="Arial" w:eastAsia="Arial" w:hAnsi="Arial"/>
                <w:sz w:val="18"/>
                <w:szCs w:val="18"/>
                <w:color w:val="auto"/>
                <w:w w:val="94"/>
              </w:rPr>
              <w:t>Existence; Conduct of Business</w:t>
            </w:r>
          </w:p>
        </w:tc>
        <w:tc>
          <w:tcPr>
            <w:tcW w:w="300" w:type="dxa"/>
            <w:vAlign w:val="bottom"/>
            <w:gridSpan w:val="8"/>
          </w:tcPr>
          <w:p>
            <w:pPr>
              <w:jc w:val="right"/>
              <w:spacing w:after="0"/>
              <w:rPr>
                <w:sz w:val="20"/>
                <w:szCs w:val="20"/>
                <w:color w:val="auto"/>
              </w:rPr>
            </w:pPr>
            <w:r>
              <w:rPr>
                <w:rFonts w:ascii="Arial" w:cs="Arial" w:eastAsia="Arial" w:hAnsi="Arial"/>
                <w:sz w:val="18"/>
                <w:szCs w:val="18"/>
                <w:color w:val="FF0000"/>
                <w:strike w:val="1"/>
                <w:w w:val="93"/>
              </w:rPr>
              <w:t>127</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86"/>
              </w:rPr>
              <w:t>125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920" w:type="dxa"/>
            <w:vAlign w:val="bottom"/>
          </w:tcPr>
          <w:p>
            <w:pPr>
              <w:ind w:left="660"/>
              <w:spacing w:after="0"/>
              <w:rPr>
                <w:sz w:val="20"/>
                <w:szCs w:val="20"/>
                <w:color w:val="auto"/>
              </w:rPr>
            </w:pPr>
            <w:r>
              <w:rPr>
                <w:rFonts w:ascii="Arial" w:cs="Arial" w:eastAsia="Arial" w:hAnsi="Arial"/>
                <w:sz w:val="18"/>
                <w:szCs w:val="18"/>
                <w:color w:val="auto"/>
              </w:rPr>
              <w:t>SECTION 5.05</w:t>
            </w:r>
          </w:p>
        </w:tc>
        <w:tc>
          <w:tcPr>
            <w:tcW w:w="1780" w:type="dxa"/>
            <w:vAlign w:val="bottom"/>
            <w:gridSpan w:val="21"/>
          </w:tcPr>
          <w:p>
            <w:pPr>
              <w:ind w:left="40"/>
              <w:spacing w:after="0"/>
              <w:rPr>
                <w:sz w:val="20"/>
                <w:szCs w:val="20"/>
                <w:color w:val="auto"/>
              </w:rPr>
            </w:pPr>
            <w:r>
              <w:rPr>
                <w:rFonts w:ascii="Arial" w:cs="Arial" w:eastAsia="Arial" w:hAnsi="Arial"/>
                <w:sz w:val="18"/>
                <w:szCs w:val="18"/>
                <w:color w:val="auto"/>
                <w:w w:val="93"/>
              </w:rPr>
              <w:t>Payment of Taxes, etc.</w:t>
            </w:r>
          </w:p>
        </w:tc>
        <w:tc>
          <w:tcPr>
            <w:tcW w:w="40" w:type="dxa"/>
            <w:vAlign w:val="bottom"/>
            <w:gridSpan w:val="2"/>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18"/>
                <w:szCs w:val="18"/>
                <w:color w:val="FF0000"/>
                <w:strike w:val="1"/>
                <w:w w:val="93"/>
              </w:rPr>
              <w:t>128</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96" w:right="439" w:bottom="1440" w:gutter="0" w:footer="0" w:header="0"/>
          <w:type w:val="continuous"/>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auto"/>
        </w:rPr>
        <w:t>TABLE OF CONTENTS</w:t>
      </w:r>
    </w:p>
    <w:p>
      <w:pPr>
        <w:jc w:val="center"/>
        <w:ind w:right="-119"/>
        <w:spacing w:after="0" w:line="219" w:lineRule="auto"/>
        <w:rPr>
          <w:sz w:val="20"/>
          <w:szCs w:val="20"/>
          <w:color w:val="auto"/>
        </w:rPr>
      </w:pPr>
      <w:r>
        <w:rPr>
          <w:rFonts w:ascii="Arial" w:cs="Arial" w:eastAsia="Arial" w:hAnsi="Arial"/>
          <w:sz w:val="18"/>
          <w:szCs w:val="18"/>
          <w:color w:val="auto"/>
        </w:rPr>
        <w:t>(continued)</w:t>
      </w: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5.06</w:t>
            </w:r>
          </w:p>
        </w:tc>
        <w:tc>
          <w:tcPr>
            <w:tcW w:w="2140" w:type="dxa"/>
            <w:vAlign w:val="bottom"/>
            <w:gridSpan w:val="21"/>
          </w:tcPr>
          <w:p>
            <w:pPr>
              <w:ind w:left="100"/>
              <w:spacing w:after="0"/>
              <w:rPr>
                <w:sz w:val="20"/>
                <w:szCs w:val="20"/>
                <w:color w:val="auto"/>
              </w:rPr>
            </w:pPr>
            <w:r>
              <w:rPr>
                <w:rFonts w:ascii="Arial" w:cs="Arial" w:eastAsia="Arial" w:hAnsi="Arial"/>
                <w:sz w:val="18"/>
                <w:szCs w:val="18"/>
                <w:color w:val="auto"/>
                <w:w w:val="96"/>
              </w:rPr>
              <w:t>Maintenance of Properties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128</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86"/>
              </w:rPr>
              <w:t>126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5.07</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Insurance</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128</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126</w:t>
            </w:r>
          </w:p>
        </w:tc>
        <w:tc>
          <w:tcPr>
            <w:tcW w:w="3640" w:type="dxa"/>
            <w:vAlign w:val="bottom"/>
            <w:gridSpan w:val="52"/>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5.08</w:t>
            </w:r>
          </w:p>
        </w:tc>
        <w:tc>
          <w:tcPr>
            <w:tcW w:w="3780" w:type="dxa"/>
            <w:vAlign w:val="bottom"/>
            <w:gridSpan w:val="49"/>
          </w:tcPr>
          <w:p>
            <w:pPr>
              <w:ind w:left="100"/>
              <w:spacing w:after="0"/>
              <w:rPr>
                <w:sz w:val="20"/>
                <w:szCs w:val="20"/>
                <w:color w:val="auto"/>
              </w:rPr>
            </w:pPr>
            <w:r>
              <w:rPr>
                <w:rFonts w:ascii="Arial" w:cs="Arial" w:eastAsia="Arial" w:hAnsi="Arial"/>
                <w:sz w:val="18"/>
                <w:szCs w:val="18"/>
                <w:color w:val="auto"/>
                <w:w w:val="94"/>
              </w:rPr>
              <w:t>Books and Records; Inspection and Audit Rights</w:t>
            </w:r>
          </w:p>
        </w:tc>
        <w:tc>
          <w:tcPr>
            <w:tcW w:w="280" w:type="dxa"/>
            <w:vAlign w:val="bottom"/>
            <w:gridSpan w:val="3"/>
          </w:tcPr>
          <w:p>
            <w:pPr>
              <w:jc w:val="right"/>
              <w:spacing w:after="0"/>
              <w:rPr>
                <w:sz w:val="20"/>
                <w:szCs w:val="20"/>
                <w:color w:val="auto"/>
              </w:rPr>
            </w:pPr>
            <w:r>
              <w:rPr>
                <w:rFonts w:ascii="Arial" w:cs="Arial" w:eastAsia="Arial" w:hAnsi="Arial"/>
                <w:sz w:val="18"/>
                <w:szCs w:val="18"/>
                <w:color w:val="FF0000"/>
                <w:strike w:val="1"/>
                <w:w w:val="86"/>
              </w:rPr>
              <w:t>128</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0000FF"/>
                <w:w w:val="79"/>
              </w:rPr>
              <w:t>126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5.09</w:t>
            </w:r>
          </w:p>
        </w:tc>
        <w:tc>
          <w:tcPr>
            <w:tcW w:w="1940" w:type="dxa"/>
            <w:vAlign w:val="bottom"/>
            <w:gridSpan w:val="19"/>
          </w:tcPr>
          <w:p>
            <w:pPr>
              <w:ind w:left="100"/>
              <w:spacing w:after="0"/>
              <w:rPr>
                <w:sz w:val="20"/>
                <w:szCs w:val="20"/>
                <w:color w:val="auto"/>
              </w:rPr>
            </w:pPr>
            <w:r>
              <w:rPr>
                <w:rFonts w:ascii="Arial" w:cs="Arial" w:eastAsia="Arial" w:hAnsi="Arial"/>
                <w:sz w:val="18"/>
                <w:szCs w:val="18"/>
                <w:color w:val="auto"/>
              </w:rPr>
              <w:t>Compliance with Laws</w:t>
            </w:r>
          </w:p>
        </w:tc>
        <w:tc>
          <w:tcPr>
            <w:tcW w:w="340" w:type="dxa"/>
            <w:vAlign w:val="bottom"/>
            <w:gridSpan w:val="5"/>
          </w:tcPr>
          <w:p>
            <w:pPr>
              <w:jc w:val="right"/>
              <w:spacing w:after="0"/>
              <w:rPr>
                <w:sz w:val="20"/>
                <w:szCs w:val="20"/>
                <w:color w:val="auto"/>
              </w:rPr>
            </w:pPr>
            <w:r>
              <w:rPr>
                <w:rFonts w:ascii="Arial" w:cs="Arial" w:eastAsia="Arial" w:hAnsi="Arial"/>
                <w:sz w:val="18"/>
                <w:szCs w:val="18"/>
                <w:color w:val="FF0000"/>
                <w:strike w:val="1"/>
                <w:w w:val="86"/>
              </w:rPr>
              <w:t>129</w:t>
            </w:r>
          </w:p>
        </w:tc>
        <w:tc>
          <w:tcPr>
            <w:tcW w:w="200" w:type="dxa"/>
            <w:vAlign w:val="bottom"/>
            <w:gridSpan w:val="3"/>
          </w:tcPr>
          <w:p>
            <w:pPr>
              <w:spacing w:after="0"/>
              <w:rPr>
                <w:sz w:val="20"/>
                <w:szCs w:val="20"/>
                <w:color w:val="auto"/>
              </w:rPr>
            </w:pPr>
            <w:r>
              <w:rPr>
                <w:rFonts w:ascii="Arial" w:cs="Arial" w:eastAsia="Arial" w:hAnsi="Arial"/>
                <w:sz w:val="15"/>
                <w:szCs w:val="15"/>
                <w:color w:val="0000FF"/>
                <w:w w:val="71"/>
              </w:rPr>
              <w:t>127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4140" w:type="dxa"/>
            <w:vAlign w:val="bottom"/>
            <w:tcBorders>
              <w:right w:val="single" w:sz="8" w:color="0000FF"/>
            </w:tcBorders>
            <w:gridSpan w:val="25"/>
          </w:tcPr>
          <w:p>
            <w:pPr>
              <w:spacing w:after="0" w:line="20" w:lineRule="exact"/>
              <w:rPr>
                <w:sz w:val="1"/>
                <w:szCs w:val="1"/>
                <w:color w:val="auto"/>
              </w:rPr>
            </w:pPr>
          </w:p>
        </w:tc>
        <w:tc>
          <w:tcPr>
            <w:tcW w:w="2880" w:type="dxa"/>
            <w:vAlign w:val="bottom"/>
            <w:gridSpan w:val="37"/>
            <w:shd w:val="clear" w:color="auto" w:fill="0000FF"/>
          </w:tcPr>
          <w:p>
            <w:pPr>
              <w:spacing w:after="0" w:line="20" w:lineRule="exact"/>
              <w:rPr>
                <w:sz w:val="1"/>
                <w:szCs w:val="1"/>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5.10</w:t>
            </w:r>
          </w:p>
        </w:tc>
        <w:tc>
          <w:tcPr>
            <w:tcW w:w="2970" w:type="dxa"/>
            <w:vAlign w:val="bottom"/>
            <w:gridSpan w:val="38"/>
          </w:tcPr>
          <w:p>
            <w:pPr>
              <w:ind w:left="100"/>
              <w:spacing w:after="0"/>
              <w:rPr>
                <w:sz w:val="20"/>
                <w:szCs w:val="20"/>
                <w:color w:val="auto"/>
              </w:rPr>
            </w:pPr>
            <w:r>
              <w:rPr>
                <w:rFonts w:ascii="Arial" w:cs="Arial" w:eastAsia="Arial" w:hAnsi="Arial"/>
                <w:sz w:val="18"/>
                <w:szCs w:val="18"/>
                <w:color w:val="auto"/>
                <w:w w:val="94"/>
              </w:rPr>
              <w:t>Use of Proceeds and Letters of Credit</w:t>
            </w:r>
          </w:p>
        </w:tc>
        <w:tc>
          <w:tcPr>
            <w:tcW w:w="29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129</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5.11</w:t>
            </w:r>
          </w:p>
        </w:tc>
        <w:tc>
          <w:tcPr>
            <w:tcW w:w="1940" w:type="dxa"/>
            <w:vAlign w:val="bottom"/>
            <w:gridSpan w:val="19"/>
          </w:tcPr>
          <w:p>
            <w:pPr>
              <w:ind w:left="80"/>
              <w:spacing w:after="0"/>
              <w:rPr>
                <w:sz w:val="20"/>
                <w:szCs w:val="20"/>
                <w:color w:val="auto"/>
              </w:rPr>
            </w:pPr>
            <w:r>
              <w:rPr>
                <w:rFonts w:ascii="Arial" w:cs="Arial" w:eastAsia="Arial" w:hAnsi="Arial"/>
                <w:sz w:val="18"/>
                <w:szCs w:val="18"/>
                <w:color w:val="auto"/>
              </w:rPr>
              <w:t>Additional Subsidiaries</w:t>
            </w:r>
          </w:p>
        </w:tc>
        <w:tc>
          <w:tcPr>
            <w:tcW w:w="340" w:type="dxa"/>
            <w:vAlign w:val="bottom"/>
            <w:gridSpan w:val="5"/>
          </w:tcPr>
          <w:p>
            <w:pPr>
              <w:jc w:val="right"/>
              <w:spacing w:after="0"/>
              <w:rPr>
                <w:sz w:val="20"/>
                <w:szCs w:val="20"/>
                <w:color w:val="auto"/>
              </w:rPr>
            </w:pPr>
            <w:r>
              <w:rPr>
                <w:rFonts w:ascii="Arial" w:cs="Arial" w:eastAsia="Arial" w:hAnsi="Arial"/>
                <w:sz w:val="18"/>
                <w:szCs w:val="18"/>
                <w:color w:val="FF0000"/>
                <w:strike w:val="1"/>
                <w:w w:val="93"/>
              </w:rPr>
              <w:t>129</w:t>
            </w:r>
          </w:p>
        </w:tc>
        <w:tc>
          <w:tcPr>
            <w:tcW w:w="240" w:type="dxa"/>
            <w:vAlign w:val="bottom"/>
            <w:tcBorders>
              <w:bottom w:val="single" w:sz="8" w:color="0000FF"/>
            </w:tcBorders>
            <w:gridSpan w:val="5"/>
          </w:tcPr>
          <w:p>
            <w:pPr>
              <w:jc w:val="right"/>
              <w:ind w:right="20"/>
              <w:spacing w:after="0"/>
              <w:rPr>
                <w:sz w:val="20"/>
                <w:szCs w:val="20"/>
                <w:color w:val="auto"/>
              </w:rPr>
            </w:pPr>
            <w:r>
              <w:rPr>
                <w:rFonts w:ascii="Arial" w:cs="Arial" w:eastAsia="Arial" w:hAnsi="Arial"/>
                <w:sz w:val="17"/>
                <w:szCs w:val="17"/>
                <w:color w:val="0000FF"/>
                <w:w w:val="70"/>
              </w:rPr>
              <w:t>127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5.12</w:t>
            </w:r>
          </w:p>
        </w:tc>
        <w:tc>
          <w:tcPr>
            <w:tcW w:w="1520" w:type="dxa"/>
            <w:vAlign w:val="bottom"/>
            <w:gridSpan w:val="9"/>
          </w:tcPr>
          <w:p>
            <w:pPr>
              <w:ind w:left="100"/>
              <w:spacing w:after="0"/>
              <w:rPr>
                <w:sz w:val="20"/>
                <w:szCs w:val="20"/>
                <w:color w:val="auto"/>
              </w:rPr>
            </w:pPr>
            <w:r>
              <w:rPr>
                <w:rFonts w:ascii="Arial" w:cs="Arial" w:eastAsia="Arial" w:hAnsi="Arial"/>
                <w:sz w:val="18"/>
                <w:szCs w:val="18"/>
                <w:color w:val="auto"/>
                <w:w w:val="89"/>
              </w:rPr>
              <w:t>Further Assurances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18"/>
                <w:szCs w:val="18"/>
                <w:color w:val="FF0000"/>
                <w:strike w:val="1"/>
                <w:w w:val="86"/>
              </w:rPr>
              <w:t>130</w:t>
            </w:r>
          </w:p>
        </w:tc>
        <w:tc>
          <w:tcPr>
            <w:tcW w:w="36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86"/>
              </w:rPr>
              <w:t>128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5.13</w:t>
            </w:r>
          </w:p>
        </w:tc>
        <w:tc>
          <w:tcPr>
            <w:tcW w:w="2140" w:type="dxa"/>
            <w:vAlign w:val="bottom"/>
            <w:gridSpan w:val="21"/>
          </w:tcPr>
          <w:p>
            <w:pPr>
              <w:ind w:left="100"/>
              <w:spacing w:after="0"/>
              <w:rPr>
                <w:sz w:val="20"/>
                <w:szCs w:val="20"/>
                <w:color w:val="auto"/>
              </w:rPr>
            </w:pPr>
            <w:r>
              <w:rPr>
                <w:rFonts w:ascii="Arial" w:cs="Arial" w:eastAsia="Arial" w:hAnsi="Arial"/>
                <w:sz w:val="18"/>
                <w:szCs w:val="18"/>
                <w:color w:val="auto"/>
                <w:w w:val="92"/>
              </w:rPr>
              <w:t>Designation of Subsidiaries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130</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5.14</w:t>
            </w:r>
          </w:p>
        </w:tc>
        <w:tc>
          <w:tcPr>
            <w:tcW w:w="2560" w:type="dxa"/>
            <w:vAlign w:val="bottom"/>
            <w:gridSpan w:val="31"/>
          </w:tcPr>
          <w:p>
            <w:pPr>
              <w:ind w:left="100"/>
              <w:spacing w:after="0"/>
              <w:rPr>
                <w:sz w:val="20"/>
                <w:szCs w:val="20"/>
                <w:color w:val="auto"/>
              </w:rPr>
            </w:pPr>
            <w:r>
              <w:rPr>
                <w:rFonts w:ascii="Arial" w:cs="Arial" w:eastAsia="Arial" w:hAnsi="Arial"/>
                <w:sz w:val="18"/>
                <w:szCs w:val="18"/>
                <w:color w:val="auto"/>
                <w:w w:val="93"/>
              </w:rPr>
              <w:t>Certain Post-Closing Obligations</w:t>
            </w:r>
          </w:p>
        </w:tc>
        <w:tc>
          <w:tcPr>
            <w:tcW w:w="380" w:type="dxa"/>
            <w:vAlign w:val="bottom"/>
            <w:gridSpan w:val="6"/>
          </w:tcPr>
          <w:p>
            <w:pPr>
              <w:jc w:val="right"/>
              <w:spacing w:after="0"/>
              <w:rPr>
                <w:sz w:val="20"/>
                <w:szCs w:val="20"/>
                <w:color w:val="auto"/>
              </w:rPr>
            </w:pPr>
            <w:r>
              <w:rPr>
                <w:rFonts w:ascii="Arial" w:cs="Arial" w:eastAsia="Arial" w:hAnsi="Arial"/>
                <w:sz w:val="18"/>
                <w:szCs w:val="18"/>
                <w:color w:val="FF0000"/>
                <w:strike w:val="1"/>
              </w:rPr>
              <w:t>130</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5.15</w:t>
            </w:r>
          </w:p>
        </w:tc>
        <w:tc>
          <w:tcPr>
            <w:tcW w:w="4120" w:type="dxa"/>
            <w:vAlign w:val="bottom"/>
            <w:gridSpan w:val="53"/>
          </w:tcPr>
          <w:p>
            <w:pPr>
              <w:ind w:left="100"/>
              <w:spacing w:after="0"/>
              <w:rPr>
                <w:sz w:val="20"/>
                <w:szCs w:val="20"/>
                <w:color w:val="auto"/>
              </w:rPr>
            </w:pPr>
            <w:r>
              <w:rPr>
                <w:rFonts w:ascii="Arial" w:cs="Arial" w:eastAsia="Arial" w:hAnsi="Arial"/>
                <w:sz w:val="18"/>
                <w:szCs w:val="18"/>
                <w:color w:val="auto"/>
                <w:w w:val="95"/>
              </w:rPr>
              <w:t>Maintenance of Rating of Borrower and the Facilities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131</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129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3460" w:type="dxa"/>
            <w:vAlign w:val="bottom"/>
            <w:gridSpan w:val="11"/>
          </w:tcPr>
          <w:p>
            <w:pPr>
              <w:ind w:left="660"/>
              <w:spacing w:after="0"/>
              <w:rPr>
                <w:sz w:val="20"/>
                <w:szCs w:val="20"/>
                <w:color w:val="auto"/>
              </w:rPr>
            </w:pPr>
            <w:r>
              <w:rPr>
                <w:rFonts w:ascii="Arial" w:cs="Arial" w:eastAsia="Arial" w:hAnsi="Arial"/>
                <w:sz w:val="18"/>
                <w:szCs w:val="18"/>
                <w:color w:val="auto"/>
              </w:rPr>
              <w:t>SECTION 5.16  Lines of Business.</w:t>
            </w:r>
          </w:p>
        </w:tc>
        <w:tc>
          <w:tcPr>
            <w:tcW w:w="260" w:type="dxa"/>
            <w:vAlign w:val="bottom"/>
            <w:gridSpan w:val="5"/>
          </w:tcPr>
          <w:p>
            <w:pPr>
              <w:jc w:val="right"/>
              <w:spacing w:after="0"/>
              <w:rPr>
                <w:sz w:val="20"/>
                <w:szCs w:val="20"/>
                <w:color w:val="auto"/>
              </w:rPr>
            </w:pPr>
            <w:r>
              <w:rPr>
                <w:rFonts w:ascii="Arial" w:cs="Arial" w:eastAsia="Arial" w:hAnsi="Arial"/>
                <w:sz w:val="18"/>
                <w:szCs w:val="18"/>
                <w:color w:val="FF0000"/>
                <w:strike w:val="1"/>
                <w:w w:val="79"/>
              </w:rPr>
              <w:t>131</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86"/>
              </w:rPr>
              <w:t>129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3080" w:type="dxa"/>
            <w:vAlign w:val="bottom"/>
            <w:gridSpan w:val="5"/>
          </w:tcPr>
          <w:p>
            <w:pPr>
              <w:spacing w:after="0"/>
              <w:rPr>
                <w:sz w:val="20"/>
                <w:szCs w:val="20"/>
                <w:color w:val="auto"/>
              </w:rPr>
            </w:pPr>
            <w:r>
              <w:rPr>
                <w:rFonts w:ascii="Arial" w:cs="Arial" w:eastAsia="Arial" w:hAnsi="Arial"/>
                <w:sz w:val="18"/>
                <w:szCs w:val="18"/>
                <w:color w:val="auto"/>
                <w:w w:val="98"/>
              </w:rPr>
              <w:t>ARTICLE VI NEGATIVE COVENANTS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131</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86"/>
              </w:rPr>
              <w:t>129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6.01</w:t>
            </w:r>
          </w:p>
        </w:tc>
        <w:tc>
          <w:tcPr>
            <w:tcW w:w="2970" w:type="dxa"/>
            <w:vAlign w:val="bottom"/>
            <w:gridSpan w:val="38"/>
          </w:tcPr>
          <w:p>
            <w:pPr>
              <w:ind w:left="100"/>
              <w:spacing w:after="0"/>
              <w:rPr>
                <w:sz w:val="20"/>
                <w:szCs w:val="20"/>
                <w:color w:val="auto"/>
              </w:rPr>
            </w:pPr>
            <w:r>
              <w:rPr>
                <w:rFonts w:ascii="Arial" w:cs="Arial" w:eastAsia="Arial" w:hAnsi="Arial"/>
                <w:sz w:val="18"/>
                <w:szCs w:val="18"/>
                <w:color w:val="auto"/>
                <w:w w:val="90"/>
              </w:rPr>
              <w:t>Indebtedness; Certain Equity Securities</w:t>
            </w:r>
          </w:p>
        </w:tc>
        <w:tc>
          <w:tcPr>
            <w:tcW w:w="410" w:type="dxa"/>
            <w:vAlign w:val="bottom"/>
            <w:gridSpan w:val="6"/>
          </w:tcPr>
          <w:p>
            <w:pPr>
              <w:jc w:val="right"/>
              <w:spacing w:after="0"/>
              <w:rPr>
                <w:sz w:val="20"/>
                <w:szCs w:val="20"/>
                <w:color w:val="auto"/>
              </w:rPr>
            </w:pPr>
            <w:r>
              <w:rPr>
                <w:rFonts w:ascii="Arial" w:cs="Arial" w:eastAsia="Arial" w:hAnsi="Arial"/>
                <w:sz w:val="18"/>
                <w:szCs w:val="18"/>
                <w:color w:val="FF0000"/>
                <w:strike w:val="1"/>
              </w:rPr>
              <w:t>131</w:t>
            </w: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6"/>
              </w:rPr>
              <w:t>129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6.02</w:t>
            </w:r>
          </w:p>
        </w:tc>
        <w:tc>
          <w:tcPr>
            <w:tcW w:w="680" w:type="dxa"/>
            <w:vAlign w:val="bottom"/>
          </w:tcPr>
          <w:p>
            <w:pPr>
              <w:ind w:left="100"/>
              <w:spacing w:after="0"/>
              <w:rPr>
                <w:sz w:val="20"/>
                <w:szCs w:val="20"/>
                <w:color w:val="auto"/>
              </w:rPr>
            </w:pPr>
            <w:r>
              <w:rPr>
                <w:rFonts w:ascii="Arial" w:cs="Arial" w:eastAsia="Arial" w:hAnsi="Arial"/>
                <w:sz w:val="18"/>
                <w:szCs w:val="18"/>
                <w:color w:val="auto"/>
              </w:rPr>
              <w:t>Liens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137</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136</w:t>
            </w:r>
          </w:p>
        </w:tc>
        <w:tc>
          <w:tcPr>
            <w:tcW w:w="3940" w:type="dxa"/>
            <w:vAlign w:val="bottom"/>
            <w:gridSpan w:val="57"/>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6.03</w:t>
            </w:r>
          </w:p>
        </w:tc>
        <w:tc>
          <w:tcPr>
            <w:tcW w:w="3360" w:type="dxa"/>
            <w:vAlign w:val="bottom"/>
            <w:gridSpan w:val="43"/>
          </w:tcPr>
          <w:p>
            <w:pPr>
              <w:ind w:left="100"/>
              <w:spacing w:after="0"/>
              <w:rPr>
                <w:sz w:val="20"/>
                <w:szCs w:val="20"/>
                <w:color w:val="auto"/>
              </w:rPr>
            </w:pPr>
            <w:r>
              <w:rPr>
                <w:rFonts w:ascii="Arial" w:cs="Arial" w:eastAsia="Arial" w:hAnsi="Arial"/>
                <w:sz w:val="18"/>
                <w:szCs w:val="18"/>
                <w:color w:val="auto"/>
                <w:w w:val="94"/>
              </w:rPr>
              <w:t>Fundamental Changes; Holdings Covenant</w:t>
            </w:r>
          </w:p>
        </w:tc>
        <w:tc>
          <w:tcPr>
            <w:tcW w:w="280" w:type="dxa"/>
            <w:vAlign w:val="bottom"/>
            <w:gridSpan w:val="3"/>
          </w:tcPr>
          <w:p>
            <w:pPr>
              <w:jc w:val="right"/>
              <w:spacing w:after="0"/>
              <w:rPr>
                <w:sz w:val="20"/>
                <w:szCs w:val="20"/>
                <w:color w:val="auto"/>
              </w:rPr>
            </w:pPr>
            <w:r>
              <w:rPr>
                <w:rFonts w:ascii="Arial" w:cs="Arial" w:eastAsia="Arial" w:hAnsi="Arial"/>
                <w:sz w:val="18"/>
                <w:szCs w:val="18"/>
                <w:color w:val="FF0000"/>
                <w:strike w:val="1"/>
                <w:w w:val="86"/>
              </w:rPr>
              <w:t>140</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138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6.04</w:t>
            </w:r>
          </w:p>
        </w:tc>
        <w:tc>
          <w:tcPr>
            <w:tcW w:w="4620" w:type="dxa"/>
            <w:vAlign w:val="bottom"/>
            <w:gridSpan w:val="57"/>
          </w:tcPr>
          <w:p>
            <w:pPr>
              <w:ind w:left="100"/>
              <w:spacing w:after="0"/>
              <w:rPr>
                <w:sz w:val="20"/>
                <w:szCs w:val="20"/>
                <w:color w:val="auto"/>
              </w:rPr>
            </w:pPr>
            <w:r>
              <w:rPr>
                <w:rFonts w:ascii="Arial" w:cs="Arial" w:eastAsia="Arial" w:hAnsi="Arial"/>
                <w:sz w:val="18"/>
                <w:szCs w:val="18"/>
                <w:color w:val="auto"/>
                <w:w w:val="92"/>
              </w:rPr>
              <w:t>Investments, Loans, Advances, Guarantees and Acquisitions</w:t>
            </w:r>
          </w:p>
        </w:tc>
        <w:tc>
          <w:tcPr>
            <w:tcW w:w="26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142</w:t>
            </w:r>
          </w:p>
        </w:tc>
        <w:tc>
          <w:tcPr>
            <w:tcW w:w="2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6"/>
              </w:rPr>
              <w:t>140</w:t>
            </w: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6.05</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w w:val="90"/>
              </w:rPr>
              <w:t>Asset Sales</w:t>
            </w:r>
          </w:p>
        </w:tc>
        <w:tc>
          <w:tcPr>
            <w:tcW w:w="380" w:type="dxa"/>
            <w:vAlign w:val="bottom"/>
            <w:gridSpan w:val="4"/>
          </w:tcPr>
          <w:p>
            <w:pPr>
              <w:jc w:val="right"/>
              <w:spacing w:after="0"/>
              <w:rPr>
                <w:sz w:val="20"/>
                <w:szCs w:val="20"/>
                <w:color w:val="auto"/>
              </w:rPr>
            </w:pPr>
            <w:r>
              <w:rPr>
                <w:rFonts w:ascii="Arial" w:cs="Arial" w:eastAsia="Arial" w:hAnsi="Arial"/>
                <w:sz w:val="18"/>
                <w:szCs w:val="18"/>
                <w:color w:val="FF0000"/>
                <w:strike w:val="1"/>
              </w:rPr>
              <w:t>144</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6.06</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w w:val="98"/>
              </w:rPr>
              <w:t>[Reserved]</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146</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144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6.07</w:t>
            </w:r>
          </w:p>
        </w:tc>
        <w:tc>
          <w:tcPr>
            <w:tcW w:w="4120" w:type="dxa"/>
            <w:vAlign w:val="bottom"/>
            <w:gridSpan w:val="53"/>
          </w:tcPr>
          <w:p>
            <w:pPr>
              <w:ind w:left="100"/>
              <w:spacing w:after="0"/>
              <w:rPr>
                <w:sz w:val="20"/>
                <w:szCs w:val="20"/>
                <w:color w:val="auto"/>
              </w:rPr>
            </w:pPr>
            <w:r>
              <w:rPr>
                <w:rFonts w:ascii="Arial" w:cs="Arial" w:eastAsia="Arial" w:hAnsi="Arial"/>
                <w:sz w:val="18"/>
                <w:szCs w:val="18"/>
                <w:color w:val="auto"/>
                <w:w w:val="88"/>
              </w:rPr>
              <w:t>Restricted Payments; Certain Payments of Indebtedness</w:t>
            </w:r>
          </w:p>
        </w:tc>
        <w:tc>
          <w:tcPr>
            <w:tcW w:w="440" w:type="dxa"/>
            <w:vAlign w:val="bottom"/>
            <w:gridSpan w:val="3"/>
          </w:tcPr>
          <w:p>
            <w:pPr>
              <w:jc w:val="right"/>
              <w:spacing w:after="0"/>
              <w:rPr>
                <w:sz w:val="20"/>
                <w:szCs w:val="20"/>
                <w:color w:val="auto"/>
              </w:rPr>
            </w:pPr>
            <w:r>
              <w:rPr>
                <w:rFonts w:ascii="Arial" w:cs="Arial" w:eastAsia="Arial" w:hAnsi="Arial"/>
                <w:sz w:val="18"/>
                <w:szCs w:val="18"/>
                <w:color w:val="FF0000"/>
                <w:strike w:val="1"/>
              </w:rPr>
              <w:t>146</w:t>
            </w: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6"/>
              </w:rPr>
              <w:t>144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6.08</w:t>
            </w:r>
          </w:p>
        </w:tc>
        <w:tc>
          <w:tcPr>
            <w:tcW w:w="2140" w:type="dxa"/>
            <w:vAlign w:val="bottom"/>
            <w:gridSpan w:val="21"/>
          </w:tcPr>
          <w:p>
            <w:pPr>
              <w:ind w:left="100"/>
              <w:spacing w:after="0"/>
              <w:rPr>
                <w:sz w:val="20"/>
                <w:szCs w:val="20"/>
                <w:color w:val="auto"/>
              </w:rPr>
            </w:pPr>
            <w:r>
              <w:rPr>
                <w:rFonts w:ascii="Arial" w:cs="Arial" w:eastAsia="Arial" w:hAnsi="Arial"/>
                <w:sz w:val="18"/>
                <w:szCs w:val="18"/>
                <w:color w:val="auto"/>
                <w:w w:val="94"/>
              </w:rPr>
              <w:t>Transactions with Affiliates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150</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148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6.09</w:t>
            </w:r>
          </w:p>
        </w:tc>
        <w:tc>
          <w:tcPr>
            <w:tcW w:w="1940" w:type="dxa"/>
            <w:vAlign w:val="bottom"/>
            <w:gridSpan w:val="19"/>
          </w:tcPr>
          <w:p>
            <w:pPr>
              <w:ind w:left="100"/>
              <w:spacing w:after="0"/>
              <w:rPr>
                <w:sz w:val="20"/>
                <w:szCs w:val="20"/>
                <w:color w:val="auto"/>
              </w:rPr>
            </w:pPr>
            <w:r>
              <w:rPr>
                <w:rFonts w:ascii="Arial" w:cs="Arial" w:eastAsia="Arial" w:hAnsi="Arial"/>
                <w:sz w:val="18"/>
                <w:szCs w:val="18"/>
                <w:color w:val="auto"/>
                <w:w w:val="97"/>
              </w:rPr>
              <w:t>Restrictive Agreements</w:t>
            </w:r>
          </w:p>
        </w:tc>
        <w:tc>
          <w:tcPr>
            <w:tcW w:w="340" w:type="dxa"/>
            <w:vAlign w:val="bottom"/>
            <w:gridSpan w:val="5"/>
          </w:tcPr>
          <w:p>
            <w:pPr>
              <w:jc w:val="right"/>
              <w:spacing w:after="0"/>
              <w:rPr>
                <w:sz w:val="20"/>
                <w:szCs w:val="20"/>
                <w:color w:val="auto"/>
              </w:rPr>
            </w:pPr>
            <w:r>
              <w:rPr>
                <w:rFonts w:ascii="Arial" w:cs="Arial" w:eastAsia="Arial" w:hAnsi="Arial"/>
                <w:sz w:val="18"/>
                <w:szCs w:val="18"/>
                <w:color w:val="FF0000"/>
                <w:strike w:val="1"/>
                <w:w w:val="86"/>
              </w:rPr>
              <w:t>151</w:t>
            </w:r>
          </w:p>
        </w:tc>
        <w:tc>
          <w:tcPr>
            <w:tcW w:w="2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70"/>
              </w:rPr>
              <w:t>149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6.10</w:t>
            </w:r>
          </w:p>
        </w:tc>
        <w:tc>
          <w:tcPr>
            <w:tcW w:w="2560" w:type="dxa"/>
            <w:vAlign w:val="bottom"/>
            <w:gridSpan w:val="31"/>
          </w:tcPr>
          <w:p>
            <w:pPr>
              <w:ind w:left="100"/>
              <w:spacing w:after="0"/>
              <w:rPr>
                <w:sz w:val="20"/>
                <w:szCs w:val="20"/>
                <w:color w:val="auto"/>
              </w:rPr>
            </w:pPr>
            <w:r>
              <w:rPr>
                <w:rFonts w:ascii="Arial" w:cs="Arial" w:eastAsia="Arial" w:hAnsi="Arial"/>
                <w:sz w:val="18"/>
                <w:szCs w:val="18"/>
                <w:color w:val="auto"/>
                <w:w w:val="96"/>
              </w:rPr>
              <w:t>Amendment of Junior Financing</w:t>
            </w:r>
          </w:p>
        </w:tc>
        <w:tc>
          <w:tcPr>
            <w:tcW w:w="320" w:type="dxa"/>
            <w:vAlign w:val="bottom"/>
            <w:gridSpan w:val="4"/>
          </w:tcPr>
          <w:p>
            <w:pPr>
              <w:jc w:val="right"/>
              <w:spacing w:after="0"/>
              <w:rPr>
                <w:sz w:val="20"/>
                <w:szCs w:val="20"/>
                <w:color w:val="auto"/>
              </w:rPr>
            </w:pPr>
            <w:r>
              <w:rPr>
                <w:rFonts w:ascii="Arial" w:cs="Arial" w:eastAsia="Arial" w:hAnsi="Arial"/>
                <w:sz w:val="18"/>
                <w:szCs w:val="18"/>
                <w:color w:val="FF0000"/>
                <w:strike w:val="1"/>
                <w:w w:val="99"/>
              </w:rPr>
              <w:t>152</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6.11</w:t>
            </w:r>
          </w:p>
        </w:tc>
        <w:tc>
          <w:tcPr>
            <w:tcW w:w="2560" w:type="dxa"/>
            <w:vAlign w:val="bottom"/>
            <w:gridSpan w:val="31"/>
          </w:tcPr>
          <w:p>
            <w:pPr>
              <w:ind w:left="80"/>
              <w:spacing w:after="0"/>
              <w:rPr>
                <w:sz w:val="20"/>
                <w:szCs w:val="20"/>
                <w:color w:val="auto"/>
              </w:rPr>
            </w:pPr>
            <w:r>
              <w:rPr>
                <w:rFonts w:ascii="Arial" w:cs="Arial" w:eastAsia="Arial" w:hAnsi="Arial"/>
                <w:sz w:val="18"/>
                <w:szCs w:val="18"/>
                <w:color w:val="auto"/>
                <w:w w:val="93"/>
              </w:rPr>
              <w:t>Financial Performance Covenant</w:t>
            </w:r>
          </w:p>
        </w:tc>
        <w:tc>
          <w:tcPr>
            <w:tcW w:w="340" w:type="dxa"/>
            <w:vAlign w:val="bottom"/>
            <w:gridSpan w:val="5"/>
          </w:tcPr>
          <w:p>
            <w:pPr>
              <w:jc w:val="right"/>
              <w:spacing w:after="0"/>
              <w:rPr>
                <w:sz w:val="20"/>
                <w:szCs w:val="20"/>
                <w:color w:val="auto"/>
              </w:rPr>
            </w:pPr>
            <w:r>
              <w:rPr>
                <w:rFonts w:ascii="Arial" w:cs="Arial" w:eastAsia="Arial" w:hAnsi="Arial"/>
                <w:sz w:val="18"/>
                <w:szCs w:val="18"/>
                <w:color w:val="FF0000"/>
                <w:strike w:val="1"/>
              </w:rPr>
              <w:t>152</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150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6.12</w:t>
            </w:r>
          </w:p>
        </w:tc>
        <w:tc>
          <w:tcPr>
            <w:tcW w:w="2140" w:type="dxa"/>
            <w:vAlign w:val="bottom"/>
            <w:gridSpan w:val="21"/>
          </w:tcPr>
          <w:p>
            <w:pPr>
              <w:ind w:left="100"/>
              <w:spacing w:after="0"/>
              <w:rPr>
                <w:sz w:val="20"/>
                <w:szCs w:val="20"/>
                <w:color w:val="auto"/>
              </w:rPr>
            </w:pPr>
            <w:r>
              <w:rPr>
                <w:rFonts w:ascii="Arial" w:cs="Arial" w:eastAsia="Arial" w:hAnsi="Arial"/>
                <w:sz w:val="18"/>
                <w:szCs w:val="18"/>
                <w:color w:val="auto"/>
                <w:w w:val="96"/>
              </w:rPr>
              <w:t>Changes in Fiscal Periods</w:t>
            </w:r>
          </w:p>
        </w:tc>
        <w:tc>
          <w:tcPr>
            <w:tcW w:w="26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152</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86"/>
              </w:rPr>
              <w:t>150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3080" w:type="dxa"/>
            <w:vAlign w:val="bottom"/>
            <w:gridSpan w:val="5"/>
          </w:tcPr>
          <w:p>
            <w:pPr>
              <w:spacing w:after="0"/>
              <w:rPr>
                <w:sz w:val="20"/>
                <w:szCs w:val="20"/>
                <w:color w:val="auto"/>
              </w:rPr>
            </w:pPr>
            <w:r>
              <w:rPr>
                <w:rFonts w:ascii="Arial" w:cs="Arial" w:eastAsia="Arial" w:hAnsi="Arial"/>
                <w:sz w:val="18"/>
                <w:szCs w:val="18"/>
                <w:color w:val="auto"/>
              </w:rPr>
              <w:t>ARTICLE VII EVENTS OF DEFAULT</w:t>
            </w:r>
          </w:p>
        </w:tc>
        <w:tc>
          <w:tcPr>
            <w:tcW w:w="26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152</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151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7.01</w:t>
            </w:r>
          </w:p>
        </w:tc>
        <w:tc>
          <w:tcPr>
            <w:tcW w:w="1520" w:type="dxa"/>
            <w:vAlign w:val="bottom"/>
            <w:gridSpan w:val="9"/>
          </w:tcPr>
          <w:p>
            <w:pPr>
              <w:ind w:left="100"/>
              <w:spacing w:after="0"/>
              <w:rPr>
                <w:sz w:val="20"/>
                <w:szCs w:val="20"/>
                <w:color w:val="auto"/>
              </w:rPr>
            </w:pPr>
            <w:r>
              <w:rPr>
                <w:rFonts w:ascii="Arial" w:cs="Arial" w:eastAsia="Arial" w:hAnsi="Arial"/>
                <w:sz w:val="18"/>
                <w:szCs w:val="18"/>
                <w:color w:val="auto"/>
              </w:rPr>
              <w:t>Events of Default</w:t>
            </w:r>
          </w:p>
        </w:tc>
        <w:tc>
          <w:tcPr>
            <w:tcW w:w="300" w:type="dxa"/>
            <w:vAlign w:val="bottom"/>
            <w:gridSpan w:val="5"/>
          </w:tcPr>
          <w:p>
            <w:pPr>
              <w:jc w:val="right"/>
              <w:spacing w:after="0"/>
              <w:rPr>
                <w:sz w:val="20"/>
                <w:szCs w:val="20"/>
                <w:color w:val="auto"/>
              </w:rPr>
            </w:pPr>
            <w:r>
              <w:rPr>
                <w:rFonts w:ascii="Arial" w:cs="Arial" w:eastAsia="Arial" w:hAnsi="Arial"/>
                <w:sz w:val="18"/>
                <w:szCs w:val="18"/>
                <w:color w:val="FF0000"/>
                <w:strike w:val="1"/>
                <w:w w:val="93"/>
              </w:rPr>
              <w:t>152</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9"/>
              </w:rPr>
              <w:t>151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7.02</w:t>
            </w:r>
          </w:p>
        </w:tc>
        <w:tc>
          <w:tcPr>
            <w:tcW w:w="1220" w:type="dxa"/>
            <w:vAlign w:val="bottom"/>
            <w:gridSpan w:val="4"/>
          </w:tcPr>
          <w:p>
            <w:pPr>
              <w:ind w:left="100"/>
              <w:spacing w:after="0"/>
              <w:rPr>
                <w:sz w:val="20"/>
                <w:szCs w:val="20"/>
                <w:color w:val="auto"/>
              </w:rPr>
            </w:pPr>
            <w:r>
              <w:rPr>
                <w:rFonts w:ascii="Arial" w:cs="Arial" w:eastAsia="Arial" w:hAnsi="Arial"/>
                <w:sz w:val="18"/>
                <w:szCs w:val="18"/>
                <w:color w:val="auto"/>
              </w:rPr>
              <w:t>Right to Cure</w:t>
            </w:r>
          </w:p>
        </w:tc>
        <w:tc>
          <w:tcPr>
            <w:tcW w:w="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155</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7.03</w:t>
            </w:r>
          </w:p>
        </w:tc>
        <w:tc>
          <w:tcPr>
            <w:tcW w:w="1940" w:type="dxa"/>
            <w:vAlign w:val="bottom"/>
            <w:gridSpan w:val="19"/>
          </w:tcPr>
          <w:p>
            <w:pPr>
              <w:ind w:left="100"/>
              <w:spacing w:after="0"/>
              <w:rPr>
                <w:sz w:val="20"/>
                <w:szCs w:val="20"/>
                <w:color w:val="auto"/>
              </w:rPr>
            </w:pPr>
            <w:r>
              <w:rPr>
                <w:rFonts w:ascii="Arial" w:cs="Arial" w:eastAsia="Arial" w:hAnsi="Arial"/>
                <w:sz w:val="18"/>
                <w:szCs w:val="18"/>
                <w:color w:val="auto"/>
                <w:w w:val="96"/>
              </w:rPr>
              <w:t>Application of Proceeds</w:t>
            </w:r>
          </w:p>
        </w:tc>
        <w:tc>
          <w:tcPr>
            <w:tcW w:w="340" w:type="dxa"/>
            <w:vAlign w:val="bottom"/>
            <w:gridSpan w:val="5"/>
          </w:tcPr>
          <w:p>
            <w:pPr>
              <w:jc w:val="right"/>
              <w:spacing w:after="0"/>
              <w:rPr>
                <w:sz w:val="20"/>
                <w:szCs w:val="20"/>
                <w:color w:val="auto"/>
              </w:rPr>
            </w:pPr>
            <w:r>
              <w:rPr>
                <w:rFonts w:ascii="Arial" w:cs="Arial" w:eastAsia="Arial" w:hAnsi="Arial"/>
                <w:sz w:val="18"/>
                <w:szCs w:val="18"/>
                <w:color w:val="FF0000"/>
                <w:strike w:val="1"/>
              </w:rPr>
              <w:t>156</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86"/>
              </w:rPr>
              <w:t>154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3380" w:type="dxa"/>
            <w:vAlign w:val="bottom"/>
            <w:gridSpan w:val="10"/>
          </w:tcPr>
          <w:p>
            <w:pPr>
              <w:spacing w:after="0"/>
              <w:rPr>
                <w:sz w:val="20"/>
                <w:szCs w:val="20"/>
                <w:color w:val="auto"/>
              </w:rPr>
            </w:pPr>
            <w:r>
              <w:rPr>
                <w:rFonts w:ascii="Arial" w:cs="Arial" w:eastAsia="Arial" w:hAnsi="Arial"/>
                <w:sz w:val="18"/>
                <w:szCs w:val="18"/>
                <w:color w:val="auto"/>
              </w:rPr>
              <w:t>ARTICLE VIII ADMINISTRATIVE AGENT</w:t>
            </w:r>
          </w:p>
        </w:tc>
        <w:tc>
          <w:tcPr>
            <w:tcW w:w="8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18"/>
                <w:szCs w:val="18"/>
                <w:color w:val="FF0000"/>
                <w:strike w:val="1"/>
                <w:w w:val="93"/>
              </w:rPr>
              <w:t>156</w:t>
            </w:r>
          </w:p>
        </w:tc>
        <w:tc>
          <w:tcPr>
            <w:tcW w:w="280" w:type="dxa"/>
            <w:vAlign w:val="bottom"/>
            <w:tcBorders>
              <w:bottom w:val="single" w:sz="8" w:color="0000FF"/>
            </w:tcBorders>
            <w:gridSpan w:val="6"/>
          </w:tcPr>
          <w:p>
            <w:pPr>
              <w:jc w:val="right"/>
              <w:ind w:right="20"/>
              <w:spacing w:after="0"/>
              <w:rPr>
                <w:sz w:val="20"/>
                <w:szCs w:val="20"/>
                <w:color w:val="auto"/>
              </w:rPr>
            </w:pPr>
            <w:r>
              <w:rPr>
                <w:rFonts w:ascii="Arial" w:cs="Arial" w:eastAsia="Arial" w:hAnsi="Arial"/>
                <w:sz w:val="18"/>
                <w:szCs w:val="18"/>
                <w:color w:val="0000FF"/>
                <w:w w:val="79"/>
              </w:rPr>
              <w:t>155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8.01</w:t>
            </w:r>
          </w:p>
        </w:tc>
        <w:tc>
          <w:tcPr>
            <w:tcW w:w="2140" w:type="dxa"/>
            <w:vAlign w:val="bottom"/>
            <w:gridSpan w:val="21"/>
          </w:tcPr>
          <w:p>
            <w:pPr>
              <w:ind w:left="100"/>
              <w:spacing w:after="0"/>
              <w:rPr>
                <w:sz w:val="20"/>
                <w:szCs w:val="20"/>
                <w:color w:val="auto"/>
              </w:rPr>
            </w:pPr>
            <w:r>
              <w:rPr>
                <w:rFonts w:ascii="Arial" w:cs="Arial" w:eastAsia="Arial" w:hAnsi="Arial"/>
                <w:sz w:val="18"/>
                <w:szCs w:val="18"/>
                <w:color w:val="auto"/>
                <w:w w:val="95"/>
              </w:rPr>
              <w:t>Appointment and Authority</w:t>
            </w: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156</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8.02</w:t>
            </w:r>
          </w:p>
        </w:tc>
        <w:tc>
          <w:tcPr>
            <w:tcW w:w="1520" w:type="dxa"/>
            <w:vAlign w:val="bottom"/>
            <w:gridSpan w:val="9"/>
          </w:tcPr>
          <w:p>
            <w:pPr>
              <w:ind w:left="100"/>
              <w:spacing w:after="0"/>
              <w:rPr>
                <w:sz w:val="20"/>
                <w:szCs w:val="20"/>
                <w:color w:val="auto"/>
              </w:rPr>
            </w:pPr>
            <w:r>
              <w:rPr>
                <w:rFonts w:ascii="Arial" w:cs="Arial" w:eastAsia="Arial" w:hAnsi="Arial"/>
                <w:sz w:val="18"/>
                <w:szCs w:val="18"/>
                <w:color w:val="auto"/>
                <w:w w:val="92"/>
              </w:rPr>
              <w:t>Rights as a Lender</w:t>
            </w:r>
          </w:p>
        </w:tc>
        <w:tc>
          <w:tcPr>
            <w:tcW w:w="8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157</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86"/>
              </w:rPr>
              <w:t>155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8.03</w:t>
            </w:r>
          </w:p>
        </w:tc>
        <w:tc>
          <w:tcPr>
            <w:tcW w:w="1940" w:type="dxa"/>
            <w:vAlign w:val="bottom"/>
            <w:gridSpan w:val="19"/>
          </w:tcPr>
          <w:p>
            <w:pPr>
              <w:ind w:left="100"/>
              <w:spacing w:after="0"/>
              <w:rPr>
                <w:sz w:val="20"/>
                <w:szCs w:val="20"/>
                <w:color w:val="auto"/>
              </w:rPr>
            </w:pPr>
            <w:r>
              <w:rPr>
                <w:rFonts w:ascii="Arial" w:cs="Arial" w:eastAsia="Arial" w:hAnsi="Arial"/>
                <w:sz w:val="18"/>
                <w:szCs w:val="18"/>
                <w:color w:val="auto"/>
                <w:w w:val="99"/>
              </w:rPr>
              <w:t>Exculpatory Provisions</w:t>
            </w:r>
          </w:p>
        </w:tc>
        <w:tc>
          <w:tcPr>
            <w:tcW w:w="340" w:type="dxa"/>
            <w:vAlign w:val="bottom"/>
            <w:gridSpan w:val="5"/>
          </w:tcPr>
          <w:p>
            <w:pPr>
              <w:jc w:val="right"/>
              <w:spacing w:after="0"/>
              <w:rPr>
                <w:sz w:val="20"/>
                <w:szCs w:val="20"/>
                <w:color w:val="auto"/>
              </w:rPr>
            </w:pPr>
            <w:r>
              <w:rPr>
                <w:rFonts w:ascii="Arial" w:cs="Arial" w:eastAsia="Arial" w:hAnsi="Arial"/>
                <w:sz w:val="18"/>
                <w:szCs w:val="18"/>
                <w:color w:val="FF0000"/>
                <w:strike w:val="1"/>
                <w:w w:val="86"/>
              </w:rPr>
              <w:t>157</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17"/>
                <w:szCs w:val="17"/>
                <w:color w:val="0000FF"/>
                <w:w w:val="70"/>
              </w:rPr>
              <w:t>155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8.04</w:t>
            </w:r>
          </w:p>
        </w:tc>
        <w:tc>
          <w:tcPr>
            <w:tcW w:w="3360" w:type="dxa"/>
            <w:vAlign w:val="bottom"/>
            <w:gridSpan w:val="43"/>
          </w:tcPr>
          <w:p>
            <w:pPr>
              <w:ind w:left="100"/>
              <w:spacing w:after="0"/>
              <w:rPr>
                <w:sz w:val="20"/>
                <w:szCs w:val="20"/>
                <w:color w:val="auto"/>
              </w:rPr>
            </w:pPr>
            <w:r>
              <w:rPr>
                <w:rFonts w:ascii="Arial" w:cs="Arial" w:eastAsia="Arial" w:hAnsi="Arial"/>
                <w:sz w:val="18"/>
                <w:szCs w:val="18"/>
                <w:color w:val="auto"/>
                <w:w w:val="94"/>
              </w:rPr>
              <w:t>Reliance by First Lien Administrative Agent</w:t>
            </w:r>
          </w:p>
        </w:tc>
        <w:tc>
          <w:tcPr>
            <w:tcW w:w="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FF0000"/>
                <w:strike w:val="1"/>
              </w:rPr>
              <w:t>158</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156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96" w:right="439" w:bottom="1440" w:gutter="0" w:footer="0" w:header="0"/>
          <w:type w:val="continuous"/>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TABLE OF CONTENTS</w:t>
      </w:r>
    </w:p>
    <w:p>
      <w:pPr>
        <w:jc w:val="center"/>
        <w:ind w:right="-119"/>
        <w:spacing w:after="0" w:line="219" w:lineRule="auto"/>
        <w:rPr>
          <w:sz w:val="20"/>
          <w:szCs w:val="20"/>
          <w:color w:val="auto"/>
        </w:rPr>
      </w:pPr>
      <w:r>
        <w:rPr>
          <w:rFonts w:ascii="Arial" w:cs="Arial" w:eastAsia="Arial" w:hAnsi="Arial"/>
          <w:sz w:val="18"/>
          <w:szCs w:val="18"/>
          <w:color w:val="auto"/>
        </w:rPr>
        <w:t>(continued)</w:t>
      </w: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8.05</w:t>
            </w:r>
          </w:p>
        </w:tc>
        <w:tc>
          <w:tcPr>
            <w:tcW w:w="1680" w:type="dxa"/>
            <w:vAlign w:val="bottom"/>
            <w:gridSpan w:val="14"/>
          </w:tcPr>
          <w:p>
            <w:pPr>
              <w:ind w:left="100"/>
              <w:spacing w:after="0"/>
              <w:rPr>
                <w:sz w:val="20"/>
                <w:szCs w:val="20"/>
                <w:color w:val="auto"/>
              </w:rPr>
            </w:pPr>
            <w:r>
              <w:rPr>
                <w:rFonts w:ascii="Arial" w:cs="Arial" w:eastAsia="Arial" w:hAnsi="Arial"/>
                <w:sz w:val="18"/>
                <w:szCs w:val="18"/>
                <w:color w:val="auto"/>
                <w:w w:val="96"/>
              </w:rPr>
              <w:t>Delegation of Duties</w:t>
            </w:r>
          </w:p>
        </w:tc>
        <w:tc>
          <w:tcPr>
            <w:tcW w:w="360" w:type="dxa"/>
            <w:vAlign w:val="bottom"/>
            <w:gridSpan w:val="6"/>
          </w:tcPr>
          <w:p>
            <w:pPr>
              <w:jc w:val="right"/>
              <w:spacing w:after="0"/>
              <w:rPr>
                <w:sz w:val="20"/>
                <w:szCs w:val="20"/>
                <w:color w:val="auto"/>
              </w:rPr>
            </w:pPr>
            <w:r>
              <w:rPr>
                <w:rFonts w:ascii="Arial" w:cs="Arial" w:eastAsia="Arial" w:hAnsi="Arial"/>
                <w:sz w:val="18"/>
                <w:szCs w:val="18"/>
                <w:color w:val="FF0000"/>
                <w:strike w:val="1"/>
              </w:rPr>
              <w:t>158</w:t>
            </w:r>
          </w:p>
        </w:tc>
        <w:tc>
          <w:tcPr>
            <w:tcW w:w="28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color w:val="0000FF"/>
                <w:w w:val="86"/>
              </w:rPr>
              <w:t>156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8.06</w:t>
            </w:r>
          </w:p>
        </w:tc>
        <w:tc>
          <w:tcPr>
            <w:tcW w:w="3660" w:type="dxa"/>
            <w:vAlign w:val="bottom"/>
            <w:gridSpan w:val="43"/>
          </w:tcPr>
          <w:p>
            <w:pPr>
              <w:ind w:left="100"/>
              <w:spacing w:after="0"/>
              <w:rPr>
                <w:sz w:val="20"/>
                <w:szCs w:val="20"/>
                <w:color w:val="auto"/>
              </w:rPr>
            </w:pPr>
            <w:r>
              <w:rPr>
                <w:rFonts w:ascii="Arial" w:cs="Arial" w:eastAsia="Arial" w:hAnsi="Arial"/>
                <w:sz w:val="18"/>
                <w:szCs w:val="18"/>
                <w:color w:val="auto"/>
                <w:w w:val="97"/>
              </w:rPr>
              <w:t>Resignation of First Lien Administrative Agent</w:t>
            </w:r>
          </w:p>
        </w:tc>
        <w:tc>
          <w:tcPr>
            <w:tcW w:w="280" w:type="dxa"/>
            <w:vAlign w:val="bottom"/>
            <w:gridSpan w:val="3"/>
          </w:tcPr>
          <w:p>
            <w:pPr>
              <w:jc w:val="right"/>
              <w:spacing w:after="0"/>
              <w:rPr>
                <w:sz w:val="20"/>
                <w:szCs w:val="20"/>
                <w:color w:val="auto"/>
              </w:rPr>
            </w:pPr>
            <w:r>
              <w:rPr>
                <w:rFonts w:ascii="Arial" w:cs="Arial" w:eastAsia="Arial" w:hAnsi="Arial"/>
                <w:sz w:val="18"/>
                <w:szCs w:val="18"/>
                <w:color w:val="FF0000"/>
                <w:strike w:val="1"/>
                <w:w w:val="86"/>
              </w:rPr>
              <w:t>158</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157</w:t>
            </w:r>
          </w:p>
        </w:tc>
        <w:tc>
          <w:tcPr>
            <w:tcW w:w="20" w:type="dxa"/>
            <w:vAlign w:val="bottom"/>
            <w:tcBorders>
              <w:bottom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8.07</w:t>
            </w:r>
          </w:p>
        </w:tc>
        <w:tc>
          <w:tcPr>
            <w:tcW w:w="5220" w:type="dxa"/>
            <w:vAlign w:val="bottom"/>
            <w:gridSpan w:val="57"/>
          </w:tcPr>
          <w:p>
            <w:pPr>
              <w:ind w:left="100"/>
              <w:spacing w:after="0"/>
              <w:rPr>
                <w:sz w:val="20"/>
                <w:szCs w:val="20"/>
                <w:color w:val="auto"/>
              </w:rPr>
            </w:pPr>
            <w:r>
              <w:rPr>
                <w:rFonts w:ascii="Arial" w:cs="Arial" w:eastAsia="Arial" w:hAnsi="Arial"/>
                <w:sz w:val="18"/>
                <w:szCs w:val="18"/>
                <w:color w:val="auto"/>
                <w:w w:val="94"/>
              </w:rPr>
              <w:t>Non-Reliance on First Lien Administrative Agent and Other Lenders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159</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158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3700" w:type="dxa"/>
            <w:vAlign w:val="bottom"/>
            <w:gridSpan w:val="16"/>
          </w:tcPr>
          <w:p>
            <w:pPr>
              <w:ind w:left="660"/>
              <w:spacing w:after="0"/>
              <w:rPr>
                <w:sz w:val="20"/>
                <w:szCs w:val="20"/>
                <w:color w:val="auto"/>
              </w:rPr>
            </w:pPr>
            <w:r>
              <w:rPr>
                <w:rFonts w:ascii="Arial" w:cs="Arial" w:eastAsia="Arial" w:hAnsi="Arial"/>
                <w:sz w:val="18"/>
                <w:szCs w:val="18"/>
                <w:color w:val="auto"/>
              </w:rPr>
              <w:t>SECTION 8.08  No Other Duties, Etc.</w:t>
            </w: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160</w:t>
            </w:r>
          </w:p>
        </w:tc>
        <w:tc>
          <w:tcPr>
            <w:tcW w:w="28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color w:val="0000FF"/>
                <w:w w:val="86"/>
              </w:rPr>
              <w:t>158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8.09</w:t>
            </w:r>
          </w:p>
        </w:tc>
        <w:tc>
          <w:tcPr>
            <w:tcW w:w="4450" w:type="dxa"/>
            <w:vAlign w:val="bottom"/>
            <w:gridSpan w:val="51"/>
          </w:tcPr>
          <w:p>
            <w:pPr>
              <w:ind w:left="100"/>
              <w:spacing w:after="0"/>
              <w:rPr>
                <w:sz w:val="20"/>
                <w:szCs w:val="20"/>
                <w:color w:val="auto"/>
              </w:rPr>
            </w:pPr>
            <w:r>
              <w:rPr>
                <w:rFonts w:ascii="Arial" w:cs="Arial" w:eastAsia="Arial" w:hAnsi="Arial"/>
                <w:sz w:val="18"/>
                <w:szCs w:val="18"/>
                <w:color w:val="auto"/>
                <w:w w:val="97"/>
              </w:rPr>
              <w:t>First Lien Administrative Agent May File Proofs of Claim</w:t>
            </w:r>
          </w:p>
        </w:tc>
        <w:tc>
          <w:tcPr>
            <w:tcW w:w="29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160</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8.10</w:t>
            </w:r>
          </w:p>
        </w:tc>
        <w:tc>
          <w:tcPr>
            <w:tcW w:w="3760" w:type="dxa"/>
            <w:vAlign w:val="bottom"/>
            <w:gridSpan w:val="45"/>
          </w:tcPr>
          <w:p>
            <w:pPr>
              <w:ind w:left="100"/>
              <w:spacing w:after="0"/>
              <w:rPr>
                <w:sz w:val="20"/>
                <w:szCs w:val="20"/>
                <w:color w:val="auto"/>
              </w:rPr>
            </w:pPr>
            <w:r>
              <w:rPr>
                <w:rFonts w:ascii="Arial" w:cs="Arial" w:eastAsia="Arial" w:hAnsi="Arial"/>
                <w:sz w:val="18"/>
                <w:szCs w:val="18"/>
                <w:color w:val="auto"/>
                <w:w w:val="95"/>
              </w:rPr>
              <w:t>No Waiver; Cumulative Remedies; Enforcement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160</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159</w:t>
            </w: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3860" w:type="dxa"/>
            <w:vAlign w:val="bottom"/>
            <w:gridSpan w:val="20"/>
          </w:tcPr>
          <w:p>
            <w:pPr>
              <w:ind w:left="660"/>
              <w:spacing w:after="0"/>
              <w:rPr>
                <w:sz w:val="20"/>
                <w:szCs w:val="20"/>
                <w:color w:val="auto"/>
              </w:rPr>
            </w:pPr>
            <w:r>
              <w:rPr>
                <w:rFonts w:ascii="Arial" w:cs="Arial" w:eastAsia="Arial" w:hAnsi="Arial"/>
                <w:sz w:val="18"/>
                <w:szCs w:val="18"/>
                <w:color w:val="auto"/>
              </w:rPr>
              <w:t>SECTION 8.11  Certain ERISA Matters.</w:t>
            </w: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161</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9"/>
              </w:rPr>
              <w:t>159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268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00" w:type="dxa"/>
            <w:vAlign w:val="bottom"/>
            <w:gridSpan w:val="2"/>
          </w:tcPr>
          <w:p>
            <w:pPr>
              <w:jc w:val="right"/>
              <w:spacing w:after="0"/>
              <w:rPr>
                <w:sz w:val="20"/>
                <w:szCs w:val="20"/>
                <w:color w:val="auto"/>
              </w:rPr>
            </w:pPr>
            <w:r>
              <w:rPr>
                <w:rFonts w:ascii="Arial" w:cs="Arial" w:eastAsia="Arial" w:hAnsi="Arial"/>
                <w:sz w:val="18"/>
                <w:szCs w:val="18"/>
                <w:color w:val="FF0000"/>
                <w:strike w:val="1"/>
                <w:w w:val="93"/>
              </w:rPr>
              <w:t>162</w:t>
            </w:r>
          </w:p>
        </w:tc>
        <w:tc>
          <w:tcPr>
            <w:tcW w:w="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6"/>
              </w:rPr>
              <w:t>160</w:t>
            </w:r>
          </w:p>
        </w:tc>
        <w:tc>
          <w:tcPr>
            <w:tcW w:w="4920" w:type="dxa"/>
            <w:vAlign w:val="bottom"/>
            <w:gridSpan w:val="54"/>
          </w:tcPr>
          <w:p>
            <w:pPr>
              <w:spacing w:after="0"/>
              <w:rPr>
                <w:sz w:val="24"/>
                <w:szCs w:val="24"/>
                <w:color w:val="auto"/>
              </w:rPr>
            </w:pPr>
          </w:p>
        </w:tc>
      </w:tr>
      <w:tr>
        <w:trPr>
          <w:trHeight w:val="290"/>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9.01</w:t>
            </w:r>
          </w:p>
        </w:tc>
        <w:tc>
          <w:tcPr>
            <w:tcW w:w="820" w:type="dxa"/>
            <w:vAlign w:val="bottom"/>
          </w:tcPr>
          <w:p>
            <w:pPr>
              <w:ind w:left="10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162</w:t>
            </w:r>
          </w:p>
        </w:tc>
        <w:tc>
          <w:tcPr>
            <w:tcW w:w="2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79"/>
              </w:rPr>
              <w:t>160</w:t>
            </w:r>
          </w:p>
        </w:tc>
        <w:tc>
          <w:tcPr>
            <w:tcW w:w="4960" w:type="dxa"/>
            <w:vAlign w:val="bottom"/>
            <w:gridSpan w:val="55"/>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9.02</w:t>
            </w:r>
          </w:p>
        </w:tc>
        <w:tc>
          <w:tcPr>
            <w:tcW w:w="1900" w:type="dxa"/>
            <w:vAlign w:val="bottom"/>
            <w:gridSpan w:val="16"/>
          </w:tcPr>
          <w:p>
            <w:pPr>
              <w:ind w:left="100"/>
              <w:spacing w:after="0"/>
              <w:rPr>
                <w:sz w:val="20"/>
                <w:szCs w:val="20"/>
                <w:color w:val="auto"/>
              </w:rPr>
            </w:pPr>
            <w:r>
              <w:rPr>
                <w:rFonts w:ascii="Arial" w:cs="Arial" w:eastAsia="Arial" w:hAnsi="Arial"/>
                <w:sz w:val="18"/>
                <w:szCs w:val="18"/>
                <w:color w:val="auto"/>
                <w:w w:val="98"/>
              </w:rPr>
              <w:t>Waivers; Amendments</w:t>
            </w:r>
          </w:p>
        </w:tc>
        <w:tc>
          <w:tcPr>
            <w:tcW w:w="280" w:type="dxa"/>
            <w:vAlign w:val="bottom"/>
            <w:gridSpan w:val="6"/>
          </w:tcPr>
          <w:p>
            <w:pPr>
              <w:jc w:val="right"/>
              <w:spacing w:after="0"/>
              <w:rPr>
                <w:sz w:val="20"/>
                <w:szCs w:val="20"/>
                <w:color w:val="auto"/>
              </w:rPr>
            </w:pPr>
            <w:r>
              <w:rPr>
                <w:rFonts w:ascii="Arial" w:cs="Arial" w:eastAsia="Arial" w:hAnsi="Arial"/>
                <w:sz w:val="18"/>
                <w:szCs w:val="18"/>
                <w:color w:val="FF0000"/>
                <w:strike w:val="1"/>
                <w:w w:val="86"/>
              </w:rPr>
              <w:t>163</w:t>
            </w:r>
          </w:p>
        </w:tc>
        <w:tc>
          <w:tcPr>
            <w:tcW w:w="260" w:type="dxa"/>
            <w:vAlign w:val="bottom"/>
            <w:tcBorders>
              <w:bottom w:val="single" w:sz="8" w:color="0000FF"/>
            </w:tcBorders>
            <w:gridSpan w:val="8"/>
          </w:tcPr>
          <w:p>
            <w:pPr>
              <w:jc w:val="right"/>
              <w:spacing w:after="0"/>
              <w:rPr>
                <w:sz w:val="20"/>
                <w:szCs w:val="20"/>
                <w:color w:val="auto"/>
              </w:rPr>
            </w:pPr>
            <w:r>
              <w:rPr>
                <w:rFonts w:ascii="Arial" w:cs="Arial" w:eastAsia="Arial" w:hAnsi="Arial"/>
                <w:sz w:val="18"/>
                <w:szCs w:val="18"/>
                <w:color w:val="0000FF"/>
                <w:w w:val="79"/>
              </w:rPr>
              <w:t>162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9.03</w:t>
            </w:r>
          </w:p>
        </w:tc>
        <w:tc>
          <w:tcPr>
            <w:tcW w:w="3040" w:type="dxa"/>
            <w:vAlign w:val="bottom"/>
            <w:gridSpan w:val="37"/>
          </w:tcPr>
          <w:p>
            <w:pPr>
              <w:ind w:left="100"/>
              <w:spacing w:after="0"/>
              <w:rPr>
                <w:sz w:val="20"/>
                <w:szCs w:val="20"/>
                <w:color w:val="auto"/>
              </w:rPr>
            </w:pPr>
            <w:r>
              <w:rPr>
                <w:rFonts w:ascii="Arial" w:cs="Arial" w:eastAsia="Arial" w:hAnsi="Arial"/>
                <w:sz w:val="18"/>
                <w:szCs w:val="18"/>
                <w:color w:val="auto"/>
                <w:w w:val="95"/>
              </w:rPr>
              <w:t>Expenses; Indemnity; Damage Waiver</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167</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9.04</w:t>
            </w:r>
          </w:p>
        </w:tc>
        <w:tc>
          <w:tcPr>
            <w:tcW w:w="1900" w:type="dxa"/>
            <w:vAlign w:val="bottom"/>
            <w:gridSpan w:val="16"/>
          </w:tcPr>
          <w:p>
            <w:pPr>
              <w:ind w:left="100"/>
              <w:spacing w:after="0"/>
              <w:rPr>
                <w:sz w:val="20"/>
                <w:szCs w:val="20"/>
                <w:color w:val="auto"/>
              </w:rPr>
            </w:pPr>
            <w:r>
              <w:rPr>
                <w:rFonts w:ascii="Arial" w:cs="Arial" w:eastAsia="Arial" w:hAnsi="Arial"/>
                <w:sz w:val="18"/>
                <w:szCs w:val="18"/>
                <w:color w:val="auto"/>
                <w:w w:val="90"/>
              </w:rPr>
              <w:t>Successors and Assigns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6"/>
          </w:tcPr>
          <w:p>
            <w:pPr>
              <w:spacing w:after="0"/>
              <w:rPr>
                <w:sz w:val="20"/>
                <w:szCs w:val="20"/>
                <w:color w:val="auto"/>
              </w:rPr>
            </w:pPr>
            <w:r>
              <w:rPr>
                <w:rFonts w:ascii="Arial" w:cs="Arial" w:eastAsia="Arial" w:hAnsi="Arial"/>
                <w:sz w:val="18"/>
                <w:szCs w:val="18"/>
                <w:color w:val="FF0000"/>
                <w:strike w:val="1"/>
                <w:w w:val="79"/>
              </w:rPr>
              <w:t>169</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86"/>
              </w:rPr>
              <w:t>168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9.05</w:t>
            </w:r>
          </w:p>
        </w:tc>
        <w:tc>
          <w:tcPr>
            <w:tcW w:w="820" w:type="dxa"/>
            <w:vAlign w:val="bottom"/>
          </w:tcPr>
          <w:p>
            <w:pPr>
              <w:ind w:left="100"/>
              <w:spacing w:after="0"/>
              <w:rPr>
                <w:sz w:val="20"/>
                <w:szCs w:val="20"/>
                <w:color w:val="auto"/>
              </w:rPr>
            </w:pPr>
            <w:r>
              <w:rPr>
                <w:rFonts w:ascii="Arial" w:cs="Arial" w:eastAsia="Arial" w:hAnsi="Arial"/>
                <w:sz w:val="18"/>
                <w:szCs w:val="18"/>
                <w:color w:val="auto"/>
              </w:rPr>
              <w:t>Survival</w:t>
            </w:r>
          </w:p>
        </w:tc>
        <w:tc>
          <w:tcPr>
            <w:tcW w:w="340" w:type="dxa"/>
            <w:vAlign w:val="bottom"/>
            <w:gridSpan w:val="4"/>
          </w:tcPr>
          <w:p>
            <w:pPr>
              <w:jc w:val="right"/>
              <w:spacing w:after="0"/>
              <w:rPr>
                <w:sz w:val="20"/>
                <w:szCs w:val="20"/>
                <w:color w:val="auto"/>
              </w:rPr>
            </w:pPr>
            <w:r>
              <w:rPr>
                <w:rFonts w:ascii="Arial" w:cs="Arial" w:eastAsia="Arial" w:hAnsi="Arial"/>
                <w:sz w:val="18"/>
                <w:szCs w:val="18"/>
                <w:color w:val="FF0000"/>
                <w:strike w:val="1"/>
              </w:rPr>
              <w:t>175</w:t>
            </w:r>
          </w:p>
        </w:tc>
        <w:tc>
          <w:tcPr>
            <w:tcW w:w="28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174</w:t>
            </w:r>
          </w:p>
        </w:tc>
        <w:tc>
          <w:tcPr>
            <w:tcW w:w="4880" w:type="dxa"/>
            <w:vAlign w:val="bottom"/>
            <w:gridSpan w:val="52"/>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9.06</w:t>
            </w:r>
          </w:p>
        </w:tc>
        <w:tc>
          <w:tcPr>
            <w:tcW w:w="3040" w:type="dxa"/>
            <w:vAlign w:val="bottom"/>
            <w:gridSpan w:val="37"/>
          </w:tcPr>
          <w:p>
            <w:pPr>
              <w:ind w:left="100"/>
              <w:spacing w:after="0"/>
              <w:rPr>
                <w:sz w:val="20"/>
                <w:szCs w:val="20"/>
                <w:color w:val="auto"/>
              </w:rPr>
            </w:pPr>
            <w:r>
              <w:rPr>
                <w:rFonts w:ascii="Arial" w:cs="Arial" w:eastAsia="Arial" w:hAnsi="Arial"/>
                <w:sz w:val="18"/>
                <w:szCs w:val="18"/>
                <w:color w:val="auto"/>
                <w:w w:val="92"/>
              </w:rPr>
              <w:t>Counterparts; Integration; Effectiveness</w:t>
            </w:r>
          </w:p>
        </w:tc>
        <w:tc>
          <w:tcPr>
            <w:tcW w:w="380" w:type="dxa"/>
            <w:vAlign w:val="bottom"/>
            <w:gridSpan w:val="3"/>
          </w:tcPr>
          <w:p>
            <w:pPr>
              <w:jc w:val="right"/>
              <w:spacing w:after="0"/>
              <w:rPr>
                <w:sz w:val="20"/>
                <w:szCs w:val="20"/>
                <w:color w:val="auto"/>
              </w:rPr>
            </w:pPr>
            <w:r>
              <w:rPr>
                <w:rFonts w:ascii="Arial" w:cs="Arial" w:eastAsia="Arial" w:hAnsi="Arial"/>
                <w:sz w:val="18"/>
                <w:szCs w:val="18"/>
                <w:color w:val="FF0000"/>
                <w:strike w:val="1"/>
              </w:rPr>
              <w:t>175</w:t>
            </w:r>
          </w:p>
        </w:tc>
        <w:tc>
          <w:tcPr>
            <w:tcW w:w="26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9"/>
              </w:rPr>
              <w:t>174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9.07</w:t>
            </w:r>
          </w:p>
        </w:tc>
        <w:tc>
          <w:tcPr>
            <w:tcW w:w="1140" w:type="dxa"/>
            <w:vAlign w:val="bottom"/>
            <w:gridSpan w:val="4"/>
          </w:tcPr>
          <w:p>
            <w:pPr>
              <w:ind w:left="100"/>
              <w:spacing w:after="0"/>
              <w:rPr>
                <w:sz w:val="20"/>
                <w:szCs w:val="20"/>
                <w:color w:val="auto"/>
              </w:rPr>
            </w:pPr>
            <w:r>
              <w:rPr>
                <w:rFonts w:ascii="Arial" w:cs="Arial" w:eastAsia="Arial" w:hAnsi="Arial"/>
                <w:sz w:val="18"/>
                <w:szCs w:val="18"/>
                <w:color w:val="auto"/>
              </w:rPr>
              <w:t>Severability</w:t>
            </w:r>
          </w:p>
        </w:tc>
        <w:tc>
          <w:tcPr>
            <w:tcW w:w="280" w:type="dxa"/>
            <w:vAlign w:val="bottom"/>
            <w:gridSpan w:val="5"/>
          </w:tcPr>
          <w:p>
            <w:pPr>
              <w:jc w:val="right"/>
              <w:spacing w:after="0"/>
              <w:rPr>
                <w:sz w:val="20"/>
                <w:szCs w:val="20"/>
                <w:color w:val="auto"/>
              </w:rPr>
            </w:pPr>
            <w:r>
              <w:rPr>
                <w:rFonts w:ascii="Arial" w:cs="Arial" w:eastAsia="Arial" w:hAnsi="Arial"/>
                <w:sz w:val="18"/>
                <w:szCs w:val="18"/>
                <w:color w:val="FF0000"/>
                <w:strike w:val="1"/>
                <w:w w:val="86"/>
              </w:rPr>
              <w:t>176</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174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9.08</w:t>
            </w:r>
          </w:p>
        </w:tc>
        <w:tc>
          <w:tcPr>
            <w:tcW w:w="1360" w:type="dxa"/>
            <w:vAlign w:val="bottom"/>
            <w:gridSpan w:val="7"/>
          </w:tcPr>
          <w:p>
            <w:pPr>
              <w:ind w:left="100"/>
              <w:spacing w:after="0"/>
              <w:rPr>
                <w:sz w:val="20"/>
                <w:szCs w:val="20"/>
                <w:color w:val="auto"/>
              </w:rPr>
            </w:pPr>
            <w:r>
              <w:rPr>
                <w:rFonts w:ascii="Arial" w:cs="Arial" w:eastAsia="Arial" w:hAnsi="Arial"/>
                <w:sz w:val="18"/>
                <w:szCs w:val="18"/>
                <w:color w:val="auto"/>
              </w:rPr>
              <w:t>Right of Setoff</w:t>
            </w:r>
          </w:p>
        </w:tc>
        <w:tc>
          <w:tcPr>
            <w:tcW w:w="260" w:type="dxa"/>
            <w:vAlign w:val="bottom"/>
            <w:gridSpan w:val="5"/>
          </w:tcPr>
          <w:p>
            <w:pPr>
              <w:spacing w:after="0"/>
              <w:rPr>
                <w:sz w:val="20"/>
                <w:szCs w:val="20"/>
                <w:color w:val="auto"/>
              </w:rPr>
            </w:pPr>
            <w:r>
              <w:rPr>
                <w:rFonts w:ascii="Arial" w:cs="Arial" w:eastAsia="Arial" w:hAnsi="Arial"/>
                <w:sz w:val="18"/>
                <w:szCs w:val="18"/>
                <w:color w:val="FF0000"/>
                <w:strike w:val="1"/>
                <w:w w:val="79"/>
              </w:rPr>
              <w:t>176</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175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9.09</w:t>
            </w:r>
          </w:p>
        </w:tc>
        <w:tc>
          <w:tcPr>
            <w:tcW w:w="4450" w:type="dxa"/>
            <w:vAlign w:val="bottom"/>
            <w:gridSpan w:val="51"/>
          </w:tcPr>
          <w:p>
            <w:pPr>
              <w:ind w:left="100"/>
              <w:spacing w:after="0"/>
              <w:rPr>
                <w:sz w:val="20"/>
                <w:szCs w:val="20"/>
                <w:color w:val="auto"/>
              </w:rPr>
            </w:pPr>
            <w:r>
              <w:rPr>
                <w:rFonts w:ascii="Arial" w:cs="Arial" w:eastAsia="Arial" w:hAnsi="Arial"/>
                <w:sz w:val="18"/>
                <w:szCs w:val="18"/>
                <w:color w:val="auto"/>
                <w:w w:val="91"/>
              </w:rPr>
              <w:t>Governing Law; Jurisdiction; Consent to Service of Process</w:t>
            </w:r>
          </w:p>
        </w:tc>
        <w:tc>
          <w:tcPr>
            <w:tcW w:w="3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FF0000"/>
                <w:strike w:val="1"/>
              </w:rPr>
              <w:t>176</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175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9.10</w:t>
            </w:r>
          </w:p>
        </w:tc>
        <w:tc>
          <w:tcPr>
            <w:tcW w:w="2300" w:type="dxa"/>
            <w:vAlign w:val="bottom"/>
            <w:gridSpan w:val="27"/>
          </w:tcPr>
          <w:p>
            <w:pPr>
              <w:ind w:left="100"/>
              <w:spacing w:after="0"/>
              <w:rPr>
                <w:sz w:val="20"/>
                <w:szCs w:val="20"/>
                <w:color w:val="auto"/>
              </w:rPr>
            </w:pPr>
            <w:r>
              <w:rPr>
                <w:rFonts w:ascii="Arial" w:cs="Arial" w:eastAsia="Arial" w:hAnsi="Arial"/>
                <w:sz w:val="18"/>
                <w:szCs w:val="18"/>
                <w:color w:val="auto"/>
              </w:rPr>
              <w:t>WAIVER OF JURY TRIAL</w:t>
            </w: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177</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176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9.11</w:t>
            </w:r>
          </w:p>
        </w:tc>
        <w:tc>
          <w:tcPr>
            <w:tcW w:w="820" w:type="dxa"/>
            <w:vAlign w:val="bottom"/>
          </w:tcPr>
          <w:p>
            <w:pPr>
              <w:ind w:left="80"/>
              <w:spacing w:after="0"/>
              <w:rPr>
                <w:sz w:val="20"/>
                <w:szCs w:val="20"/>
                <w:color w:val="auto"/>
              </w:rPr>
            </w:pPr>
            <w:r>
              <w:rPr>
                <w:rFonts w:ascii="Arial" w:cs="Arial" w:eastAsia="Arial" w:hAnsi="Arial"/>
                <w:sz w:val="18"/>
                <w:szCs w:val="18"/>
                <w:color w:val="auto"/>
                <w:w w:val="94"/>
              </w:rPr>
              <w:t>Headings</w:t>
            </w:r>
          </w:p>
        </w:tc>
        <w:tc>
          <w:tcPr>
            <w:tcW w:w="400" w:type="dxa"/>
            <w:vAlign w:val="bottom"/>
            <w:gridSpan w:val="5"/>
          </w:tcPr>
          <w:p>
            <w:pPr>
              <w:jc w:val="right"/>
              <w:spacing w:after="0"/>
              <w:rPr>
                <w:sz w:val="20"/>
                <w:szCs w:val="20"/>
                <w:color w:val="auto"/>
              </w:rPr>
            </w:pPr>
            <w:r>
              <w:rPr>
                <w:rFonts w:ascii="Arial" w:cs="Arial" w:eastAsia="Arial" w:hAnsi="Arial"/>
                <w:sz w:val="18"/>
                <w:szCs w:val="18"/>
                <w:color w:val="FF0000"/>
                <w:strike w:val="1"/>
              </w:rPr>
              <w:t>177</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9"/>
              </w:rPr>
              <w:t>176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9.12</w:t>
            </w:r>
          </w:p>
        </w:tc>
        <w:tc>
          <w:tcPr>
            <w:tcW w:w="1360" w:type="dxa"/>
            <w:vAlign w:val="bottom"/>
            <w:gridSpan w:val="7"/>
          </w:tcPr>
          <w:p>
            <w:pPr>
              <w:ind w:left="100"/>
              <w:spacing w:after="0"/>
              <w:rPr>
                <w:sz w:val="20"/>
                <w:szCs w:val="20"/>
                <w:color w:val="auto"/>
              </w:rPr>
            </w:pPr>
            <w:r>
              <w:rPr>
                <w:rFonts w:ascii="Arial" w:cs="Arial" w:eastAsia="Arial" w:hAnsi="Arial"/>
                <w:sz w:val="18"/>
                <w:szCs w:val="18"/>
                <w:color w:val="auto"/>
              </w:rPr>
              <w:t>Confidentiality</w:t>
            </w:r>
          </w:p>
        </w:tc>
        <w:tc>
          <w:tcPr>
            <w:tcW w:w="280" w:type="dxa"/>
            <w:vAlign w:val="bottom"/>
            <w:gridSpan w:val="6"/>
          </w:tcPr>
          <w:p>
            <w:pPr>
              <w:spacing w:after="0"/>
              <w:rPr>
                <w:sz w:val="20"/>
                <w:szCs w:val="20"/>
                <w:color w:val="auto"/>
              </w:rPr>
            </w:pPr>
            <w:r>
              <w:rPr>
                <w:rFonts w:ascii="Arial" w:cs="Arial" w:eastAsia="Arial" w:hAnsi="Arial"/>
                <w:sz w:val="18"/>
                <w:szCs w:val="18"/>
                <w:color w:val="FF0000"/>
                <w:strike w:val="1"/>
                <w:w w:val="86"/>
              </w:rPr>
              <w:t>177</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176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9.13</w:t>
            </w:r>
          </w:p>
        </w:tc>
        <w:tc>
          <w:tcPr>
            <w:tcW w:w="1680" w:type="dxa"/>
            <w:vAlign w:val="bottom"/>
            <w:gridSpan w:val="14"/>
          </w:tcPr>
          <w:p>
            <w:pPr>
              <w:ind w:left="100"/>
              <w:spacing w:after="0"/>
              <w:rPr>
                <w:sz w:val="20"/>
                <w:szCs w:val="20"/>
                <w:color w:val="auto"/>
              </w:rPr>
            </w:pPr>
            <w:r>
              <w:rPr>
                <w:rFonts w:ascii="Arial" w:cs="Arial" w:eastAsia="Arial" w:hAnsi="Arial"/>
                <w:sz w:val="18"/>
                <w:szCs w:val="18"/>
                <w:color w:val="auto"/>
              </w:rPr>
              <w:t>USA PATRIOT Act</w:t>
            </w:r>
          </w:p>
        </w:tc>
        <w:tc>
          <w:tcPr>
            <w:tcW w:w="280" w:type="dxa"/>
            <w:vAlign w:val="bottom"/>
            <w:gridSpan w:val="3"/>
          </w:tcPr>
          <w:p>
            <w:pPr>
              <w:jc w:val="right"/>
              <w:spacing w:after="0"/>
              <w:rPr>
                <w:sz w:val="20"/>
                <w:szCs w:val="20"/>
                <w:color w:val="auto"/>
              </w:rPr>
            </w:pPr>
            <w:r>
              <w:rPr>
                <w:rFonts w:ascii="Arial" w:cs="Arial" w:eastAsia="Arial" w:hAnsi="Arial"/>
                <w:sz w:val="18"/>
                <w:szCs w:val="18"/>
                <w:color w:val="FF0000"/>
                <w:strike w:val="1"/>
                <w:w w:val="86"/>
              </w:rPr>
              <w:t>178</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9"/>
              </w:rPr>
              <w:t>177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9.14</w:t>
            </w:r>
          </w:p>
        </w:tc>
        <w:tc>
          <w:tcPr>
            <w:tcW w:w="2640" w:type="dxa"/>
            <w:vAlign w:val="bottom"/>
            <w:gridSpan w:val="34"/>
          </w:tcPr>
          <w:p>
            <w:pPr>
              <w:ind w:left="100"/>
              <w:spacing w:after="0"/>
              <w:rPr>
                <w:sz w:val="20"/>
                <w:szCs w:val="20"/>
                <w:color w:val="auto"/>
              </w:rPr>
            </w:pPr>
            <w:r>
              <w:rPr>
                <w:rFonts w:ascii="Arial" w:cs="Arial" w:eastAsia="Arial" w:hAnsi="Arial"/>
                <w:sz w:val="18"/>
                <w:szCs w:val="18"/>
                <w:color w:val="auto"/>
                <w:w w:val="93"/>
              </w:rPr>
              <w:t>Release of Liens and Guarantees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178</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177</w:t>
            </w:r>
          </w:p>
        </w:tc>
        <w:tc>
          <w:tcPr>
            <w:tcW w:w="300" w:type="dxa"/>
            <w:vAlign w:val="bottom"/>
            <w:gridSpan w:val="3"/>
          </w:tcPr>
          <w:p>
            <w:pPr>
              <w:spacing w:after="0"/>
              <w:rPr>
                <w:sz w:val="24"/>
                <w:szCs w:val="24"/>
                <w:color w:val="auto"/>
              </w:rPr>
            </w:pPr>
          </w:p>
        </w:tc>
        <w:tc>
          <w:tcPr>
            <w:tcW w:w="2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9.15</w:t>
            </w:r>
          </w:p>
        </w:tc>
        <w:tc>
          <w:tcPr>
            <w:tcW w:w="3040" w:type="dxa"/>
            <w:vAlign w:val="bottom"/>
            <w:gridSpan w:val="37"/>
          </w:tcPr>
          <w:p>
            <w:pPr>
              <w:ind w:left="100"/>
              <w:spacing w:after="0"/>
              <w:rPr>
                <w:sz w:val="20"/>
                <w:szCs w:val="20"/>
                <w:color w:val="auto"/>
              </w:rPr>
            </w:pPr>
            <w:r>
              <w:rPr>
                <w:rFonts w:ascii="Arial" w:cs="Arial" w:eastAsia="Arial" w:hAnsi="Arial"/>
                <w:sz w:val="18"/>
                <w:szCs w:val="18"/>
                <w:color w:val="auto"/>
                <w:w w:val="93"/>
              </w:rPr>
              <w:t>No Advisory or Fiduciary Responsibility</w:t>
            </w: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FF0000"/>
                <w:strike w:val="1"/>
                <w:w w:val="93"/>
              </w:rPr>
              <w:t>179</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86"/>
              </w:rPr>
              <w:t>178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9.16</w:t>
            </w:r>
          </w:p>
        </w:tc>
        <w:tc>
          <w:tcPr>
            <w:tcW w:w="1900" w:type="dxa"/>
            <w:vAlign w:val="bottom"/>
            <w:gridSpan w:val="16"/>
          </w:tcPr>
          <w:p>
            <w:pPr>
              <w:ind w:left="100"/>
              <w:spacing w:after="0"/>
              <w:rPr>
                <w:sz w:val="20"/>
                <w:szCs w:val="20"/>
                <w:color w:val="auto"/>
              </w:rPr>
            </w:pPr>
            <w:r>
              <w:rPr>
                <w:rFonts w:ascii="Arial" w:cs="Arial" w:eastAsia="Arial" w:hAnsi="Arial"/>
                <w:sz w:val="18"/>
                <w:szCs w:val="18"/>
                <w:color w:val="auto"/>
                <w:w w:val="96"/>
              </w:rPr>
              <w:t>Interest Rate Limitation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180</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86"/>
              </w:rPr>
              <w:t>179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9.17</w:t>
            </w:r>
          </w:p>
        </w:tc>
        <w:tc>
          <w:tcPr>
            <w:tcW w:w="1680" w:type="dxa"/>
            <w:vAlign w:val="bottom"/>
            <w:gridSpan w:val="14"/>
          </w:tcPr>
          <w:p>
            <w:pPr>
              <w:ind w:left="100"/>
              <w:spacing w:after="0"/>
              <w:rPr>
                <w:sz w:val="20"/>
                <w:szCs w:val="20"/>
                <w:color w:val="auto"/>
              </w:rPr>
            </w:pPr>
            <w:r>
              <w:rPr>
                <w:rFonts w:ascii="Arial" w:cs="Arial" w:eastAsia="Arial" w:hAnsi="Arial"/>
                <w:sz w:val="18"/>
                <w:szCs w:val="18"/>
                <w:color w:val="auto"/>
                <w:w w:val="99"/>
              </w:rPr>
              <w:t>Judgment Currency</w:t>
            </w:r>
          </w:p>
        </w:tc>
        <w:tc>
          <w:tcPr>
            <w:tcW w:w="280" w:type="dxa"/>
            <w:vAlign w:val="bottom"/>
            <w:gridSpan w:val="3"/>
          </w:tcPr>
          <w:p>
            <w:pPr>
              <w:jc w:val="right"/>
              <w:spacing w:after="0"/>
              <w:rPr>
                <w:sz w:val="20"/>
                <w:szCs w:val="20"/>
                <w:color w:val="auto"/>
              </w:rPr>
            </w:pPr>
            <w:r>
              <w:rPr>
                <w:rFonts w:ascii="Arial" w:cs="Arial" w:eastAsia="Arial" w:hAnsi="Arial"/>
                <w:sz w:val="18"/>
                <w:szCs w:val="18"/>
                <w:color w:val="FF0000"/>
                <w:strike w:val="1"/>
                <w:w w:val="86"/>
              </w:rPr>
              <w:t>180</w:t>
            </w:r>
          </w:p>
        </w:tc>
        <w:tc>
          <w:tcPr>
            <w:tcW w:w="20" w:type="dxa"/>
            <w:vAlign w:val="bottom"/>
          </w:tcPr>
          <w:p>
            <w:pPr>
              <w:spacing w:after="0"/>
              <w:rPr>
                <w:sz w:val="24"/>
                <w:szCs w:val="24"/>
                <w:color w:val="auto"/>
              </w:rPr>
            </w:pPr>
          </w:p>
        </w:tc>
        <w:tc>
          <w:tcPr>
            <w:tcW w:w="24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73"/>
              </w:rPr>
              <w:t>179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9.18</w:t>
            </w:r>
          </w:p>
        </w:tc>
        <w:tc>
          <w:tcPr>
            <w:tcW w:w="5780" w:type="dxa"/>
            <w:vAlign w:val="bottom"/>
            <w:gridSpan w:val="60"/>
          </w:tcPr>
          <w:p>
            <w:pPr>
              <w:ind w:left="100"/>
              <w:spacing w:after="0"/>
              <w:rPr>
                <w:sz w:val="20"/>
                <w:szCs w:val="20"/>
                <w:color w:val="auto"/>
              </w:rPr>
            </w:pPr>
            <w:r>
              <w:rPr>
                <w:rFonts w:ascii="Arial" w:cs="Arial" w:eastAsia="Arial" w:hAnsi="Arial"/>
                <w:sz w:val="18"/>
                <w:szCs w:val="18"/>
                <w:color w:val="auto"/>
                <w:w w:val="95"/>
              </w:rPr>
              <w:t>Acknowledgement and Consent to Bail-In of Affected Financial Institutions.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180</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179</w:t>
            </w: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9.19</w:t>
            </w:r>
          </w:p>
        </w:tc>
        <w:tc>
          <w:tcPr>
            <w:tcW w:w="1900" w:type="dxa"/>
            <w:vAlign w:val="bottom"/>
            <w:gridSpan w:val="16"/>
          </w:tcPr>
          <w:p>
            <w:pPr>
              <w:ind w:left="100"/>
              <w:spacing w:after="0"/>
              <w:rPr>
                <w:sz w:val="20"/>
                <w:szCs w:val="20"/>
                <w:color w:val="auto"/>
              </w:rPr>
            </w:pPr>
            <w:r>
              <w:rPr>
                <w:rFonts w:ascii="Arial" w:cs="Arial" w:eastAsia="Arial" w:hAnsi="Arial"/>
                <w:sz w:val="18"/>
                <w:szCs w:val="18"/>
                <w:color w:val="auto"/>
                <w:w w:val="94"/>
              </w:rPr>
              <w:t>Intercreditor Agreement</w:t>
            </w:r>
          </w:p>
        </w:tc>
        <w:tc>
          <w:tcPr>
            <w:tcW w:w="100" w:type="dxa"/>
            <w:vAlign w:val="bottom"/>
            <w:gridSpan w:val="3"/>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18"/>
                <w:szCs w:val="18"/>
                <w:color w:val="FF0000"/>
                <w:strike w:val="1"/>
                <w:w w:val="86"/>
              </w:rPr>
              <w:t>181</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9"/>
              </w:rPr>
              <w:t>180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9.20</w:t>
            </w:r>
          </w:p>
        </w:tc>
        <w:tc>
          <w:tcPr>
            <w:tcW w:w="1680" w:type="dxa"/>
            <w:vAlign w:val="bottom"/>
            <w:gridSpan w:val="14"/>
          </w:tcPr>
          <w:p>
            <w:pPr>
              <w:ind w:left="100"/>
              <w:spacing w:after="0"/>
              <w:rPr>
                <w:sz w:val="20"/>
                <w:szCs w:val="20"/>
                <w:color w:val="auto"/>
              </w:rPr>
            </w:pPr>
            <w:r>
              <w:rPr>
                <w:rFonts w:ascii="Arial" w:cs="Arial" w:eastAsia="Arial" w:hAnsi="Arial"/>
                <w:sz w:val="18"/>
                <w:szCs w:val="18"/>
                <w:color w:val="auto"/>
                <w:w w:val="94"/>
              </w:rPr>
              <w:t>Cashless Settlement</w:t>
            </w:r>
          </w:p>
        </w:tc>
        <w:tc>
          <w:tcPr>
            <w:tcW w:w="320" w:type="dxa"/>
            <w:vAlign w:val="bottom"/>
            <w:gridSpan w:val="5"/>
          </w:tcPr>
          <w:p>
            <w:pPr>
              <w:jc w:val="right"/>
              <w:spacing w:after="0"/>
              <w:rPr>
                <w:sz w:val="20"/>
                <w:szCs w:val="20"/>
                <w:color w:val="auto"/>
              </w:rPr>
            </w:pPr>
            <w:r>
              <w:rPr>
                <w:rFonts w:ascii="Arial" w:cs="Arial" w:eastAsia="Arial" w:hAnsi="Arial"/>
                <w:sz w:val="18"/>
                <w:szCs w:val="18"/>
                <w:color w:val="FF0000"/>
                <w:strike w:val="1"/>
                <w:w w:val="93"/>
              </w:rPr>
              <w:t>181</w:t>
            </w:r>
          </w:p>
        </w:tc>
        <w:tc>
          <w:tcPr>
            <w:tcW w:w="2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79"/>
              </w:rPr>
              <w:t>180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9.21</w:t>
            </w:r>
          </w:p>
        </w:tc>
        <w:tc>
          <w:tcPr>
            <w:tcW w:w="3760" w:type="dxa"/>
            <w:vAlign w:val="bottom"/>
            <w:gridSpan w:val="45"/>
          </w:tcPr>
          <w:p>
            <w:pPr>
              <w:ind w:left="100"/>
              <w:spacing w:after="0"/>
              <w:rPr>
                <w:sz w:val="20"/>
                <w:szCs w:val="20"/>
                <w:color w:val="auto"/>
              </w:rPr>
            </w:pPr>
            <w:r>
              <w:rPr>
                <w:rFonts w:ascii="Arial" w:cs="Arial" w:eastAsia="Arial" w:hAnsi="Arial"/>
                <w:sz w:val="18"/>
                <w:szCs w:val="18"/>
                <w:color w:val="auto"/>
                <w:w w:val="90"/>
              </w:rPr>
              <w:t>Acknowledgment Regarding Any Supported QFCs</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181</w:t>
            </w:r>
          </w:p>
        </w:tc>
        <w:tc>
          <w:tcPr>
            <w:tcW w:w="20" w:type="dxa"/>
            <w:vAlign w:val="bottom"/>
            <w:tcBorders>
              <w:bottom w:val="single" w:sz="8" w:color="0000FF"/>
            </w:tcBorders>
          </w:tcPr>
          <w:p>
            <w:pPr>
              <w:spacing w:after="0"/>
              <w:rPr>
                <w:sz w:val="24"/>
                <w:szCs w:val="24"/>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180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40"/>
          </w:cols>
          <w:pgMar w:left="320" w:top="96" w:right="4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1.01</w:t>
        <w:tab/>
        <w:t>—</w:t>
      </w:r>
      <w:r>
        <w:rPr>
          <w:sz w:val="20"/>
          <w:szCs w:val="20"/>
          <w:color w:val="auto"/>
        </w:rPr>
        <w:tab/>
      </w:r>
      <w:r>
        <w:rPr>
          <w:rFonts w:ascii="Arial" w:cs="Arial" w:eastAsia="Arial" w:hAnsi="Arial"/>
          <w:sz w:val="16"/>
          <w:szCs w:val="16"/>
          <w:color w:val="auto"/>
        </w:rPr>
        <w:t>Excluded Subsidiaries</w:t>
      </w:r>
    </w:p>
    <w:p>
      <w:pPr>
        <w:spacing w:after="0" w:line="228" w:lineRule="auto"/>
        <w:tabs>
          <w:tab w:leader="none" w:pos="1180" w:val="left"/>
          <w:tab w:leader="none" w:pos="1540" w:val="left"/>
        </w:tabs>
        <w:rPr>
          <w:sz w:val="20"/>
          <w:szCs w:val="20"/>
          <w:color w:val="auto"/>
        </w:rPr>
      </w:pPr>
      <w:r>
        <w:rPr>
          <w:rFonts w:ascii="Arial" w:cs="Arial" w:eastAsia="Arial" w:hAnsi="Arial"/>
          <w:sz w:val="18"/>
          <w:szCs w:val="18"/>
          <w:color w:val="auto"/>
        </w:rPr>
        <w:t>Schedule 2.01</w:t>
        <w:tab/>
        <w:t>—</w:t>
      </w:r>
      <w:r>
        <w:rPr>
          <w:sz w:val="20"/>
          <w:szCs w:val="20"/>
          <w:color w:val="auto"/>
        </w:rPr>
        <w:tab/>
      </w:r>
      <w:r>
        <w:rPr>
          <w:rFonts w:ascii="Arial" w:cs="Arial" w:eastAsia="Arial" w:hAnsi="Arial"/>
          <w:sz w:val="16"/>
          <w:szCs w:val="16"/>
          <w:color w:val="auto"/>
        </w:rPr>
        <w:t>Commitments and Loans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2.05</w:t>
        <w:tab/>
        <w:t>—</w:t>
      </w:r>
      <w:r>
        <w:rPr>
          <w:sz w:val="20"/>
          <w:szCs w:val="20"/>
          <w:color w:val="auto"/>
        </w:rPr>
        <w:tab/>
      </w:r>
      <w:r>
        <w:rPr>
          <w:rFonts w:ascii="Arial" w:cs="Arial" w:eastAsia="Arial" w:hAnsi="Arial"/>
          <w:sz w:val="16"/>
          <w:szCs w:val="16"/>
          <w:color w:val="auto"/>
        </w:rPr>
        <w:t>Existing Letters of Credit</w:t>
      </w: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3.03</w:t>
        <w:tab/>
        <w:t>—</w:t>
      </w:r>
      <w:r>
        <w:rPr>
          <w:sz w:val="20"/>
          <w:szCs w:val="20"/>
          <w:color w:val="auto"/>
        </w:rPr>
        <w:tab/>
      </w:r>
      <w:r>
        <w:rPr>
          <w:rFonts w:ascii="Arial" w:cs="Arial" w:eastAsia="Arial" w:hAnsi="Arial"/>
          <w:sz w:val="16"/>
          <w:szCs w:val="16"/>
          <w:color w:val="auto"/>
        </w:rPr>
        <w:t>Government Approvals; No Conflicts</w:t>
      </w:r>
    </w:p>
    <w:p>
      <w:pPr>
        <w:spacing w:after="0" w:line="229" w:lineRule="auto"/>
        <w:tabs>
          <w:tab w:leader="none" w:pos="1240" w:val="left"/>
          <w:tab w:leader="none" w:pos="1600" w:val="left"/>
        </w:tabs>
        <w:rPr>
          <w:sz w:val="20"/>
          <w:szCs w:val="20"/>
          <w:color w:val="auto"/>
        </w:rPr>
      </w:pPr>
      <w:r>
        <w:rPr>
          <w:rFonts w:ascii="Arial" w:cs="Arial" w:eastAsia="Arial" w:hAnsi="Arial"/>
          <w:sz w:val="18"/>
          <w:szCs w:val="18"/>
          <w:color w:val="auto"/>
        </w:rPr>
        <w:t>Schedule 3.06</w:t>
        <w:tab/>
        <w:t>—</w:t>
      </w:r>
      <w:r>
        <w:rPr>
          <w:sz w:val="20"/>
          <w:szCs w:val="20"/>
          <w:color w:val="auto"/>
        </w:rPr>
        <w:tab/>
      </w:r>
      <w:r>
        <w:rPr>
          <w:rFonts w:ascii="Arial" w:cs="Arial" w:eastAsia="Arial" w:hAnsi="Arial"/>
          <w:sz w:val="16"/>
          <w:szCs w:val="16"/>
          <w:color w:val="auto"/>
        </w:rPr>
        <w:t>Litigation and Environmental Matters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3.12</w:t>
        <w:tab/>
        <w:t>—</w:t>
      </w:r>
      <w:r>
        <w:rPr>
          <w:sz w:val="20"/>
          <w:szCs w:val="20"/>
          <w:color w:val="auto"/>
        </w:rPr>
        <w:tab/>
      </w:r>
      <w:r>
        <w:rPr>
          <w:rFonts w:ascii="Arial" w:cs="Arial" w:eastAsia="Arial" w:hAnsi="Arial"/>
          <w:sz w:val="16"/>
          <w:szCs w:val="16"/>
          <w:color w:val="auto"/>
        </w:rPr>
        <w:t>Subsidiaries</w:t>
      </w: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5.14</w:t>
        <w:tab/>
        <w:t>—</w:t>
      </w:r>
      <w:r>
        <w:rPr>
          <w:sz w:val="20"/>
          <w:szCs w:val="20"/>
          <w:color w:val="auto"/>
        </w:rPr>
        <w:tab/>
      </w:r>
      <w:r>
        <w:rPr>
          <w:rFonts w:ascii="Arial" w:cs="Arial" w:eastAsia="Arial" w:hAnsi="Arial"/>
          <w:sz w:val="16"/>
          <w:szCs w:val="16"/>
          <w:color w:val="auto"/>
        </w:rPr>
        <w:t>Certain Post-Closing Obligations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6.01</w:t>
        <w:tab/>
        <w:t>—</w:t>
      </w:r>
      <w:r>
        <w:rPr>
          <w:sz w:val="20"/>
          <w:szCs w:val="20"/>
          <w:color w:val="auto"/>
        </w:rPr>
        <w:tab/>
      </w:r>
      <w:r>
        <w:rPr>
          <w:rFonts w:ascii="Arial" w:cs="Arial" w:eastAsia="Arial" w:hAnsi="Arial"/>
          <w:sz w:val="16"/>
          <w:szCs w:val="16"/>
          <w:color w:val="auto"/>
        </w:rPr>
        <w:t>Existing Indebtedness</w:t>
      </w:r>
    </w:p>
    <w:p>
      <w:pPr>
        <w:spacing w:after="0" w:line="215" w:lineRule="auto"/>
        <w:tabs>
          <w:tab w:leader="none" w:pos="1180" w:val="left"/>
          <w:tab w:leader="none" w:pos="1540" w:val="left"/>
        </w:tabs>
        <w:rPr>
          <w:sz w:val="20"/>
          <w:szCs w:val="20"/>
          <w:color w:val="auto"/>
        </w:rPr>
      </w:pPr>
      <w:r>
        <w:rPr>
          <w:rFonts w:ascii="Arial" w:cs="Arial" w:eastAsia="Arial" w:hAnsi="Arial"/>
          <w:sz w:val="18"/>
          <w:szCs w:val="18"/>
          <w:color w:val="auto"/>
        </w:rPr>
        <w:t>Schedule 6.02</w:t>
        <w:tab/>
        <w:t>—</w:t>
      </w:r>
      <w:r>
        <w:rPr>
          <w:sz w:val="20"/>
          <w:szCs w:val="20"/>
          <w:color w:val="auto"/>
        </w:rPr>
        <w:tab/>
      </w:r>
      <w:r>
        <w:rPr>
          <w:rFonts w:ascii="Arial" w:cs="Arial" w:eastAsia="Arial" w:hAnsi="Arial"/>
          <w:sz w:val="17"/>
          <w:szCs w:val="17"/>
          <w:color w:val="auto"/>
        </w:rPr>
        <w:t>Existing Liens</w:t>
      </w: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6.04</w:t>
        <w:tab/>
        <w:t>—</w:t>
      </w:r>
      <w:r>
        <w:rPr>
          <w:sz w:val="20"/>
          <w:szCs w:val="20"/>
          <w:color w:val="auto"/>
        </w:rPr>
        <w:tab/>
      </w:r>
      <w:r>
        <w:rPr>
          <w:rFonts w:ascii="Arial" w:cs="Arial" w:eastAsia="Arial" w:hAnsi="Arial"/>
          <w:sz w:val="16"/>
          <w:szCs w:val="16"/>
          <w:color w:val="auto"/>
        </w:rPr>
        <w:t>Existing Investments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6.08</w:t>
        <w:tab/>
        <w:t>—</w:t>
      </w:r>
      <w:r>
        <w:rPr>
          <w:sz w:val="20"/>
          <w:szCs w:val="20"/>
          <w:color w:val="auto"/>
        </w:rPr>
        <w:tab/>
      </w:r>
      <w:r>
        <w:rPr>
          <w:rFonts w:ascii="Arial" w:cs="Arial" w:eastAsia="Arial" w:hAnsi="Arial"/>
          <w:sz w:val="16"/>
          <w:szCs w:val="16"/>
          <w:color w:val="auto"/>
        </w:rPr>
        <w:t>Existing Affiliate Transactions</w:t>
      </w:r>
    </w:p>
    <w:p>
      <w:pPr>
        <w:spacing w:after="0" w:line="229" w:lineRule="auto"/>
        <w:tabs>
          <w:tab w:leader="none" w:pos="1180" w:val="left"/>
          <w:tab w:leader="none" w:pos="1540" w:val="left"/>
        </w:tabs>
        <w:rPr>
          <w:sz w:val="20"/>
          <w:szCs w:val="20"/>
          <w:color w:val="auto"/>
        </w:rPr>
      </w:pPr>
      <w:r>
        <w:rPr>
          <w:rFonts w:ascii="Arial" w:cs="Arial" w:eastAsia="Arial" w:hAnsi="Arial"/>
          <w:sz w:val="18"/>
          <w:szCs w:val="18"/>
          <w:color w:val="auto"/>
        </w:rPr>
        <w:t>Schedule 6.09</w:t>
        <w:tab/>
        <w:t>—</w:t>
      </w:r>
      <w:r>
        <w:rPr>
          <w:sz w:val="20"/>
          <w:szCs w:val="20"/>
          <w:color w:val="auto"/>
        </w:rPr>
        <w:tab/>
      </w:r>
      <w:r>
        <w:rPr>
          <w:rFonts w:ascii="Arial" w:cs="Arial" w:eastAsia="Arial" w:hAnsi="Arial"/>
          <w:sz w:val="16"/>
          <w:szCs w:val="16"/>
          <w:color w:val="auto"/>
        </w:rPr>
        <w:t>Existing Restrictions</w:t>
      </w: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9.01</w:t>
        <w:tab/>
        <w:t>—</w:t>
      </w:r>
      <w:r>
        <w:rPr>
          <w:sz w:val="20"/>
          <w:szCs w:val="20"/>
          <w:color w:val="auto"/>
        </w:rPr>
        <w:tab/>
      </w:r>
      <w:r>
        <w:rPr>
          <w:rFonts w:ascii="Arial" w:cs="Arial" w:eastAsia="Arial" w:hAnsi="Arial"/>
          <w:sz w:val="16"/>
          <w:szCs w:val="16"/>
          <w:color w:val="auto"/>
        </w:rPr>
        <w:t>Notices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69"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A</w:t>
        <w:tab/>
        <w:t>—</w:t>
      </w:r>
      <w:r>
        <w:rPr>
          <w:sz w:val="20"/>
          <w:szCs w:val="20"/>
          <w:color w:val="auto"/>
        </w:rPr>
        <w:tab/>
      </w:r>
      <w:r>
        <w:rPr>
          <w:rFonts w:ascii="Arial" w:cs="Arial" w:eastAsia="Arial" w:hAnsi="Arial"/>
          <w:sz w:val="16"/>
          <w:szCs w:val="16"/>
          <w:color w:val="auto"/>
        </w:rPr>
        <w:t>Form of Assignment and Assumption</w:t>
      </w: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B</w:t>
        <w:tab/>
        <w:t>—</w:t>
      </w:r>
      <w:r>
        <w:rPr>
          <w:sz w:val="20"/>
          <w:szCs w:val="20"/>
          <w:color w:val="auto"/>
        </w:rPr>
        <w:tab/>
      </w:r>
      <w:r>
        <w:rPr>
          <w:rFonts w:ascii="Arial" w:cs="Arial" w:eastAsia="Arial" w:hAnsi="Arial"/>
          <w:sz w:val="16"/>
          <w:szCs w:val="16"/>
          <w:color w:val="auto"/>
        </w:rPr>
        <w:t>Form of First Lien Guarantee Agreement</w:t>
      </w:r>
    </w:p>
    <w:p>
      <w:pPr>
        <w:spacing w:after="0" w:line="229" w:lineRule="auto"/>
        <w:tabs>
          <w:tab w:leader="none" w:pos="860" w:val="left"/>
          <w:tab w:leader="none" w:pos="1220" w:val="left"/>
        </w:tabs>
        <w:rPr>
          <w:sz w:val="20"/>
          <w:szCs w:val="20"/>
          <w:color w:val="auto"/>
        </w:rPr>
      </w:pPr>
      <w:r>
        <w:rPr>
          <w:rFonts w:ascii="Arial" w:cs="Arial" w:eastAsia="Arial" w:hAnsi="Arial"/>
          <w:sz w:val="18"/>
          <w:szCs w:val="18"/>
          <w:color w:val="auto"/>
        </w:rPr>
        <w:t>Exhibit C</w:t>
        <w:tab/>
        <w:t>—</w:t>
      </w:r>
      <w:r>
        <w:rPr>
          <w:sz w:val="20"/>
          <w:szCs w:val="20"/>
          <w:color w:val="auto"/>
        </w:rPr>
        <w:tab/>
      </w:r>
      <w:r>
        <w:rPr>
          <w:rFonts w:ascii="Arial" w:cs="Arial" w:eastAsia="Arial" w:hAnsi="Arial"/>
          <w:sz w:val="16"/>
          <w:szCs w:val="16"/>
          <w:color w:val="auto"/>
        </w:rPr>
        <w:t>Form of Perfection Certificate</w:t>
      </w:r>
    </w:p>
    <w:p>
      <w:pPr>
        <w:spacing w:after="0" w:line="229" w:lineRule="auto"/>
        <w:tabs>
          <w:tab w:leader="none" w:pos="880" w:val="left"/>
          <w:tab w:leader="none" w:pos="1240" w:val="left"/>
        </w:tabs>
        <w:rPr>
          <w:sz w:val="20"/>
          <w:szCs w:val="20"/>
          <w:color w:val="auto"/>
        </w:rPr>
      </w:pPr>
      <w:r>
        <w:rPr>
          <w:rFonts w:ascii="Arial" w:cs="Arial" w:eastAsia="Arial" w:hAnsi="Arial"/>
          <w:sz w:val="18"/>
          <w:szCs w:val="18"/>
          <w:color w:val="auto"/>
        </w:rPr>
        <w:t>Exhibit D</w:t>
        <w:tab/>
        <w:t>—</w:t>
      </w:r>
      <w:r>
        <w:rPr>
          <w:sz w:val="20"/>
          <w:szCs w:val="20"/>
          <w:color w:val="auto"/>
        </w:rPr>
        <w:tab/>
      </w:r>
      <w:r>
        <w:rPr>
          <w:rFonts w:ascii="Arial" w:cs="Arial" w:eastAsia="Arial" w:hAnsi="Arial"/>
          <w:sz w:val="16"/>
          <w:szCs w:val="16"/>
          <w:color w:val="auto"/>
        </w:rPr>
        <w:t>Form of First Lien Collateral Agreement</w:t>
      </w:r>
    </w:p>
    <w:p>
      <w:pPr>
        <w:spacing w:after="0"/>
        <w:tabs>
          <w:tab w:leader="none" w:pos="1000" w:val="left"/>
          <w:tab w:leader="none" w:pos="1360" w:val="left"/>
        </w:tabs>
        <w:rPr>
          <w:sz w:val="20"/>
          <w:szCs w:val="20"/>
          <w:color w:val="auto"/>
        </w:rPr>
      </w:pPr>
      <w:r>
        <w:rPr>
          <w:rFonts w:ascii="Arial" w:cs="Arial" w:eastAsia="Arial" w:hAnsi="Arial"/>
          <w:sz w:val="18"/>
          <w:szCs w:val="18"/>
          <w:color w:val="auto"/>
        </w:rPr>
        <w:t>Exhibit E-1</w:t>
        <w:tab/>
        <w:t>—</w:t>
      </w:r>
      <w:r>
        <w:rPr>
          <w:sz w:val="20"/>
          <w:szCs w:val="20"/>
          <w:color w:val="auto"/>
        </w:rPr>
        <w:tab/>
      </w:r>
      <w:r>
        <w:rPr>
          <w:rFonts w:ascii="Arial" w:cs="Arial" w:eastAsia="Arial" w:hAnsi="Arial"/>
          <w:sz w:val="16"/>
          <w:szCs w:val="16"/>
          <w:color w:val="auto"/>
        </w:rPr>
        <w:t>Form of First Lien Pari Passu Intercreditor Agreement</w:t>
      </w:r>
    </w:p>
    <w:p>
      <w:pPr>
        <w:ind w:right="5059"/>
        <w:spacing w:after="0" w:line="208" w:lineRule="auto"/>
        <w:rPr>
          <w:sz w:val="20"/>
          <w:szCs w:val="20"/>
          <w:color w:val="auto"/>
        </w:rPr>
      </w:pPr>
      <w:r>
        <w:rPr>
          <w:rFonts w:ascii="Arial" w:cs="Arial" w:eastAsia="Arial" w:hAnsi="Arial"/>
          <w:sz w:val="18"/>
          <w:szCs w:val="18"/>
          <w:color w:val="auto"/>
        </w:rPr>
        <w:t>Exhibit E-2 — Form of First/Second Lien Intercreditor Agreement Exhibit E-3 — Form of ABL Intercreditor Agreement Exhibit F — Form of Intercompany Note</w:t>
      </w:r>
    </w:p>
    <w:p>
      <w:pPr>
        <w:spacing w:after="0" w:line="231" w:lineRule="auto"/>
        <w:tabs>
          <w:tab w:leader="none" w:pos="880" w:val="left"/>
          <w:tab w:leader="none" w:pos="1240" w:val="left"/>
        </w:tabs>
        <w:rPr>
          <w:sz w:val="20"/>
          <w:szCs w:val="20"/>
          <w:color w:val="auto"/>
        </w:rPr>
      </w:pPr>
      <w:r>
        <w:rPr>
          <w:rFonts w:ascii="Arial" w:cs="Arial" w:eastAsia="Arial" w:hAnsi="Arial"/>
          <w:sz w:val="18"/>
          <w:szCs w:val="18"/>
          <w:color w:val="auto"/>
        </w:rPr>
        <w:t>Exhibit G</w:t>
        <w:tab/>
        <w:t>—</w:t>
      </w:r>
      <w:r>
        <w:rPr>
          <w:sz w:val="20"/>
          <w:szCs w:val="20"/>
          <w:color w:val="auto"/>
        </w:rPr>
        <w:tab/>
      </w:r>
      <w:r>
        <w:rPr>
          <w:rFonts w:ascii="Arial" w:cs="Arial" w:eastAsia="Arial" w:hAnsi="Arial"/>
          <w:sz w:val="16"/>
          <w:szCs w:val="16"/>
          <w:color w:val="auto"/>
        </w:rPr>
        <w:t>Form of Specified Discount Prepayment Notice</w:t>
      </w:r>
    </w:p>
    <w:p>
      <w:pPr>
        <w:spacing w:after="0" w:line="229" w:lineRule="auto"/>
        <w:tabs>
          <w:tab w:leader="none" w:pos="880" w:val="left"/>
          <w:tab w:leader="none" w:pos="1240" w:val="left"/>
        </w:tabs>
        <w:rPr>
          <w:sz w:val="20"/>
          <w:szCs w:val="20"/>
          <w:color w:val="auto"/>
        </w:rPr>
      </w:pPr>
      <w:r>
        <w:rPr>
          <w:rFonts w:ascii="Arial" w:cs="Arial" w:eastAsia="Arial" w:hAnsi="Arial"/>
          <w:sz w:val="18"/>
          <w:szCs w:val="18"/>
          <w:color w:val="auto"/>
        </w:rPr>
        <w:t>Exhibit H</w:t>
        <w:tab/>
        <w:t>—</w:t>
      </w:r>
      <w:r>
        <w:rPr>
          <w:sz w:val="20"/>
          <w:szCs w:val="20"/>
          <w:color w:val="auto"/>
        </w:rPr>
        <w:tab/>
      </w:r>
      <w:r>
        <w:rPr>
          <w:rFonts w:ascii="Arial" w:cs="Arial" w:eastAsia="Arial" w:hAnsi="Arial"/>
          <w:sz w:val="16"/>
          <w:szCs w:val="16"/>
          <w:color w:val="auto"/>
        </w:rPr>
        <w:t>Form of Specified Discount Prepayment Response</w:t>
      </w:r>
    </w:p>
    <w:p>
      <w:pPr>
        <w:spacing w:after="0"/>
        <w:tabs>
          <w:tab w:leader="none" w:pos="800" w:val="left"/>
          <w:tab w:leader="none" w:pos="1160" w:val="left"/>
        </w:tabs>
        <w:rPr>
          <w:sz w:val="20"/>
          <w:szCs w:val="20"/>
          <w:color w:val="auto"/>
        </w:rPr>
      </w:pPr>
      <w:r>
        <w:rPr>
          <w:rFonts w:ascii="Arial" w:cs="Arial" w:eastAsia="Arial" w:hAnsi="Arial"/>
          <w:sz w:val="18"/>
          <w:szCs w:val="18"/>
          <w:color w:val="auto"/>
        </w:rPr>
        <w:t>Exhibit I</w:t>
        <w:tab/>
        <w:t>—</w:t>
      </w:r>
      <w:r>
        <w:rPr>
          <w:sz w:val="20"/>
          <w:szCs w:val="20"/>
          <w:color w:val="auto"/>
        </w:rPr>
        <w:tab/>
      </w:r>
      <w:r>
        <w:rPr>
          <w:rFonts w:ascii="Arial" w:cs="Arial" w:eastAsia="Arial" w:hAnsi="Arial"/>
          <w:sz w:val="16"/>
          <w:szCs w:val="16"/>
          <w:color w:val="auto"/>
        </w:rPr>
        <w:t>Form of Discount Range Prepayment Notice</w:t>
      </w:r>
    </w:p>
    <w:p>
      <w:pPr>
        <w:spacing w:after="0" w:line="229" w:lineRule="auto"/>
        <w:tabs>
          <w:tab w:leader="none" w:pos="820" w:val="left"/>
          <w:tab w:leader="none" w:pos="1180" w:val="left"/>
        </w:tabs>
        <w:rPr>
          <w:sz w:val="20"/>
          <w:szCs w:val="20"/>
          <w:color w:val="auto"/>
        </w:rPr>
      </w:pPr>
      <w:r>
        <w:rPr>
          <w:rFonts w:ascii="Arial" w:cs="Arial" w:eastAsia="Arial" w:hAnsi="Arial"/>
          <w:sz w:val="18"/>
          <w:szCs w:val="18"/>
          <w:color w:val="auto"/>
        </w:rPr>
        <w:t>Exhibit J</w:t>
        <w:tab/>
        <w:t>—</w:t>
      </w:r>
      <w:r>
        <w:rPr>
          <w:sz w:val="20"/>
          <w:szCs w:val="20"/>
          <w:color w:val="auto"/>
        </w:rPr>
        <w:tab/>
      </w:r>
      <w:r>
        <w:rPr>
          <w:rFonts w:ascii="Arial" w:cs="Arial" w:eastAsia="Arial" w:hAnsi="Arial"/>
          <w:sz w:val="16"/>
          <w:szCs w:val="16"/>
          <w:color w:val="auto"/>
        </w:rPr>
        <w:t>Form of Discount Range Prepayment Offer</w:t>
      </w:r>
    </w:p>
    <w:p>
      <w:pPr>
        <w:spacing w:after="0" w:line="229" w:lineRule="auto"/>
        <w:tabs>
          <w:tab w:leader="none" w:pos="880" w:val="left"/>
          <w:tab w:leader="none" w:pos="1240" w:val="left"/>
        </w:tabs>
        <w:rPr>
          <w:sz w:val="20"/>
          <w:szCs w:val="20"/>
          <w:color w:val="auto"/>
        </w:rPr>
      </w:pPr>
      <w:r>
        <w:rPr>
          <w:rFonts w:ascii="Arial" w:cs="Arial" w:eastAsia="Arial" w:hAnsi="Arial"/>
          <w:sz w:val="18"/>
          <w:szCs w:val="18"/>
          <w:color w:val="auto"/>
        </w:rPr>
        <w:t>Exhibit K</w:t>
        <w:tab/>
        <w:t>—</w:t>
      </w:r>
      <w:r>
        <w:rPr>
          <w:sz w:val="20"/>
          <w:szCs w:val="20"/>
          <w:color w:val="auto"/>
        </w:rPr>
        <w:tab/>
      </w:r>
      <w:r>
        <w:rPr>
          <w:rFonts w:ascii="Arial" w:cs="Arial" w:eastAsia="Arial" w:hAnsi="Arial"/>
          <w:sz w:val="16"/>
          <w:szCs w:val="16"/>
          <w:color w:val="auto"/>
        </w:rPr>
        <w:t>Form of Solicited Discounted Prepayment Notice</w:t>
      </w: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L</w:t>
        <w:tab/>
        <w:t>—</w:t>
      </w:r>
      <w:r>
        <w:rPr>
          <w:sz w:val="20"/>
          <w:szCs w:val="20"/>
          <w:color w:val="auto"/>
        </w:rPr>
        <w:tab/>
      </w:r>
      <w:r>
        <w:rPr>
          <w:rFonts w:ascii="Arial" w:cs="Arial" w:eastAsia="Arial" w:hAnsi="Arial"/>
          <w:sz w:val="16"/>
          <w:szCs w:val="16"/>
          <w:color w:val="auto"/>
        </w:rPr>
        <w:t>Form of Solicited Discounted Prepayment Offer</w:t>
      </w:r>
    </w:p>
    <w:p>
      <w:pPr>
        <w:spacing w:after="0" w:line="229" w:lineRule="auto"/>
        <w:tabs>
          <w:tab w:leader="none" w:pos="900" w:val="left"/>
          <w:tab w:leader="none" w:pos="1260" w:val="left"/>
        </w:tabs>
        <w:rPr>
          <w:sz w:val="20"/>
          <w:szCs w:val="20"/>
          <w:color w:val="auto"/>
        </w:rPr>
      </w:pPr>
      <w:r>
        <w:rPr>
          <w:rFonts w:ascii="Arial" w:cs="Arial" w:eastAsia="Arial" w:hAnsi="Arial"/>
          <w:sz w:val="18"/>
          <w:szCs w:val="18"/>
          <w:color w:val="auto"/>
        </w:rPr>
        <w:t>Exhibit M</w:t>
        <w:tab/>
        <w:t>—</w:t>
      </w:r>
      <w:r>
        <w:rPr>
          <w:sz w:val="20"/>
          <w:szCs w:val="20"/>
          <w:color w:val="auto"/>
        </w:rPr>
        <w:tab/>
      </w:r>
      <w:r>
        <w:rPr>
          <w:rFonts w:ascii="Arial" w:cs="Arial" w:eastAsia="Arial" w:hAnsi="Arial"/>
          <w:sz w:val="16"/>
          <w:szCs w:val="16"/>
          <w:color w:val="auto"/>
        </w:rPr>
        <w:t>Form of Acceptance and Prepayment Notice</w:t>
      </w:r>
    </w:p>
    <w:p>
      <w:pPr>
        <w:jc w:val="both"/>
        <w:ind w:right="4979"/>
        <w:spacing w:after="0" w:line="223" w:lineRule="auto"/>
        <w:rPr>
          <w:sz w:val="20"/>
          <w:szCs w:val="20"/>
          <w:color w:val="auto"/>
        </w:rPr>
      </w:pPr>
      <w:r>
        <w:rPr>
          <w:rFonts w:ascii="Arial" w:cs="Arial" w:eastAsia="Arial" w:hAnsi="Arial"/>
          <w:sz w:val="17"/>
          <w:szCs w:val="17"/>
          <w:color w:val="auto"/>
        </w:rPr>
        <w:t>Exhibit N-1 — Form of United States Tax Compliance Certificate 1 Exhibit N-2 — Form of United States Tax Compliance Certificate 2</w:t>
      </w:r>
    </w:p>
    <w:p>
      <w:pPr>
        <w:spacing w:after="0" w:line="1" w:lineRule="exact"/>
        <w:rPr>
          <w:sz w:val="20"/>
          <w:szCs w:val="20"/>
          <w:color w:val="auto"/>
        </w:rPr>
      </w:pPr>
    </w:p>
    <w:p>
      <w:pPr>
        <w:jc w:val="both"/>
        <w:ind w:right="4979"/>
        <w:spacing w:after="0" w:line="203" w:lineRule="auto"/>
        <w:rPr>
          <w:sz w:val="20"/>
          <w:szCs w:val="20"/>
          <w:color w:val="auto"/>
        </w:rPr>
      </w:pPr>
      <w:r>
        <w:rPr>
          <w:rFonts w:ascii="Arial" w:cs="Arial" w:eastAsia="Arial" w:hAnsi="Arial"/>
          <w:sz w:val="18"/>
          <w:szCs w:val="18"/>
          <w:color w:val="auto"/>
        </w:rPr>
        <w:t>Exhibit N-3 — Form of United States Tax Compliance Certificate 3 Exhibit N-4 — Form of United States Tax Compliance Certificate 4 Exhibit O — Form of Note</w:t>
      </w:r>
    </w:p>
    <w:p>
      <w:pPr>
        <w:spacing w:after="0"/>
        <w:tabs>
          <w:tab w:leader="none" w:pos="840" w:val="left"/>
          <w:tab w:leader="none" w:pos="1200" w:val="left"/>
        </w:tabs>
        <w:rPr>
          <w:sz w:val="20"/>
          <w:szCs w:val="20"/>
          <w:color w:val="auto"/>
        </w:rPr>
      </w:pPr>
      <w:r>
        <w:rPr>
          <w:rFonts w:ascii="Arial" w:cs="Arial" w:eastAsia="Arial" w:hAnsi="Arial"/>
          <w:sz w:val="18"/>
          <w:szCs w:val="18"/>
          <w:color w:val="auto"/>
        </w:rPr>
        <w:t>Exhibit P</w:t>
        <w:tab/>
        <w:t>—</w:t>
      </w:r>
      <w:r>
        <w:rPr>
          <w:sz w:val="20"/>
          <w:szCs w:val="20"/>
          <w:color w:val="auto"/>
        </w:rPr>
        <w:tab/>
      </w:r>
      <w:r>
        <w:rPr>
          <w:rFonts w:ascii="Arial" w:cs="Arial" w:eastAsia="Arial" w:hAnsi="Arial"/>
          <w:sz w:val="16"/>
          <w:szCs w:val="16"/>
          <w:color w:val="auto"/>
        </w:rPr>
        <w:t>Form of Solvency Certificate</w:t>
      </w:r>
    </w:p>
    <w:p>
      <w:pPr>
        <w:spacing w:after="0" w:line="216" w:lineRule="auto"/>
        <w:tabs>
          <w:tab w:leader="none" w:pos="880" w:val="left"/>
          <w:tab w:leader="none" w:pos="1240" w:val="left"/>
        </w:tabs>
        <w:rPr>
          <w:sz w:val="20"/>
          <w:szCs w:val="20"/>
          <w:color w:val="auto"/>
        </w:rPr>
      </w:pPr>
      <w:r>
        <w:rPr>
          <w:rFonts w:ascii="Arial" w:cs="Arial" w:eastAsia="Arial" w:hAnsi="Arial"/>
          <w:sz w:val="18"/>
          <w:szCs w:val="18"/>
          <w:color w:val="auto"/>
        </w:rPr>
        <w:t>Exhibit Q</w:t>
        <w:tab/>
        <w:t>—</w:t>
      </w:r>
      <w:r>
        <w:rPr>
          <w:sz w:val="20"/>
          <w:szCs w:val="20"/>
          <w:color w:val="auto"/>
        </w:rPr>
        <w:tab/>
      </w:r>
      <w:r>
        <w:rPr>
          <w:rFonts w:ascii="Arial" w:cs="Arial" w:eastAsia="Arial" w:hAnsi="Arial"/>
          <w:sz w:val="17"/>
          <w:szCs w:val="17"/>
          <w:color w:val="auto"/>
        </w:rPr>
        <w:t>Form of Notice of Borrowing</w:t>
      </w:r>
    </w:p>
    <w:p>
      <w:pPr>
        <w:spacing w:after="0" w:line="229" w:lineRule="auto"/>
        <w:tabs>
          <w:tab w:leader="none" w:pos="860" w:val="left"/>
          <w:tab w:leader="none" w:pos="1220" w:val="left"/>
        </w:tabs>
        <w:rPr>
          <w:sz w:val="20"/>
          <w:szCs w:val="20"/>
          <w:color w:val="auto"/>
        </w:rPr>
      </w:pPr>
      <w:r>
        <w:rPr>
          <w:rFonts w:ascii="Arial" w:cs="Arial" w:eastAsia="Arial" w:hAnsi="Arial"/>
          <w:sz w:val="18"/>
          <w:szCs w:val="18"/>
          <w:color w:val="auto"/>
        </w:rPr>
        <w:t>Exhibit R</w:t>
        <w:tab/>
        <w:t>—</w:t>
      </w:r>
      <w:r>
        <w:rPr>
          <w:sz w:val="20"/>
          <w:szCs w:val="20"/>
          <w:color w:val="auto"/>
        </w:rPr>
        <w:tab/>
      </w:r>
      <w:r>
        <w:rPr>
          <w:rFonts w:ascii="Arial" w:cs="Arial" w:eastAsia="Arial" w:hAnsi="Arial"/>
          <w:sz w:val="16"/>
          <w:szCs w:val="16"/>
          <w:color w:val="auto"/>
        </w:rPr>
        <w:t>Form of Letter of Credit Request</w:t>
      </w: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X</w:t>
        <w:tab/>
        <w:t>—</w:t>
      </w:r>
      <w:r>
        <w:rPr>
          <w:sz w:val="20"/>
          <w:szCs w:val="20"/>
          <w:color w:val="auto"/>
        </w:rPr>
        <w:tab/>
      </w:r>
      <w:r>
        <w:rPr>
          <w:rFonts w:ascii="Arial" w:cs="Arial" w:eastAsia="Arial" w:hAnsi="Arial"/>
          <w:sz w:val="16"/>
          <w:szCs w:val="16"/>
          <w:color w:val="auto"/>
        </w:rPr>
        <w:t>Form of Beneficial Ownership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1408" w:right="1440" w:bottom="1440" w:gutter="0" w:footer="0" w:header="0"/>
        </w:sectPr>
      </w:pPr>
    </w:p>
    <w:bookmarkStart w:id="18" w:name="page19"/>
    <w:bookmarkEnd w:id="18"/>
    <w:p>
      <w:pPr>
        <w:jc w:val="both"/>
        <w:ind w:firstLine="1296"/>
        <w:spacing w:after="0" w:line="268" w:lineRule="auto"/>
        <w:rPr>
          <w:sz w:val="20"/>
          <w:szCs w:val="20"/>
          <w:color w:val="auto"/>
        </w:rPr>
      </w:pPr>
      <w:r>
        <w:rPr>
          <w:rFonts w:ascii="Arial" w:cs="Arial" w:eastAsia="Arial" w:hAnsi="Arial"/>
          <w:sz w:val="17"/>
          <w:szCs w:val="17"/>
          <w:color w:val="auto"/>
        </w:rPr>
        <w:t>FIRST LIEN CREDIT AGREEMENT dated as of December 13, 2019 (as amended, restated, supplemented or otherwise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SOTERA HEALTH TOPCO, INC., a Delaware corporation (the “</w:t>
      </w:r>
      <w:r>
        <w:rPr>
          <w:rFonts w:ascii="Arial" w:cs="Arial" w:eastAsia="Arial" w:hAnsi="Arial"/>
          <w:sz w:val="17"/>
          <w:szCs w:val="17"/>
          <w:u w:val="single" w:color="auto"/>
          <w:color w:val="auto"/>
        </w:rPr>
        <w:t>Initial Holdings</w:t>
      </w:r>
      <w:r>
        <w:rPr>
          <w:rFonts w:ascii="Arial" w:cs="Arial" w:eastAsia="Arial" w:hAnsi="Arial"/>
          <w:sz w:val="17"/>
          <w:szCs w:val="17"/>
          <w:color w:val="auto"/>
        </w:rPr>
        <w:t>”), SOTERA HEALTH HOLDINGS, LLC (the “</w:t>
      </w:r>
      <w:r>
        <w:rPr>
          <w:rFonts w:ascii="Arial" w:cs="Arial" w:eastAsia="Arial" w:hAnsi="Arial"/>
          <w:sz w:val="17"/>
          <w:szCs w:val="17"/>
          <w:u w:val="single" w:color="auto"/>
          <w:color w:val="auto"/>
        </w:rPr>
        <w:t>Borrower</w:t>
      </w:r>
      <w:r>
        <w:rPr>
          <w:rFonts w:ascii="Arial" w:cs="Arial" w:eastAsia="Arial" w:hAnsi="Arial"/>
          <w:sz w:val="17"/>
          <w:szCs w:val="17"/>
          <w:color w:val="auto"/>
        </w:rPr>
        <w:t>”), a Delaware limited company, the LENDERS and ISSUING BANKS party hereto and JPMORGAN CHASE BANK, N.A., (“JPMorgan”) (formerly Jefferies Finance LLC) as First Lien Administrative Agent and First Lien Collateral Agent.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4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Borrower has requested that the Lenders extend credit to the Borrower in the form of $157,500,000 in Amendment No. 1 Revolving Commitment Increase on the Amendment No. 1 Effective Date</w:t>
      </w:r>
      <w:r>
        <w:rPr>
          <w:rFonts w:ascii="Arial" w:cs="Arial" w:eastAsia="Arial" w:hAnsi="Arial"/>
          <w:sz w:val="18"/>
          <w:szCs w:val="18"/>
          <w:color w:val="1F497D"/>
        </w:rPr>
        <w:t>.</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Borrower has requested that the Lenders extend credit to the Borrower in the form of $76,250,000 in Amendment No. 2 Revolving Commitment Increase on the Amendment No. 2 Effective Date</w:t>
      </w:r>
      <w:r>
        <w:rPr>
          <w:rFonts w:ascii="Arial" w:cs="Arial" w:eastAsia="Arial" w:hAnsi="Arial"/>
          <w:sz w:val="18"/>
          <w:szCs w:val="18"/>
          <w:color w:val="1F497D"/>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w:t>
      </w:r>
    </w:p>
    <w:p>
      <w:pPr>
        <w:spacing w:after="0" w:line="225"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Defined Terms.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this Agreement, the following terms have the meanings specified below:</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 Agreement</w:t>
      </w:r>
      <w:r>
        <w:rPr>
          <w:rFonts w:ascii="Arial" w:cs="Arial" w:eastAsia="Arial" w:hAnsi="Arial"/>
          <w:sz w:val="18"/>
          <w:szCs w:val="18"/>
          <w:color w:val="auto"/>
        </w:rPr>
        <w:t>” 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w:t>
      </w:r>
    </w:p>
    <w:p>
      <w:pPr>
        <w:spacing w:after="0" w:line="17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Facility</w:t>
      </w:r>
      <w:r>
        <w:rPr>
          <w:rFonts w:ascii="Arial" w:cs="Arial" w:eastAsia="Arial" w:hAnsi="Arial"/>
          <w:sz w:val="17"/>
          <w:szCs w:val="17"/>
          <w:color w:val="auto"/>
        </w:rPr>
        <w:t xml:space="preserve">” shall mean an asset-based loan facility of the Borrower provided pursuant to the applicable ABL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security interests shall be granted to secure the ABL Obligations other than (A) a first-priority security interest in the ABL Priority Collateral, subject to (x) a perfected second-priority Lien in such Collateral in favor of the First Lien Collateral Agent and the other Secured Parties to secure the Secured Obligations and (y) a perfected third priority Lien in such Collateral in favor of the Second Lien Trustee and the other Secured Parties (as defined in the Second Lien Indenture) to secure the Second Lien Debt Document Obligations and (B) at the option of the Borrower, a third-priority security interest in any other Collateral (other than ABL Priority Collateral) in which the First Lien Collateral Agent and the other Secured Parties have a perfected first-priority security interest and in which the Second Lien Trustee and the other Secured Parties (as defined in the Second Lien Indenture) has a perfected second-priority security interest, (ii) such facility shall not (x) be guaranteed by any entity that is not a Loan Party or (y) 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(including the Second Lien Trustee)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w:t>
      </w:r>
    </w:p>
    <w:p>
      <w:pPr>
        <w:sectPr>
          <w:pgSz w:w="11900" w:h="16838" w:orient="portrait"/>
          <w:cols w:equalWidth="0" w:num="1">
            <w:col w:w="11240"/>
          </w:cols>
          <w:pgMar w:left="320" w:top="1421" w:right="339" w:bottom="1440" w:gutter="0" w:footer="0" w:header="0"/>
        </w:sectPr>
      </w:pPr>
    </w:p>
    <w:bookmarkStart w:id="19" w:name="page20"/>
    <w:bookmarkEnd w:id="19"/>
    <w:p>
      <w:pPr>
        <w:jc w:val="both"/>
        <w:spacing w:after="0" w:line="261" w:lineRule="auto"/>
        <w:rPr>
          <w:sz w:val="20"/>
          <w:szCs w:val="20"/>
          <w:color w:val="auto"/>
        </w:rPr>
      </w:pPr>
      <w:r>
        <w:rPr>
          <w:rFonts w:ascii="Arial" w:cs="Arial" w:eastAsia="Arial" w:hAnsi="Arial"/>
          <w:sz w:val="18"/>
          <w:szCs w:val="18"/>
          <w:color w:val="auto"/>
        </w:rPr>
        <w:t>Revolving Commitments and the Swingline Commitments shall have been terminated in full or are terminated in full substantially simultaneously with the effectiveness of the ABL Facility.</w:t>
      </w:r>
    </w:p>
    <w:p>
      <w:pPr>
        <w:spacing w:after="0" w:line="18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means the ABL Intercreditor Agreement substantially in the form of Exhibit E-3 among the First Lien Administrative Agent, the ABL Representative and one or more Senior Representatives for holders of Indebtedness not prohibited by this Agreement to be secured by the Collateral (including the Second Lien Trustee), with such modifications thereto as the First Lien Administrative Agent may reasonably agree.</w:t>
      </w:r>
    </w:p>
    <w:p>
      <w:pPr>
        <w:spacing w:after="0" w:line="19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Loan Documents</w:t>
      </w:r>
      <w:r>
        <w:rPr>
          <w:rFonts w:ascii="Arial" w:cs="Arial" w:eastAsia="Arial" w:hAnsi="Arial"/>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Obligations</w:t>
      </w:r>
      <w:r>
        <w:rPr>
          <w:rFonts w:ascii="Arial" w:cs="Arial" w:eastAsia="Arial" w:hAnsi="Arial"/>
          <w:sz w:val="18"/>
          <w:szCs w:val="18"/>
          <w:color w:val="auto"/>
        </w:rPr>
        <w:t>” 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means all the “ABL Priority Collateral” as defined in the ABL Intercreditor Agreement.</w:t>
      </w:r>
    </w:p>
    <w:p>
      <w:pPr>
        <w:spacing w:after="0" w:line="21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Representative</w:t>
      </w:r>
      <w:r>
        <w:rPr>
          <w:rFonts w:ascii="Arial" w:cs="Arial" w:eastAsia="Arial" w:hAnsi="Arial"/>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bears interest at a rate determined by reference to the (i) Alternate Base Rate (in the case of Loans denominated in Dollars) or (ii) Canadian Base Rate (in the case of Loans denominated in Canadian Dollars).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Discount</w:t>
      </w:r>
      <w:r>
        <w:rPr>
          <w:rFonts w:ascii="Arial" w:cs="Arial" w:eastAsia="Arial" w:hAnsi="Arial"/>
          <w:sz w:val="18"/>
          <w:szCs w:val="18"/>
          <w:color w:val="auto"/>
        </w:rPr>
        <w:t>” has the meaning assigned to such term in Section 2.11(a)(ii)(D)(2).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Prepayment Amount</w:t>
      </w:r>
      <w:r>
        <w:rPr>
          <w:rFonts w:ascii="Arial" w:cs="Arial" w:eastAsia="Arial" w:hAnsi="Arial"/>
          <w:sz w:val="18"/>
          <w:szCs w:val="18"/>
          <w:color w:val="auto"/>
        </w:rPr>
        <w:t>” has the meaning assigned to such term in Section 2.11(a)(ii)(D)(3).</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and Prepayment Notice</w:t>
      </w:r>
      <w:r>
        <w:rPr>
          <w:rFonts w:ascii="Arial" w:cs="Arial" w:eastAsia="Arial" w:hAnsi="Arial"/>
          <w:sz w:val="18"/>
          <w:szCs w:val="18"/>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Date</w:t>
      </w:r>
      <w:r>
        <w:rPr>
          <w:rFonts w:ascii="Arial" w:cs="Arial" w:eastAsia="Arial" w:hAnsi="Arial"/>
          <w:sz w:val="18"/>
          <w:szCs w:val="18"/>
          <w:color w:val="auto"/>
        </w:rPr>
        <w:t>” has the meaning specified in Section 2.11(a)(ii)(D)(2).</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Lenders</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xml:space="preserve"> ” means, with respect to any Acquired Entity or Business or any Converted Restricted Subsidiary (any of the foregoing, a “</w:t>
      </w:r>
      <w:r>
        <w:rPr>
          <w:rFonts w:ascii="Arial" w:cs="Arial" w:eastAsia="Arial" w:hAnsi="Arial"/>
          <w:sz w:val="18"/>
          <w:szCs w:val="18"/>
          <w:u w:val="single" w:color="auto"/>
          <w:color w:val="auto"/>
        </w:rPr>
        <w:t>Pro Forma Entity</w:t>
      </w:r>
      <w:r>
        <w:rPr>
          <w:rFonts w:ascii="Arial" w:cs="Arial" w:eastAsia="Arial" w:hAnsi="Arial"/>
          <w:sz w:val="18"/>
          <w:szCs w:val="18"/>
          <w:color w:val="auto"/>
        </w:rPr>
        <w:t>”) for any period as the amount for such period of Consolidated EBITDA of such Pro Forma Entity (determined as if references to the Borrower and the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20" w:name="page21"/>
    <w:bookmarkEnd w:id="20"/>
    <w:p>
      <w:pPr>
        <w:jc w:val="both"/>
        <w:spacing w:after="0" w:line="261" w:lineRule="auto"/>
        <w:rPr>
          <w:sz w:val="20"/>
          <w:szCs w:val="20"/>
          <w:color w:val="auto"/>
        </w:rPr>
      </w:pPr>
      <w:r>
        <w:rPr>
          <w:rFonts w:ascii="Arial" w:cs="Arial" w:eastAsia="Arial" w:hAnsi="Arial"/>
          <w:sz w:val="18"/>
          <w:szCs w:val="18"/>
          <w:color w:val="auto"/>
        </w:rPr>
        <w:t>Subsidiaries in the definition of “Consolidated EBITDA” were references to such Pro Forma Entity and its subsidiaries that will become Restricted Subsidiaries), all as determined on a consolidated basis for such Pro Forma Entity.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given such term in the definition of “Consolidated EBITDA.”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means any Additional Revolving Lender or any Additional Term Lender, as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Additional/Replacement Revolving Commitment</w:t>
      </w:r>
      <w:r>
        <w:rPr>
          <w:rFonts w:ascii="Arial" w:cs="Arial" w:eastAsia="Arial" w:hAnsi="Arial"/>
          <w:sz w:val="18"/>
          <w:szCs w:val="18"/>
          <w:color w:val="auto"/>
        </w:rPr>
        <w:t>” has the meaning assigned to such term in Section 2.20(a).</w:t>
      </w:r>
    </w:p>
    <w:p>
      <w:pPr>
        <w:spacing w:after="0" w:line="21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Revolving Lender</w:t>
      </w:r>
      <w:r>
        <w:rPr>
          <w:rFonts w:ascii="Arial" w:cs="Arial" w:eastAsia="Arial" w:hAnsi="Arial"/>
          <w:sz w:val="17"/>
          <w:szCs w:val="17"/>
          <w:color w:val="auto"/>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 (b) Credit Agreement Refinancing Indebtedness in the form of Other Revolving Commitments pursuant to a Refinancing Amendment in accordance with Section 2.21;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72"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Term Lender</w:t>
      </w:r>
      <w:r>
        <w:rPr>
          <w:rFonts w:ascii="Arial" w:cs="Arial" w:eastAsia="Arial" w:hAnsi="Arial"/>
          <w:sz w:val="17"/>
          <w:szCs w:val="17"/>
          <w:color w:val="auto"/>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Additional Term Lender shall be subject to the approval of the First Lien Administrative Agent if such consent would be required under 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18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BA Rate</w:t>
      </w:r>
      <w:r>
        <w:rPr>
          <w:rFonts w:ascii="Arial" w:cs="Arial" w:eastAsia="Arial" w:hAnsi="Arial"/>
          <w:sz w:val="18"/>
          <w:szCs w:val="18"/>
          <w:color w:val="auto"/>
        </w:rPr>
        <w:t xml:space="preserve">” means, with respect to any Term Benchmark Borrowing denominated in Canadian Dollars for any Interest Period, an interest rate per annum equal to (i) the BA Rate for such Interest Period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(ii) 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Term Loans only, the Adjusted BA Rate for any Interest Period shall not be less than 1.00% per annum.</w:t>
      </w:r>
    </w:p>
    <w:p>
      <w:pPr>
        <w:spacing w:after="0" w:line="19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Daily Simple SOFR</w:t>
      </w:r>
      <w:r>
        <w:rPr>
          <w:rFonts w:ascii="Arial" w:cs="Arial" w:eastAsia="Arial" w:hAnsi="Arial"/>
          <w:sz w:val="17"/>
          <w:szCs w:val="17"/>
          <w:color w:val="auto"/>
        </w:rPr>
        <w:t xml:space="preserve">” means </w:t>
      </w:r>
      <w:r>
        <w:rPr>
          <w:rFonts w:ascii="Arial" w:cs="Arial" w:eastAsia="Arial" w:hAnsi="Arial"/>
          <w:sz w:val="17"/>
          <w:szCs w:val="17"/>
          <w:u w:val="single" w:color="auto"/>
          <w:color w:val="0000FF"/>
        </w:rPr>
        <w:t>(i) with respect to the Revolving Loans only,</w:t>
      </w:r>
      <w:r>
        <w:rPr>
          <w:rFonts w:ascii="Arial" w:cs="Arial" w:eastAsia="Arial" w:hAnsi="Arial"/>
          <w:sz w:val="17"/>
          <w:szCs w:val="17"/>
          <w:color w:val="auto"/>
        </w:rPr>
        <w:t xml:space="preserve"> an interest rate per annum equal to (a) the Daily Simple SOFR, plus (b) 0.10%</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i w:val="1"/>
          <w:iCs w:val="1"/>
          <w:color w:val="FF0000"/>
          <w:strike w:val="1"/>
        </w:rPr>
        <w:t>provided that</w:t>
      </w:r>
      <w:r>
        <w:rPr>
          <w:rFonts w:ascii="Arial" w:cs="Arial" w:eastAsia="Arial" w:hAnsi="Arial"/>
          <w:sz w:val="17"/>
          <w:szCs w:val="17"/>
          <w:color w:val="auto"/>
        </w:rPr>
        <w:t xml:space="preserve"> </w:t>
      </w:r>
      <w:r>
        <w:rPr>
          <w:rFonts w:ascii="Arial" w:cs="Arial" w:eastAsia="Arial" w:hAnsi="Arial"/>
          <w:sz w:val="17"/>
          <w:szCs w:val="17"/>
          <w:color w:val="FF0000"/>
          <w:strike w:val="1"/>
        </w:rPr>
        <w:t>if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(ii) with respect the Term Loans only, an interest rate per annum equal to (a) the Daily Simple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u w:val="single" w:color="auto"/>
          <w:color w:val="0000FF"/>
        </w:rPr>
        <w:t>SOFR, plus (b) 0.11448% (11.448 basis points); provided that for the purposes of (i) and (ii), if</w:t>
      </w:r>
      <w:r>
        <w:rPr>
          <w:rFonts w:ascii="Arial" w:cs="Arial" w:eastAsia="Arial" w:hAnsi="Arial"/>
          <w:sz w:val="18"/>
          <w:szCs w:val="18"/>
          <w:color w:val="0000FF"/>
        </w:rPr>
        <w:t xml:space="preserve"> </w:t>
      </w:r>
      <w:r>
        <w:rPr>
          <w:rFonts w:ascii="Arial" w:cs="Arial" w:eastAsia="Arial" w:hAnsi="Arial"/>
          <w:sz w:val="18"/>
          <w:szCs w:val="18"/>
          <w:color w:val="000000"/>
        </w:rPr>
        <w:t>Adjusted Daily Simple SOFR as so determined would be</w:t>
      </w:r>
      <w:r>
        <w:rPr>
          <w:rFonts w:ascii="Arial" w:cs="Arial" w:eastAsia="Arial" w:hAnsi="Arial"/>
          <w:sz w:val="18"/>
          <w:szCs w:val="18"/>
          <w:color w:val="0000FF"/>
        </w:rPr>
        <w:t xml:space="preserve"> </w:t>
      </w:r>
      <w:r>
        <w:rPr>
          <w:rFonts w:ascii="Arial" w:cs="Arial" w:eastAsia="Arial" w:hAnsi="Arial"/>
          <w:sz w:val="18"/>
          <w:szCs w:val="18"/>
          <w:color w:val="000000"/>
        </w:rPr>
        <w:t>less than the Floor, such rate shall be deemed to be equal to the Floor for the purposes of this Agreement.</w:t>
      </w:r>
    </w:p>
    <w:p>
      <w:pPr>
        <w:spacing w:after="0" w:line="19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Daily Simple SONIA</w:t>
      </w:r>
      <w:r>
        <w:rPr>
          <w:rFonts w:ascii="Arial" w:cs="Arial" w:eastAsia="Arial" w:hAnsi="Arial"/>
          <w:sz w:val="18"/>
          <w:szCs w:val="18"/>
          <w:color w:val="auto"/>
        </w:rPr>
        <w:t xml:space="preserve">” means, with respect to any SONIA Borrowing, an interest rate per annum equal to (a) Daily Simple SONIA, plus (b) 0.0326%;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Daily Simple SONIA Rate as so determined would be less than zero, such rate shall be deemed to be equal to zero for the purposes of this Agreement.</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w:t>
      </w:r>
      <w:r>
        <w:rPr>
          <w:rFonts w:ascii="Arial" w:cs="Arial" w:eastAsia="Arial" w:hAnsi="Arial"/>
          <w:sz w:val="18"/>
          <w:szCs w:val="18"/>
          <w:color w:val="auto"/>
        </w:rPr>
        <w:t>” means, with respect to any Term Benchmark Borrowing denominated in Euros for any Interest Period, an interest rate per annum equal to (a) EURIBOR for such Interest Period multiplied by (b) the Statutory Reserve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21" w:name="page22"/>
    <w:bookmarkEnd w:id="21"/>
    <w:p>
      <w:pPr>
        <w:jc w:val="both"/>
        <w:ind w:firstLine="1296"/>
        <w:spacing w:after="0" w:line="25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Adjusted LIBO Rate</w:t>
      </w:r>
      <w:r>
        <w:rPr>
          <w:rFonts w:ascii="Arial" w:cs="Arial" w:eastAsia="Arial" w:hAnsi="Arial"/>
          <w:sz w:val="18"/>
          <w:szCs w:val="18"/>
          <w:color w:val="FF0000"/>
          <w:strike w:val="1"/>
        </w:rPr>
        <w:t xml:space="preserve">” means, with respect to any Eurodollar Borrowing of Term Loans for any Interest Period, an interest rate per annum equal to (a) the LIBO Rate for such Interest Period multiplied by (b) the Statutory Reserve Rate;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the Adjusted LIBO Rate for any Interest Period shall not be less than 0.50% per annum.</w:t>
      </w:r>
    </w:p>
    <w:p>
      <w:pPr>
        <w:spacing w:after="0" w:line="17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Term SOFR Rate</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(i) with respect to the Revolving Loans only,</w:t>
      </w:r>
      <w:r>
        <w:rPr>
          <w:rFonts w:ascii="Arial" w:cs="Arial" w:eastAsia="Arial" w:hAnsi="Arial"/>
          <w:sz w:val="16"/>
          <w:szCs w:val="16"/>
          <w:color w:val="auto"/>
        </w:rPr>
        <w:t xml:space="preserve"> for any Interest Period, an interest rate per annum equal to (a) the Term SOFR Rate for such Interest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(b) 0.10% </w:t>
      </w:r>
      <w:r>
        <w:rPr>
          <w:rFonts w:ascii="Arial" w:cs="Arial" w:eastAsia="Arial" w:hAnsi="Arial"/>
          <w:sz w:val="16"/>
          <w:szCs w:val="16"/>
          <w:u w:val="single" w:color="auto"/>
          <w:color w:val="0000FF"/>
        </w:rPr>
        <w:t>(10 basis points) and (ii) with respect to the Term Loans only, (a) 0.11448% (11.448</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basis points) for an Interest Period of one-month’s duration, (b) 0.26161% (26.161 basis points) for an Interest Period of three-months’ duration, and (c)</w:t>
      </w:r>
    </w:p>
    <w:p>
      <w:pPr>
        <w:jc w:val="both"/>
        <w:spacing w:after="0" w:line="273" w:lineRule="auto"/>
        <w:rPr>
          <w:sz w:val="20"/>
          <w:szCs w:val="20"/>
          <w:color w:val="auto"/>
        </w:rPr>
      </w:pPr>
      <w:r>
        <w:rPr>
          <w:rFonts w:ascii="Arial" w:cs="Arial" w:eastAsia="Arial" w:hAnsi="Arial"/>
          <w:sz w:val="17"/>
          <w:szCs w:val="17"/>
          <w:u w:val="single" w:color="auto"/>
          <w:color w:val="0000FF"/>
        </w:rPr>
        <w:t>0.42826% (42.826 basis points) for an Interest Period of six-months’ duration;</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that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for the purposes of (i) and (ii),</w:t>
      </w:r>
      <w:r>
        <w:rPr>
          <w:rFonts w:ascii="Arial" w:cs="Arial" w:eastAsia="Arial" w:hAnsi="Arial"/>
          <w:sz w:val="17"/>
          <w:szCs w:val="17"/>
          <w:color w:val="0000FF"/>
        </w:rPr>
        <w:t xml:space="preserve"> </w:t>
      </w:r>
      <w:r>
        <w:rPr>
          <w:rFonts w:ascii="Arial" w:cs="Arial" w:eastAsia="Arial" w:hAnsi="Arial"/>
          <w:sz w:val="17"/>
          <w:szCs w:val="17"/>
          <w:color w:val="000000"/>
        </w:rPr>
        <w:t>if the Adjusted Term SOFR</w:t>
      </w:r>
      <w:r>
        <w:rPr>
          <w:rFonts w:ascii="Arial" w:cs="Arial" w:eastAsia="Arial" w:hAnsi="Arial"/>
          <w:sz w:val="17"/>
          <w:szCs w:val="17"/>
          <w:color w:val="0000FF"/>
        </w:rPr>
        <w:t xml:space="preserve"> </w:t>
      </w:r>
      <w:r>
        <w:rPr>
          <w:rFonts w:ascii="Arial" w:cs="Arial" w:eastAsia="Arial" w:hAnsi="Arial"/>
          <w:sz w:val="17"/>
          <w:szCs w:val="17"/>
          <w:color w:val="000000"/>
        </w:rPr>
        <w:t>Rate as so determined would be less than the Floor, such rate shall be deemed to be equal to the Floor for the purposes of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First Lien Administrative Agent.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w:t>
      </w:r>
    </w:p>
    <w:p>
      <w:pPr>
        <w:spacing w:after="0" w:line="17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Debt Fund</w:t>
      </w:r>
      <w:r>
        <w:rPr>
          <w:rFonts w:ascii="Arial" w:cs="Arial" w:eastAsia="Arial" w:hAnsi="Arial"/>
          <w:sz w:val="18"/>
          <w:szCs w:val="18"/>
          <w:color w:val="auto"/>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spacing w:after="0" w:line="18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w:t>
      </w:r>
      <w:r>
        <w:rPr>
          <w:rFonts w:ascii="Arial" w:cs="Arial" w:eastAsia="Arial" w:hAnsi="Arial"/>
          <w:sz w:val="18"/>
          <w:szCs w:val="18"/>
          <w:color w:val="auto"/>
        </w:rPr>
        <w:t>”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First Lien Administrative Agent, the First Lien Collateral Agent, each Joint Lead Arranger and any successors and assigns of the foregoing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given to such term in Section 9.01(c).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Dollars and each Alternative Currency.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to such term in the preliminary statements hereto.</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0.50%, (c) </w:t>
      </w:r>
      <w:r>
        <w:rPr>
          <w:rFonts w:ascii="Arial" w:cs="Arial" w:eastAsia="Arial" w:hAnsi="Arial"/>
          <w:sz w:val="16"/>
          <w:szCs w:val="16"/>
          <w:color w:val="FF0000"/>
          <w:strike w:val="1"/>
        </w:rPr>
        <w:t>in the case of any Term Loans, the Adjusted LIBO Rate for a one month Interest Period on such day (or</w:t>
      </w:r>
    </w:p>
    <w:p>
      <w:pPr>
        <w:jc w:val="both"/>
        <w:spacing w:after="0" w:line="243" w:lineRule="auto"/>
        <w:rPr>
          <w:sz w:val="20"/>
          <w:szCs w:val="20"/>
          <w:color w:val="auto"/>
        </w:rPr>
      </w:pPr>
      <w:r>
        <w:rPr>
          <w:rFonts w:ascii="Arial" w:cs="Arial" w:eastAsia="Arial" w:hAnsi="Arial"/>
          <w:sz w:val="18"/>
          <w:szCs w:val="18"/>
          <w:color w:val="FF0000"/>
          <w:strike w:val="1"/>
        </w:rPr>
        <w:t xml:space="preserve">if such day is not a Business Day, the immediately preceding Business Day) plus 1%;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for the purpose of this clause (c), the Adjusted LIBO Rate for any day shall be based on the LIBO Screen Rate (or if the LIBO Screen Rate is not available for such one month Interest Period, the LIBO Interpolated Rate) at approximately 11:00 a.m. London time on such day and (d) in the case of any Revolving Loans, </w:t>
      </w:r>
      <w:r>
        <w:rPr>
          <w:rFonts w:ascii="Arial" w:cs="Arial" w:eastAsia="Arial" w:hAnsi="Arial"/>
          <w:sz w:val="18"/>
          <w:szCs w:val="18"/>
          <w:color w:val="000000"/>
          <w:strike w:val="1"/>
        </w:rPr>
        <w:t>the Adjusted Term SOFR Rate for a</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one month Interest Period as published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7"/>
          <w:szCs w:val="17"/>
          <w:color w:val="auto"/>
        </w:rPr>
        <w:t xml:space="preserve">U.S. Governmental Securities Business Days prior to such day (or if such day is not a U.S. Governmental Securities Business Day, the immediately preceding U.S. Governmental Securities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clause (</w:t>
      </w:r>
      <w:r>
        <w:rPr>
          <w:rFonts w:ascii="Arial" w:cs="Arial" w:eastAsia="Arial" w:hAnsi="Arial"/>
          <w:sz w:val="17"/>
          <w:szCs w:val="17"/>
          <w:color w:val="FF0000"/>
          <w:strike w:val="1"/>
        </w:rPr>
        <w:t>d</w:t>
      </w:r>
      <w:r>
        <w:rPr>
          <w:rFonts w:ascii="Arial" w:cs="Arial" w:eastAsia="Arial" w:hAnsi="Arial"/>
          <w:sz w:val="17"/>
          <w:szCs w:val="17"/>
          <w:u w:val="single" w:color="auto"/>
          <w:color w:val="0000FF"/>
        </w:rPr>
        <w:t>c</w:t>
      </w:r>
      <w:r>
        <w:rPr>
          <w:rFonts w:ascii="Arial" w:cs="Arial" w:eastAsia="Arial" w:hAnsi="Arial"/>
          <w:sz w:val="17"/>
          <w:szCs w:val="17"/>
          <w:color w:val="auto"/>
        </w:rPr>
        <w:t xml:space="preserve">)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w:t>
      </w:r>
      <w:r>
        <w:rPr>
          <w:rFonts w:ascii="Arial" w:cs="Arial" w:eastAsia="Arial" w:hAnsi="Arial"/>
          <w:sz w:val="17"/>
          <w:szCs w:val="17"/>
          <w:color w:val="FF0000"/>
          <w:strike w:val="1"/>
        </w:rPr>
        <w:t>the Adjusted LIBO Rate</w:t>
      </w:r>
      <w:r>
        <w:rPr>
          <w:rFonts w:ascii="Arial" w:cs="Arial" w:eastAsia="Arial" w:hAnsi="Arial"/>
          <w:sz w:val="17"/>
          <w:szCs w:val="17"/>
          <w:color w:val="auto"/>
        </w:rPr>
        <w:t xml:space="preserve"> or the Adjusted Term SOFR Rate shall be effective on the effective date of such change in the Prime Rate, the NYFRB Rate, </w:t>
      </w:r>
      <w:r>
        <w:rPr>
          <w:rFonts w:ascii="Arial" w:cs="Arial" w:eastAsia="Arial" w:hAnsi="Arial"/>
          <w:sz w:val="17"/>
          <w:szCs w:val="17"/>
          <w:color w:val="FF0000"/>
          <w:strike w:val="1"/>
        </w:rPr>
        <w:t>the Adjusted LIBO Rate,</w:t>
      </w:r>
      <w:r>
        <w:rPr>
          <w:rFonts w:ascii="Arial" w:cs="Arial" w:eastAsia="Arial" w:hAnsi="Arial"/>
          <w:sz w:val="17"/>
          <w:szCs w:val="17"/>
          <w:color w:val="auto"/>
        </w:rPr>
        <w:t xml:space="preserve"> or the Adjusted Term SOFR Rate, as the case may be. Notwithstanding the foregoing, (i) with respect to the Term Loans only, the Alternate Base Rate will be deemed to be 0.00% per annum if the Alternate Base Rate calculated pursuant to the foregoing provisions would otherwise be less than 0.00% per annum and (ii) </w:t>
      </w:r>
      <w:r>
        <w:rPr>
          <w:rFonts w:ascii="Arial" w:cs="Arial" w:eastAsia="Arial" w:hAnsi="Arial"/>
          <w:sz w:val="17"/>
          <w:szCs w:val="17"/>
          <w:color w:val="FF0000"/>
          <w:strike w:val="1"/>
        </w:rPr>
        <w:t>with respect to the Revolving Loans only,</w:t>
      </w:r>
      <w:r>
        <w:rPr>
          <w:rFonts w:ascii="Arial" w:cs="Arial" w:eastAsia="Arial" w:hAnsi="Arial"/>
          <w:sz w:val="17"/>
          <w:szCs w:val="17"/>
          <w:color w:val="auto"/>
        </w:rPr>
        <w:t xml:space="preserve">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w:t>
      </w:r>
      <w:r>
        <w:rPr>
          <w:rFonts w:ascii="Arial" w:cs="Arial" w:eastAsia="Arial" w:hAnsi="Arial"/>
          <w:sz w:val="17"/>
          <w:szCs w:val="17"/>
          <w:color w:val="FF0000"/>
          <w:strike w:val="1"/>
        </w:rPr>
        <w:t>d</w:t>
      </w:r>
      <w:r>
        <w:rPr>
          <w:rFonts w:ascii="Arial" w:cs="Arial" w:eastAsia="Arial" w:hAnsi="Arial"/>
          <w:sz w:val="17"/>
          <w:szCs w:val="17"/>
          <w:u w:val="single" w:color="auto"/>
          <w:color w:val="0000FF"/>
        </w:rPr>
        <w:t>c</w:t>
      </w:r>
      <w:r>
        <w:rPr>
          <w:rFonts w:ascii="Arial" w:cs="Arial" w:eastAsia="Arial" w:hAnsi="Arial"/>
          <w:sz w:val="17"/>
          <w:szCs w:val="17"/>
          <w:color w:val="auto"/>
        </w:rPr>
        <w:t>) above.</w:t>
      </w:r>
    </w:p>
    <w:p>
      <w:pPr>
        <w:spacing w:after="0" w:line="17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Canadian Dollars, Euros, Sterling and each other currency (other than Dollars) that is requested by the Borrower and approved in accordance with Section 1.08.</w:t>
      </w:r>
    </w:p>
    <w:p>
      <w:pPr>
        <w:spacing w:after="0" w:line="18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xml:space="preserve"> ”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First Lien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First Lien Administrative Agent in its sole discretion (or if such service ceases to be available or ceases to provide such rate of exchange, the equivalent of such amount in Dollars as determined by the First Lien Administrative Agent using any method of determination it deems appropriate in its sole discretion).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Incremental Amendment No. 1 to this Agreement dated as of December 17, 2020.</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means December 17, 2020, the date of effectiveness of Amendment No. 1.</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Revolving Commitment Increase</w:t>
      </w:r>
      <w:r>
        <w:rPr>
          <w:rFonts w:ascii="Arial" w:cs="Arial" w:eastAsia="Arial" w:hAnsi="Arial"/>
          <w:sz w:val="18"/>
          <w:szCs w:val="18"/>
          <w:color w:val="auto"/>
        </w:rPr>
        <w:t>” means the obligation of each Incremental Amendment Revolving Lender (as defined in Amendment No. 1) to provide Incremental Revolving Commitments to the Borrower on the Amendment No. 1 Effective Date in an aggregate principal amount equal to $157,500,000.</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w:t>
      </w:r>
      <w:r>
        <w:rPr>
          <w:rFonts w:ascii="Arial" w:cs="Arial" w:eastAsia="Arial" w:hAnsi="Arial"/>
          <w:sz w:val="18"/>
          <w:szCs w:val="18"/>
          <w:color w:val="auto"/>
        </w:rPr>
        <w:t>” means Incremental Amendment No. 2 to this Agreement dated as of March 21, 2023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means March 21, 2023, the date of effectiveness of Amendment No. 2.</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Revolving Commitment Increase</w:t>
      </w:r>
      <w:r>
        <w:rPr>
          <w:rFonts w:ascii="Arial" w:cs="Arial" w:eastAsia="Arial" w:hAnsi="Arial"/>
          <w:sz w:val="18"/>
          <w:szCs w:val="18"/>
          <w:color w:val="auto"/>
        </w:rPr>
        <w:t>” means the obligation of each Incremental Amendment Revolving Lender (as defined in Amendment No. 2) to provide Incremental Revolving Commitments to the Borrower on the Amendment No. 2 Effective Date in an aggregate principal amount equal to $76,250,000.</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Discount</w:t>
      </w:r>
      <w:r>
        <w:rPr>
          <w:rFonts w:ascii="Arial" w:cs="Arial" w:eastAsia="Arial" w:hAnsi="Arial"/>
          <w:sz w:val="18"/>
          <w:szCs w:val="18"/>
          <w:color w:val="auto"/>
        </w:rPr>
        <w:t>” has the meaning assigned to such term in Section 2.11(a)(ii)(C)(2).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23" w:name="page24"/>
    <w:bookmarkEnd w:id="23"/>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Fronting Exposure</w:t>
      </w:r>
      <w:r>
        <w:rPr>
          <w:rFonts w:ascii="Arial" w:cs="Arial" w:eastAsia="Arial" w:hAnsi="Arial"/>
          <w:sz w:val="18"/>
          <w:szCs w:val="18"/>
          <w:color w:val="auto"/>
        </w:rPr>
        <w:t>” means, with respect to any Person that is an Issuing Bank or the 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18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191" w:lineRule="exact"/>
        <w:rPr>
          <w:sz w:val="20"/>
          <w:szCs w:val="20"/>
          <w:color w:val="auto"/>
        </w:rPr>
      </w:pPr>
    </w:p>
    <w:p>
      <w:pPr>
        <w:ind w:right="60" w:firstLine="1296"/>
        <w:spacing w:after="0" w:line="261"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Applicable Rate</w:t>
      </w:r>
      <w:r>
        <w:rPr>
          <w:rFonts w:ascii="Arial" w:cs="Arial" w:eastAsia="Arial" w:hAnsi="Arial"/>
          <w:sz w:val="17"/>
          <w:szCs w:val="17"/>
          <w:color w:val="auto"/>
        </w:rPr>
        <w:t xml:space="preserve">” means, for any day, (a) with respect to any SONIA Loan, Adjusted Daily Simple SONIA plus 2.75% per annum, (b) with respect to any Term Loan denominated in Dollars, (i) in the case of an ABR Loan, the Alternate Base Rate plus 1.75% per annum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(ii) in the case of a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Term Benchmark</w:t>
      </w:r>
      <w:r>
        <w:rPr>
          <w:rFonts w:ascii="Arial" w:cs="Arial" w:eastAsia="Arial" w:hAnsi="Arial"/>
          <w:sz w:val="17"/>
          <w:szCs w:val="17"/>
          <w:color w:val="auto"/>
        </w:rPr>
        <w:t xml:space="preserve"> Loan, the Adjusted </w:t>
      </w:r>
      <w:r>
        <w:rPr>
          <w:rFonts w:ascii="Arial" w:cs="Arial" w:eastAsia="Arial" w:hAnsi="Arial"/>
          <w:sz w:val="17"/>
          <w:szCs w:val="17"/>
          <w:color w:val="FF0000"/>
          <w:strike w:val="1"/>
        </w:rPr>
        <w:t>LIBO</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Rate plus 2.75% per annum</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 (iii) in the case of a RFR Loan, Adjusted Daily Simple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SOFR plus 2.75% per annum,</w:t>
      </w:r>
      <w:r>
        <w:rPr>
          <w:rFonts w:ascii="Arial" w:cs="Arial" w:eastAsia="Arial" w:hAnsi="Arial"/>
          <w:sz w:val="17"/>
          <w:szCs w:val="17"/>
          <w:color w:val="0000FF"/>
        </w:rPr>
        <w:t xml:space="preserve"> </w:t>
      </w:r>
      <w:r>
        <w:rPr>
          <w:rFonts w:ascii="Arial" w:cs="Arial" w:eastAsia="Arial" w:hAnsi="Arial"/>
          <w:sz w:val="17"/>
          <w:szCs w:val="17"/>
          <w:color w:val="000000"/>
        </w:rPr>
        <w:t>(c) with respect to any Loan denominated in Euros, Adjusted EURIBOR Rate plus 2.75% per annum, (d) with respect to any</w:t>
      </w:r>
      <w:r>
        <w:rPr>
          <w:rFonts w:ascii="Arial" w:cs="Arial" w:eastAsia="Arial" w:hAnsi="Arial"/>
          <w:sz w:val="17"/>
          <w:szCs w:val="17"/>
          <w:color w:val="0000FF"/>
        </w:rPr>
        <w:t xml:space="preserve"> </w:t>
      </w:r>
      <w:r>
        <w:rPr>
          <w:rFonts w:ascii="Arial" w:cs="Arial" w:eastAsia="Arial" w:hAnsi="Arial"/>
          <w:sz w:val="17"/>
          <w:szCs w:val="17"/>
          <w:color w:val="000000"/>
        </w:rPr>
        <w:t xml:space="preserve">Loan denominated in Canadian Dollars, (i) in the case of any ABR Loan, the Canadian Base Rate plus 1.75% per annum or (ii) in the case of a Term Benchmark Loan, the Adjusted BA Rate plus 2.75% and (e) with respect to any Revolving Loan denominated in Dollars, (i) in the case of an ABR Loan, the Alternate Base Rate plus 1.75%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(ii) in the case of a Term Benchmark Loan, the Adjusted Term SOFR Rate plus 2.75%</w:t>
      </w:r>
      <w:r>
        <w:rPr>
          <w:rFonts w:ascii="Arial" w:cs="Arial" w:eastAsia="Arial" w:hAnsi="Arial"/>
          <w:sz w:val="17"/>
          <w:szCs w:val="17"/>
          <w:u w:val="single" w:color="auto"/>
          <w:color w:val="0000FF"/>
        </w:rPr>
        <w:t>, or (iii) in the case of a RFR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Loan, Adjusted Daily Simple SOFR plus 2.75% per annum</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-881380</wp:posOffset>
            </wp:positionV>
            <wp:extent cx="119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-212725</wp:posOffset>
            </wp:positionV>
            <wp:extent cx="119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the term “Permitted Investments.”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“Permitted Investments.”</w:t>
      </w:r>
    </w:p>
    <w:p>
      <w:pPr>
        <w:spacing w:after="0" w:line="21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7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17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Agent</w:t>
      </w:r>
      <w:r>
        <w:rPr>
          <w:rFonts w:ascii="Arial" w:cs="Arial" w:eastAsia="Arial" w:hAnsi="Arial"/>
          <w:sz w:val="18"/>
          <w:szCs w:val="18"/>
          <w:color w:val="auto"/>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24" w:name="page25"/>
    <w:bookmarkEnd w:id="24"/>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as of any date of determination, a cumulative amount equal to (without duplication):</w:t>
      </w:r>
    </w:p>
    <w:p>
      <w:pPr>
        <w:spacing w:after="0" w:line="225" w:lineRule="exact"/>
        <w:rPr>
          <w:sz w:val="20"/>
          <w:szCs w:val="20"/>
          <w:color w:val="auto"/>
        </w:rPr>
      </w:pPr>
    </w:p>
    <w:p>
      <w:pPr>
        <w:ind w:left="660" w:firstLine="644"/>
        <w:spacing w:after="0" w:line="261" w:lineRule="auto"/>
        <w:tabs>
          <w:tab w:leader="none" w:pos="15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greater of (x) $96,000,000 and (y) 25% of Consolidated EBITDA for the most recently ended Test Period as of such date (such amount, the “</w:t>
      </w:r>
      <w:r>
        <w:rPr>
          <w:rFonts w:ascii="Arial" w:cs="Arial" w:eastAsia="Arial" w:hAnsi="Arial"/>
          <w:sz w:val="18"/>
          <w:szCs w:val="18"/>
          <w:u w:val="single" w:color="auto"/>
          <w:color w:val="auto"/>
        </w:rPr>
        <w:t>Starter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84" w:lineRule="exact"/>
        <w:rPr>
          <w:rFonts w:ascii="Arial" w:cs="Arial" w:eastAsia="Arial" w:hAnsi="Arial"/>
          <w:sz w:val="18"/>
          <w:szCs w:val="18"/>
          <w:color w:val="auto"/>
        </w:rPr>
      </w:pPr>
    </w:p>
    <w:p>
      <w:pPr>
        <w:jc w:val="both"/>
        <w:ind w:left="660" w:firstLine="644"/>
        <w:spacing w:after="0" w:line="249" w:lineRule="auto"/>
        <w:tabs>
          <w:tab w:leader="none" w:pos="157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Arial" w:cs="Arial" w:eastAsia="Arial" w:hAnsi="Arial"/>
          <w:sz w:val="18"/>
          <w:szCs w:val="18"/>
          <w:u w:val="single" w:color="auto"/>
          <w:color w:val="auto"/>
        </w:rPr>
        <w:t>plus</w:t>
      </w:r>
    </w:p>
    <w:p>
      <w:pPr>
        <w:spacing w:after="0" w:line="181" w:lineRule="exact"/>
        <w:rPr>
          <w:rFonts w:ascii="Arial" w:cs="Arial" w:eastAsia="Arial" w:hAnsi="Arial"/>
          <w:sz w:val="18"/>
          <w:szCs w:val="18"/>
          <w:color w:val="auto"/>
        </w:rPr>
      </w:pPr>
    </w:p>
    <w:p>
      <w:pPr>
        <w:ind w:left="1680" w:hanging="376"/>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jc w:val="both"/>
        <w:ind w:left="660" w:firstLine="644"/>
        <w:spacing w:after="0" w:line="249" w:lineRule="auto"/>
        <w:tabs>
          <w:tab w:leader="none" w:pos="172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ind w:left="660" w:firstLine="644"/>
        <w:spacing w:after="0" w:line="277" w:lineRule="auto"/>
        <w:tabs>
          <w:tab w:leader="none" w:pos="173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Net Proceeds of a sale or other Disposition of any Unrestricted Subsidiary (including the issuance of stock of an Unrestricted Subsidiary) received by the Borrower or any Restricted Subsidiary, </w:t>
      </w:r>
      <w:r>
        <w:rPr>
          <w:rFonts w:ascii="Arial" w:cs="Arial" w:eastAsia="Arial" w:hAnsi="Arial"/>
          <w:sz w:val="18"/>
          <w:szCs w:val="18"/>
          <w:u w:val="single" w:color="auto"/>
          <w:color w:val="auto"/>
        </w:rPr>
        <w:t>plus</w:t>
      </w:r>
    </w:p>
    <w:p>
      <w:pPr>
        <w:spacing w:after="0" w:line="156" w:lineRule="exact"/>
        <w:rPr>
          <w:rFonts w:ascii="Arial" w:cs="Arial" w:eastAsia="Arial" w:hAnsi="Arial"/>
          <w:sz w:val="18"/>
          <w:szCs w:val="18"/>
          <w:color w:val="auto"/>
        </w:rPr>
      </w:pPr>
    </w:p>
    <w:p>
      <w:pPr>
        <w:ind w:left="660" w:firstLine="644"/>
        <w:spacing w:after="0" w:line="277" w:lineRule="auto"/>
        <w:tabs>
          <w:tab w:leader="none" w:pos="179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dividends or other distributions or returns on capital received by the Borrower or any Restricted Subsidiary from an Unrestricted Subsidiary, </w:t>
      </w:r>
      <w:r>
        <w:rPr>
          <w:rFonts w:ascii="Arial" w:cs="Arial" w:eastAsia="Arial" w:hAnsi="Arial"/>
          <w:sz w:val="18"/>
          <w:szCs w:val="18"/>
          <w:u w:val="single" w:color="auto"/>
          <w:color w:val="auto"/>
        </w:rPr>
        <w:t>plus</w:t>
      </w:r>
    </w:p>
    <w:p>
      <w:pPr>
        <w:spacing w:after="0" w:line="156" w:lineRule="exact"/>
        <w:rPr>
          <w:rFonts w:ascii="Arial" w:cs="Arial" w:eastAsia="Arial" w:hAnsi="Arial"/>
          <w:sz w:val="18"/>
          <w:szCs w:val="18"/>
          <w:color w:val="auto"/>
        </w:rPr>
      </w:pPr>
    </w:p>
    <w:p>
      <w:pPr>
        <w:ind w:left="1700" w:hanging="396"/>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amount of any Retained Declined Proceeds since the Effective Date.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Equity Amount</w:t>
      </w:r>
      <w:r>
        <w:rPr>
          <w:rFonts w:ascii="Arial" w:cs="Arial" w:eastAsia="Arial" w:hAnsi="Arial"/>
          <w:sz w:val="18"/>
          <w:szCs w:val="18"/>
          <w:color w:val="auto"/>
        </w:rPr>
        <w:t>” means a cumulative amount equal to (without duplication):</w:t>
      </w:r>
    </w:p>
    <w:p>
      <w:pPr>
        <w:spacing w:after="0" w:line="225" w:lineRule="exact"/>
        <w:rPr>
          <w:sz w:val="20"/>
          <w:szCs w:val="20"/>
          <w:color w:val="auto"/>
        </w:rPr>
      </w:pPr>
    </w:p>
    <w:p>
      <w:pPr>
        <w:ind w:left="660" w:firstLine="644"/>
        <w:spacing w:after="0" w:line="291" w:lineRule="auto"/>
        <w:tabs>
          <w:tab w:leader="none" w:pos="170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Arial" w:cs="Arial" w:eastAsia="Arial" w:hAnsi="Arial"/>
          <w:sz w:val="17"/>
          <w:szCs w:val="17"/>
          <w:u w:val="single" w:color="auto"/>
          <w:color w:val="auto"/>
        </w:rPr>
        <w:t>plus</w:t>
      </w:r>
    </w:p>
    <w:p>
      <w:pPr>
        <w:spacing w:after="0" w:line="160" w:lineRule="exact"/>
        <w:rPr>
          <w:rFonts w:ascii="Arial" w:cs="Arial" w:eastAsia="Arial" w:hAnsi="Arial"/>
          <w:sz w:val="17"/>
          <w:szCs w:val="17"/>
          <w:color w:val="auto"/>
        </w:rPr>
      </w:pPr>
    </w:p>
    <w:p>
      <w:pPr>
        <w:ind w:left="660" w:firstLine="644"/>
        <w:spacing w:after="0" w:line="261" w:lineRule="auto"/>
        <w:tabs>
          <w:tab w:leader="none" w:pos="175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capital contributions received by the Borrower after the Effective Date in cash or Permitted Investments (other than in respect of any Disqualified Equity Interest), </w:t>
      </w:r>
      <w:r>
        <w:rPr>
          <w:rFonts w:ascii="Arial" w:cs="Arial" w:eastAsia="Arial" w:hAnsi="Arial"/>
          <w:sz w:val="18"/>
          <w:szCs w:val="18"/>
          <w:u w:val="single" w:color="auto"/>
          <w:color w:val="auto"/>
        </w:rPr>
        <w:t>plus</w:t>
      </w:r>
    </w:p>
    <w:p>
      <w:pPr>
        <w:spacing w:after="0" w:line="184" w:lineRule="exact"/>
        <w:rPr>
          <w:rFonts w:ascii="Arial" w:cs="Arial" w:eastAsia="Arial" w:hAnsi="Arial"/>
          <w:sz w:val="18"/>
          <w:szCs w:val="18"/>
          <w:color w:val="auto"/>
        </w:rPr>
      </w:pPr>
    </w:p>
    <w:p>
      <w:pPr>
        <w:ind w:left="660" w:firstLine="644"/>
        <w:spacing w:after="0" w:line="291" w:lineRule="auto"/>
        <w:tabs>
          <w:tab w:leader="none" w:pos="175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Arial" w:cs="Arial" w:eastAsia="Arial" w:hAnsi="Arial"/>
          <w:sz w:val="17"/>
          <w:szCs w:val="17"/>
          <w:u w:val="single" w:color="auto"/>
          <w:color w:val="auto"/>
        </w:rPr>
        <w:t>plus</w:t>
      </w:r>
    </w:p>
    <w:p>
      <w:pPr>
        <w:spacing w:after="0" w:line="160" w:lineRule="exact"/>
        <w:rPr>
          <w:rFonts w:ascii="Arial" w:cs="Arial" w:eastAsia="Arial" w:hAnsi="Arial"/>
          <w:sz w:val="17"/>
          <w:szCs w:val="17"/>
          <w:color w:val="auto"/>
        </w:rPr>
      </w:pPr>
    </w:p>
    <w:p>
      <w:pPr>
        <w:ind w:firstLine="1304"/>
        <w:spacing w:after="0" w:line="261" w:lineRule="auto"/>
        <w:tabs>
          <w:tab w:leader="none" w:pos="176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returns, profits, distributions and similar amounts received in cash or Permitted Investments by the Borrower or any Restricted Subsidiary on Investments made using the Available Equity Amount (not to exceed the amount of such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25" w:name="page26"/>
    <w:bookmarkEnd w:id="25"/>
    <w:p>
      <w:pPr>
        <w:jc w:val="both"/>
        <w:ind w:firstLine="129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Exchange Rate</w:t>
      </w:r>
      <w:r>
        <w:rPr>
          <w:rFonts w:ascii="Arial" w:cs="Arial" w:eastAsia="Arial" w:hAnsi="Arial"/>
          <w:sz w:val="16"/>
          <w:szCs w:val="16"/>
          <w:color w:val="auto"/>
        </w:rPr>
        <w:t xml:space="preserve">” 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173"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2.14(f).</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Rate</w:t>
      </w:r>
      <w:r>
        <w:rPr>
          <w:rFonts w:ascii="Arial" w:cs="Arial" w:eastAsia="Arial" w:hAnsi="Arial"/>
          <w:sz w:val="18"/>
          <w:szCs w:val="18"/>
          <w:color w:val="auto"/>
        </w:rPr>
        <w:t>” means, for any Interest Period with respect to a Term Benchmark Borrowing denominated in Canadian Dollars, the rate per annum equal to the average discount rate for Canadian Dollar bankers’ acceptances of the appropriate face amount for such Interest Period as quoted on the Reuters Screen CDOR page (the “</w:t>
      </w:r>
      <w:r>
        <w:rPr>
          <w:rFonts w:ascii="Arial" w:cs="Arial" w:eastAsia="Arial" w:hAnsi="Arial"/>
          <w:sz w:val="18"/>
          <w:szCs w:val="18"/>
          <w:u w:val="single" w:color="auto"/>
          <w:color w:val="auto"/>
        </w:rPr>
        <w:t>CDOR Screen Rate</w:t>
      </w:r>
      <w:r>
        <w:rPr>
          <w:rFonts w:ascii="Arial" w:cs="Arial" w:eastAsia="Arial" w:hAnsi="Arial"/>
          <w:sz w:val="18"/>
          <w:szCs w:val="18"/>
          <w:color w:val="auto"/>
        </w:rPr>
        <w:t>”) (or such other page as is a replacement page for such bankers’ acceptances) as of 10:00 a.m., Toronto, Ontario time, on the date of determination.</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5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as amended, or any similar federal or state law for the relief of debtors.</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Barclays Letter of Credit Sublimit</w:t>
      </w:r>
      <w:r>
        <w:rPr>
          <w:rFonts w:ascii="Arial" w:cs="Arial" w:eastAsia="Arial" w:hAnsi="Arial"/>
          <w:sz w:val="16"/>
          <w:szCs w:val="16"/>
          <w:color w:val="auto"/>
        </w:rPr>
        <w:t>” means an amount equal to the amount listed on Schedule 2.01 as amended by Amendment No. 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issued pursuant to the Barclays Letter of Credit Sublimit will be issued by Barclays Bank PLC, in its capacity as an “Issuing Bank”.</w:t>
      </w:r>
    </w:p>
    <w:p>
      <w:pPr>
        <w:spacing w:after="0" w:line="20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means, initially, with respect to any (i) RFR Loan in any Agreed Currency, the applicable Relevant Rate for such Agreed Currency or (ii) Term Benchmark Loan, the Relevant Rate for such Agreed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w:t>
      </w:r>
      <w:r>
        <w:rPr>
          <w:rFonts w:ascii="Arial" w:cs="Arial" w:eastAsia="Arial" w:hAnsi="Arial"/>
          <w:sz w:val="16"/>
          <w:szCs w:val="16"/>
          <w:color w:val="FF0000"/>
          <w:strike w:val="1"/>
        </w:rPr>
        <w:t>(including, in respect</w:t>
      </w:r>
      <w:r>
        <w:rPr>
          <w:rFonts w:ascii="Arial" w:cs="Arial" w:eastAsia="Arial" w:hAnsi="Arial"/>
          <w:sz w:val="16"/>
          <w:szCs w:val="16"/>
          <w:color w:val="auto"/>
        </w:rPr>
        <w:t xml:space="preserve"> </w:t>
      </w:r>
      <w:r>
        <w:rPr>
          <w:rFonts w:ascii="Arial" w:cs="Arial" w:eastAsia="Arial" w:hAnsi="Arial"/>
          <w:sz w:val="16"/>
          <w:szCs w:val="16"/>
          <w:color w:val="FF0000"/>
          <w:strike w:val="1"/>
        </w:rPr>
        <w:t>of the Term Loans, a Term SOFR Transition Event or an Early Opt-in Election, as applicable)</w:t>
      </w:r>
      <w:r>
        <w:rPr>
          <w:rFonts w:ascii="Arial" w:cs="Arial" w:eastAsia="Arial" w:hAnsi="Arial"/>
          <w:sz w:val="16"/>
          <w:szCs w:val="16"/>
          <w:color w:val="FF0000"/>
        </w:rPr>
        <w:t xml:space="preserve"> </w:t>
      </w:r>
      <w:r>
        <w:rPr>
          <w:rFonts w:ascii="Arial" w:cs="Arial" w:eastAsia="Arial" w:hAnsi="Arial"/>
          <w:sz w:val="16"/>
          <w:szCs w:val="16"/>
          <w:color w:val="000000"/>
        </w:rPr>
        <w:t>and the related Benchmark Replacement Date have occurred</w:t>
      </w:r>
      <w:r>
        <w:rPr>
          <w:rFonts w:ascii="Arial" w:cs="Arial" w:eastAsia="Arial" w:hAnsi="Arial"/>
          <w:sz w:val="16"/>
          <w:szCs w:val="16"/>
          <w:color w:val="FF0000"/>
        </w:rPr>
        <w:t xml:space="preserve"> </w:t>
      </w:r>
      <w:r>
        <w:rPr>
          <w:rFonts w:ascii="Arial" w:cs="Arial" w:eastAsia="Arial" w:hAnsi="Arial"/>
          <w:sz w:val="16"/>
          <w:szCs w:val="16"/>
          <w:color w:val="000000"/>
        </w:rPr>
        <w:t>with respect to the applicable Relevant Rate or the then-current Benchmark for such Agreed Currency, then “Benchmark” means the applicable Benchmark Replacement to the extent that such Benchmark Replacement has replaced such prior benchmark rate pursuant to Section 2.14(b) or (c).</w:t>
      </w:r>
    </w:p>
    <w:p>
      <w:pPr>
        <w:spacing w:after="0" w:line="16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color w:val="FF0000"/>
          <w:strike w:val="1"/>
        </w:rPr>
        <w:t>, (a) in the case of any Revolving Loan denominated in Dollars,</w:t>
      </w:r>
      <w:r>
        <w:rPr>
          <w:rFonts w:ascii="Arial" w:cs="Arial" w:eastAsia="Arial" w:hAnsi="Arial"/>
          <w:sz w:val="16"/>
          <w:szCs w:val="16"/>
          <w:color w:val="auto"/>
        </w:rPr>
        <w:t xml:space="preserve"> </w:t>
      </w:r>
      <w:r>
        <w:rPr>
          <w:rFonts w:ascii="Arial" w:cs="Arial" w:eastAsia="Arial" w:hAnsi="Arial"/>
          <w:sz w:val="16"/>
          <w:szCs w:val="16"/>
          <w:color w:val="FF0000"/>
          <w:strike w:val="1"/>
        </w:rPr>
        <w:t>“Benchmark Replacement” shall mean the alternatives set forth in (2) and (3) below, (b) in the case of any Term Loan, “Benchmark Replacement”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FF0000"/>
          <w:strike w:val="1"/>
        </w:rPr>
        <w:t>mean the alternatives set forth in (1), (2) and (3) below, and (c)</w:t>
      </w:r>
      <w:r>
        <w:rPr>
          <w:rFonts w:ascii="Arial" w:cs="Arial" w:eastAsia="Arial" w:hAnsi="Arial"/>
          <w:sz w:val="18"/>
          <w:szCs w:val="18"/>
          <w:color w:val="FF0000"/>
        </w:rPr>
        <w:t xml:space="preserve"> </w:t>
      </w:r>
      <w:r>
        <w:rPr>
          <w:rFonts w:ascii="Arial" w:cs="Arial" w:eastAsia="Arial" w:hAnsi="Arial"/>
          <w:sz w:val="18"/>
          <w:szCs w:val="18"/>
          <w:color w:val="000000"/>
        </w:rPr>
        <w:t>in the case of any Loan denominated in an Alternative Currency, “Benchmark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Replacement” shall mean the alternative set forth in (</w:t>
      </w:r>
      <w:r>
        <w:rPr>
          <w:rFonts w:ascii="Arial" w:cs="Arial" w:eastAsia="Arial" w:hAnsi="Arial"/>
          <w:sz w:val="18"/>
          <w:szCs w:val="18"/>
          <w:color w:val="FF0000"/>
          <w:strike w:val="1"/>
        </w:rPr>
        <w:t>3</w:t>
      </w:r>
      <w:r>
        <w:rPr>
          <w:rFonts w:ascii="Arial" w:cs="Arial" w:eastAsia="Arial" w:hAnsi="Arial"/>
          <w:sz w:val="18"/>
          <w:szCs w:val="18"/>
          <w:u w:val="single" w:color="auto"/>
          <w:color w:val="0000FF"/>
        </w:rPr>
        <w:t>2</w:t>
      </w:r>
      <w:r>
        <w:rPr>
          <w:rFonts w:ascii="Arial" w:cs="Arial" w:eastAsia="Arial" w:hAnsi="Arial"/>
          <w:sz w:val="18"/>
          <w:szCs w:val="18"/>
          <w:color w:val="auto"/>
        </w:rPr>
        <w:t>) below:</w:t>
      </w:r>
    </w:p>
    <w:p>
      <w:pPr>
        <w:spacing w:after="0" w:line="209" w:lineRule="exact"/>
        <w:rPr>
          <w:sz w:val="20"/>
          <w:szCs w:val="20"/>
          <w:color w:val="auto"/>
        </w:rPr>
      </w:pPr>
    </w:p>
    <w:p>
      <w:pPr>
        <w:ind w:left="1560" w:hanging="256"/>
        <w:spacing w:after="0"/>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FF0000"/>
          <w:strike w:val="1"/>
        </w:rPr>
        <w:t>the sum of: (a) Term SOFR and (b) the related Benchmark Replacement Adjustment</w:t>
      </w:r>
      <w:r>
        <w:rPr>
          <w:rFonts w:ascii="Arial" w:cs="Arial" w:eastAsia="Arial" w:hAnsi="Arial"/>
          <w:sz w:val="18"/>
          <w:szCs w:val="18"/>
          <w:u w:val="single" w:color="auto"/>
          <w:color w:val="0000FF"/>
        </w:rPr>
        <w:t>Adjusted Daily Simple SOFR</w:t>
      </w:r>
      <w:r>
        <w:rPr>
          <w:rFonts w:ascii="Arial" w:cs="Arial" w:eastAsia="Arial" w:hAnsi="Arial"/>
          <w:sz w:val="18"/>
          <w:szCs w:val="18"/>
          <w:color w:val="000000"/>
        </w:rPr>
        <w:t>;</w:t>
      </w:r>
    </w:p>
    <w:p>
      <w:pPr>
        <w:spacing w:after="0" w:line="211" w:lineRule="exact"/>
        <w:rPr>
          <w:rFonts w:ascii="Arial" w:cs="Arial" w:eastAsia="Arial" w:hAnsi="Arial"/>
          <w:sz w:val="18"/>
          <w:szCs w:val="18"/>
          <w:color w:val="auto"/>
        </w:rPr>
      </w:pPr>
    </w:p>
    <w:p>
      <w:pPr>
        <w:ind w:firstLine="1304"/>
        <w:spacing w:after="0" w:line="277" w:lineRule="auto"/>
        <w:tabs>
          <w:tab w:leader="none" w:pos="1553" w:val="left"/>
        </w:tabs>
        <w:numPr>
          <w:ilvl w:val="0"/>
          <w:numId w:val="10"/>
        </w:numPr>
        <w:rPr>
          <w:rFonts w:ascii="Arial" w:cs="Arial" w:eastAsia="Arial" w:hAnsi="Arial"/>
          <w:sz w:val="18"/>
          <w:szCs w:val="18"/>
          <w:color w:val="FF0000"/>
          <w:strike w:val="1"/>
        </w:rPr>
      </w:pPr>
      <w:r>
        <w:rPr>
          <w:rFonts w:ascii="Arial" w:cs="Arial" w:eastAsia="Arial" w:hAnsi="Arial"/>
          <w:sz w:val="18"/>
          <w:szCs w:val="18"/>
          <w:color w:val="FF0000"/>
          <w:strike w:val="1"/>
        </w:rPr>
        <w:t>(a) in the case of any Term Loan, the sum of: (a) Daily Simple SOFR and (b) the related Benchmark Replacement Adjustment and (b) in the case of any Revolving Loan denominated in Dollars, Adjusted Daily Simple SOFR;</w:t>
      </w:r>
    </w:p>
    <w:p>
      <w:pPr>
        <w:spacing w:after="0" w:line="15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3</w:t>
      </w:r>
      <w:r>
        <w:rPr>
          <w:rFonts w:ascii="Arial" w:cs="Arial" w:eastAsia="Arial" w:hAnsi="Arial"/>
          <w:sz w:val="17"/>
          <w:szCs w:val="17"/>
          <w:u w:val="single" w:color="auto"/>
          <w:color w:val="0000FF"/>
        </w:rPr>
        <w:t>2</w:t>
      </w:r>
      <w:r>
        <w:rPr>
          <w:rFonts w:ascii="Arial" w:cs="Arial" w:eastAsia="Arial" w:hAnsi="Arial"/>
          <w:sz w:val="17"/>
          <w:szCs w:val="17"/>
          <w:color w:val="auto"/>
        </w:rPr>
        <w:t>) the sum of: (a) the alternate benchmark rate that has been selected by the First Lien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8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u w:val="single" w:color="auto"/>
          <w:color w:val="FF0000"/>
          <w:strike w:val="1"/>
        </w:rPr>
        <w:t xml:space="preserve">provided </w:t>
      </w:r>
      <w:r>
        <w:rPr>
          <w:rFonts w:ascii="Arial" w:cs="Arial" w:eastAsia="Arial" w:hAnsi="Arial"/>
          <w:sz w:val="18"/>
          <w:szCs w:val="18"/>
          <w:color w:val="FF0000"/>
          <w:strike w:val="1"/>
        </w:rPr>
        <w:t>that, in the case of clause (1), such Unadjusted Benchmark Replacement is displayed on a screen or other information service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that publishes such rate from time to time as selected by the Administrative Agent in its reasonable discretion;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further that, solely with respect to a Loan denominated in Dollars, notwithstanding anything to the contrary in this Agreement or in any other First Lien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the Benchmark Replacement as determined pursuant to clause (1)</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(2</w:t>
      </w:r>
      <w:r>
        <w:rPr>
          <w:rFonts w:ascii="Arial" w:cs="Arial" w:eastAsia="Arial" w:hAnsi="Arial"/>
          <w:sz w:val="18"/>
          <w:szCs w:val="18"/>
          <w:color w:val="FF0000"/>
          <w:strike w:val="1"/>
        </w:rPr>
        <w:t>) or (3</w:t>
      </w:r>
      <w:r>
        <w:rPr>
          <w:rFonts w:ascii="Arial" w:cs="Arial" w:eastAsia="Arial" w:hAnsi="Arial"/>
          <w:sz w:val="18"/>
          <w:szCs w:val="18"/>
          <w:color w:val="auto"/>
        </w:rPr>
        <w:t>) above would be less than the Floor, the Benchmark Replacement will be deemed to be the Floor for the purposes of this Agreement and the other First Lien Loan Documents.</w:t>
      </w:r>
    </w:p>
    <w:p>
      <w:pPr>
        <w:spacing w:after="0" w:line="15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r>
        <w:rPr>
          <w:rFonts w:ascii="Arial" w:cs="Arial" w:eastAsia="Arial" w:hAnsi="Arial"/>
          <w:sz w:val="17"/>
          <w:szCs w:val="17"/>
          <w:color w:val="FF0000"/>
          <w:strike w:val="1"/>
        </w:rPr>
        <w:t>:</w:t>
      </w:r>
    </w:p>
    <w:p>
      <w:pPr>
        <w:spacing w:after="0" w:line="133" w:lineRule="exact"/>
        <w:rPr>
          <w:sz w:val="20"/>
          <w:szCs w:val="20"/>
          <w:color w:val="auto"/>
        </w:rPr>
      </w:pPr>
    </w:p>
    <w:p>
      <w:pPr>
        <w:jc w:val="both"/>
        <w:ind w:firstLine="1304"/>
        <w:spacing w:after="0" w:line="246" w:lineRule="auto"/>
        <w:tabs>
          <w:tab w:leader="none" w:pos="1395" w:val="left"/>
        </w:tabs>
        <w:numPr>
          <w:ilvl w:val="0"/>
          <w:numId w:val="1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the spread adjustment, or method for calculating or determining such spread adjustment (which may be a positive or negative value or zero) that has been selected by </w:t>
      </w:r>
      <w:r>
        <w:rPr>
          <w:rFonts w:ascii="Arial" w:cs="Arial" w:eastAsia="Arial" w:hAnsi="Arial"/>
          <w:sz w:val="18"/>
          <w:szCs w:val="18"/>
          <w:color w:val="FF0000"/>
          <w:strike w:val="1"/>
        </w:rPr>
        <w:t>(1) for purposes of clauses (1) and (2) of the definition of “Benchmark Replacement,” the first alternative set forth in the</w:t>
      </w:r>
      <w:r>
        <w:rPr>
          <w:rFonts w:ascii="Arial" w:cs="Arial" w:eastAsia="Arial" w:hAnsi="Arial"/>
          <w:sz w:val="18"/>
          <w:szCs w:val="18"/>
          <w:u w:val="single" w:color="auto"/>
          <w:color w:val="0000FF"/>
        </w:rPr>
        <w:t xml:space="preserve"> </w:t>
      </w:r>
      <w:r>
        <w:rPr>
          <w:rFonts w:ascii="Arial" w:cs="Arial" w:eastAsia="Arial" w:hAnsi="Arial"/>
          <w:sz w:val="18"/>
          <w:szCs w:val="18"/>
          <w:color w:val="FF0000"/>
          <w:strike w:val="1"/>
        </w:rPr>
        <w:t>order below that can be determined by the First Lien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3" w:lineRule="exact"/>
        <w:rPr>
          <w:sz w:val="20"/>
          <w:szCs w:val="20"/>
          <w:color w:val="auto"/>
        </w:rPr>
      </w:pPr>
    </w:p>
    <w:p>
      <w:pPr>
        <w:jc w:val="both"/>
        <w:ind w:firstLine="1304"/>
        <w:spacing w:after="0" w:line="283" w:lineRule="auto"/>
        <w:tabs>
          <w:tab w:leader="none" w:pos="1585" w:val="left"/>
        </w:tabs>
        <w:numPr>
          <w:ilvl w:val="0"/>
          <w:numId w:val="12"/>
        </w:numPr>
        <w:rPr>
          <w:rFonts w:ascii="Arial" w:cs="Arial" w:eastAsia="Arial" w:hAnsi="Arial"/>
          <w:sz w:val="16"/>
          <w:szCs w:val="16"/>
          <w:color w:val="FF0000"/>
          <w:strike w:val="1"/>
        </w:rPr>
      </w:pPr>
      <w:r>
        <w:rPr>
          <w:rFonts w:ascii="Arial" w:cs="Arial" w:eastAsia="Arial" w:hAnsi="Arial"/>
          <w:sz w:val="16"/>
          <w:szCs w:val="16"/>
          <w:color w:val="FF0000"/>
          <w:strike w:val="1"/>
        </w:rPr>
        <w:t>for purposes of clause (3) of the definition of “Benchmark Replacement,” the spread adjustment, or method for calculating or determining such spread adjustment, (which may be a positive or negative value or zero) that has been selected by the</w:t>
      </w:r>
      <w:r>
        <w:rPr>
          <w:rFonts w:ascii="Arial" w:cs="Arial" w:eastAsia="Arial" w:hAnsi="Arial"/>
          <w:sz w:val="16"/>
          <w:szCs w:val="16"/>
          <w:u w:val="single" w:color="auto"/>
          <w:color w:val="0000FF"/>
          <w:strike w:val="1"/>
        </w:rPr>
        <w:t>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First Lien Administrative Agent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27" w:name="page28"/>
    <w:bookmarkEnd w:id="27"/>
    <w:p>
      <w:pPr>
        <w:jc w:val="both"/>
        <w:spacing w:after="0" w:line="282" w:lineRule="auto"/>
        <w:rPr>
          <w:sz w:val="20"/>
          <w:szCs w:val="20"/>
          <w:color w:val="auto"/>
        </w:rPr>
      </w:pPr>
      <w:r>
        <w:rPr>
          <w:rFonts w:ascii="Arial" w:cs="Arial" w:eastAsia="Arial" w:hAnsi="Arial"/>
          <w:sz w:val="16"/>
          <w:szCs w:val="16"/>
          <w:color w:val="auto"/>
        </w:rPr>
        <w:t>Benchmark with the applicable Unadjusted Benchmark Replacement for syndicated credit facilities denominated in the applicable Agreed Currency at such time</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in the case of clause (1) above, such adjustment is displayed on a screen or other information service that publishes such Benchmark</w:t>
      </w:r>
    </w:p>
    <w:p>
      <w:pPr>
        <w:spacing w:after="0"/>
        <w:rPr>
          <w:sz w:val="20"/>
          <w:szCs w:val="20"/>
          <w:color w:val="auto"/>
        </w:rPr>
      </w:pPr>
      <w:r>
        <w:rPr>
          <w:rFonts w:ascii="Arial" w:cs="Arial" w:eastAsia="Arial" w:hAnsi="Arial"/>
          <w:sz w:val="18"/>
          <w:szCs w:val="18"/>
          <w:color w:val="FF0000"/>
          <w:strike w:val="1"/>
        </w:rPr>
        <w:t>Replacement Adjustment from time to time as selected by the First Lien Administrative Agent in its reasonable discretion..</w:t>
      </w:r>
      <w:r>
        <w:rPr>
          <w:rFonts w:ascii="Arial" w:cs="Arial" w:eastAsia="Arial" w:hAnsi="Arial"/>
          <w:sz w:val="18"/>
          <w:szCs w:val="18"/>
          <w:u w:val="single" w:color="auto"/>
          <w:color w:val="0000FF"/>
          <w:strike w:val="1"/>
        </w:rPr>
        <w:t>.</w:t>
      </w:r>
    </w:p>
    <w:p>
      <w:pPr>
        <w:spacing w:after="0" w:line="197"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xml:space="preserve">”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w:t>
      </w:r>
      <w:r>
        <w:rPr>
          <w:rFonts w:ascii="Arial" w:cs="Arial" w:eastAsia="Arial" w:hAnsi="Arial"/>
          <w:sz w:val="16"/>
          <w:szCs w:val="16"/>
          <w:color w:val="FF0000"/>
          <w:strike w:val="1"/>
        </w:rPr>
        <w:t>Replacement</w:t>
      </w:r>
      <w:r>
        <w:rPr>
          <w:rFonts w:ascii="Arial" w:cs="Arial" w:eastAsia="Arial" w:hAnsi="Arial"/>
          <w:sz w:val="16"/>
          <w:szCs w:val="16"/>
          <w:color w:val="auto"/>
        </w:rPr>
        <w:t xml:space="preserve">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 </w:t>
      </w:r>
      <w:r>
        <w:rPr>
          <w:rFonts w:ascii="Arial" w:cs="Arial" w:eastAsia="Arial" w:hAnsi="Arial"/>
          <w:sz w:val="16"/>
          <w:szCs w:val="16"/>
          <w:color w:val="FF0000"/>
          <w:strike w:val="1"/>
        </w:rPr>
        <w:t>Replacement</w:t>
      </w:r>
      <w:r>
        <w:rPr>
          <w:rFonts w:ascii="Arial" w:cs="Arial" w:eastAsia="Arial" w:hAnsi="Arial"/>
          <w:sz w:val="16"/>
          <w:szCs w:val="16"/>
          <w:color w:val="auto"/>
        </w:rPr>
        <w:t xml:space="preserve"> exists, in such other manner of administration as the First Lien Administrative Agent decides is reasonably necessary in connection with the administration of this Agreement and the other First Lien Loan Documents).</w:t>
      </w:r>
    </w:p>
    <w:p>
      <w:pPr>
        <w:spacing w:after="0" w:line="17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184" w:lineRule="exact"/>
        <w:rPr>
          <w:sz w:val="20"/>
          <w:szCs w:val="20"/>
          <w:color w:val="auto"/>
        </w:rPr>
      </w:pPr>
    </w:p>
    <w:p>
      <w:pPr>
        <w:jc w:val="both"/>
        <w:ind w:firstLine="1304"/>
        <w:spacing w:after="0" w:line="278" w:lineRule="auto"/>
        <w:tabs>
          <w:tab w:leader="none" w:pos="1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17"/>
          <w:szCs w:val="17"/>
          <w:color w:val="0000FF"/>
        </w:rPr>
        <w:t>or</w:t>
      </w:r>
    </w:p>
    <w:p>
      <w:pPr>
        <w:spacing w:after="0" w:line="157" w:lineRule="exact"/>
        <w:rPr>
          <w:rFonts w:ascii="Arial" w:cs="Arial" w:eastAsia="Arial" w:hAnsi="Arial"/>
          <w:sz w:val="17"/>
          <w:szCs w:val="17"/>
          <w:color w:val="auto"/>
        </w:rPr>
      </w:pPr>
    </w:p>
    <w:p>
      <w:pPr>
        <w:jc w:val="both"/>
        <w:ind w:firstLine="1304"/>
        <w:spacing w:after="0" w:line="264" w:lineRule="auto"/>
        <w:tabs>
          <w:tab w:leader="none" w:pos="15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 the case of clause (3) of the definition of “Benchmark Transition Event,” </w:t>
      </w:r>
      <w:r>
        <w:rPr>
          <w:rFonts w:ascii="Arial" w:cs="Arial" w:eastAsia="Arial" w:hAnsi="Arial"/>
          <w:sz w:val="17"/>
          <w:szCs w:val="17"/>
          <w:color w:val="FF0000"/>
          <w:strike w:val="1"/>
        </w:rPr>
        <w:t>(a) in the case of a Term Loan, the date of the public</w:t>
      </w:r>
      <w:r>
        <w:rPr>
          <w:rFonts w:ascii="Arial" w:cs="Arial" w:eastAsia="Arial" w:hAnsi="Arial"/>
          <w:sz w:val="17"/>
          <w:szCs w:val="17"/>
          <w:color w:val="auto"/>
        </w:rPr>
        <w:t xml:space="preserve"> </w:t>
      </w:r>
      <w:r>
        <w:rPr>
          <w:rFonts w:ascii="Arial" w:cs="Arial" w:eastAsia="Arial" w:hAnsi="Arial"/>
          <w:sz w:val="17"/>
          <w:szCs w:val="17"/>
          <w:color w:val="FF0000"/>
          <w:strike w:val="1"/>
        </w:rPr>
        <w:t>statement or publication of information referenced therein, and (b) in the case of a Revolving Loan,</w:t>
      </w:r>
      <w:r>
        <w:rPr>
          <w:rFonts w:ascii="Arial" w:cs="Arial" w:eastAsia="Arial" w:hAnsi="Arial"/>
          <w:sz w:val="17"/>
          <w:szCs w:val="17"/>
          <w:color w:val="FF0000"/>
        </w:rPr>
        <w:t xml:space="preserve"> </w:t>
      </w:r>
      <w:r>
        <w:rPr>
          <w:rFonts w:ascii="Arial" w:cs="Arial" w:eastAsia="Arial" w:hAnsi="Arial"/>
          <w:sz w:val="17"/>
          <w:szCs w:val="17"/>
          <w:color w:val="000000"/>
        </w:rPr>
        <w:t>the first date on which such Benchmark (or the</w:t>
      </w:r>
      <w:r>
        <w:rPr>
          <w:rFonts w:ascii="Arial" w:cs="Arial" w:eastAsia="Arial" w:hAnsi="Arial"/>
          <w:sz w:val="17"/>
          <w:szCs w:val="17"/>
          <w:color w:val="FF0000"/>
        </w:rPr>
        <w:t xml:space="preserve"> </w:t>
      </w:r>
      <w:r>
        <w:rPr>
          <w:rFonts w:ascii="Arial" w:cs="Arial" w:eastAsia="Arial" w:hAnsi="Arial"/>
          <w:sz w:val="17"/>
          <w:szCs w:val="17"/>
          <w:color w:val="000000"/>
        </w:rPr>
        <w:t xml:space="preserve">published component used in the calculation thereof) has </w:t>
      </w:r>
      <w:r>
        <w:rPr>
          <w:rFonts w:ascii="Arial" w:cs="Arial" w:eastAsia="Arial" w:hAnsi="Arial"/>
          <w:sz w:val="17"/>
          <w:szCs w:val="17"/>
          <w:u w:val="single" w:color="auto"/>
          <w:color w:val="0000FF"/>
        </w:rPr>
        <w:t>been or, if such Benchmark is a term rate, all Available Tenors of such Benchmark (or component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thereof) have</w:t>
      </w:r>
      <w:r>
        <w:rPr>
          <w:rFonts w:ascii="Arial" w:cs="Arial" w:eastAsia="Arial" w:hAnsi="Arial"/>
          <w:sz w:val="17"/>
          <w:szCs w:val="17"/>
          <w:color w:val="0000FF"/>
        </w:rPr>
        <w:t xml:space="preserve"> </w:t>
      </w:r>
      <w:r>
        <w:rPr>
          <w:rFonts w:ascii="Arial" w:cs="Arial" w:eastAsia="Arial" w:hAnsi="Arial"/>
          <w:sz w:val="17"/>
          <w:szCs w:val="17"/>
          <w:color w:val="000000"/>
        </w:rPr>
        <w:t>been determined and announced by the regulatory supervisor for the administrator of such Benchmark (or such component thereof) to be no</w:t>
      </w:r>
      <w:r>
        <w:rPr>
          <w:rFonts w:ascii="Arial" w:cs="Arial" w:eastAsia="Arial" w:hAnsi="Arial"/>
          <w:sz w:val="17"/>
          <w:szCs w:val="17"/>
          <w:color w:val="0000FF"/>
        </w:rPr>
        <w:t xml:space="preserve"> </w:t>
      </w:r>
      <w:r>
        <w:rPr>
          <w:rFonts w:ascii="Arial" w:cs="Arial" w:eastAsia="Arial" w:hAnsi="Arial"/>
          <w:sz w:val="17"/>
          <w:szCs w:val="17"/>
          <w:color w:val="000000"/>
        </w:rPr>
        <w:t xml:space="preserve">longer representative; provided, that such non-representativeness will be determined by reference to the most recent statement or publication referenced in such clause (3) and even if </w:t>
      </w:r>
      <w:r>
        <w:rPr>
          <w:rFonts w:ascii="Arial" w:cs="Arial" w:eastAsia="Arial" w:hAnsi="Arial"/>
          <w:sz w:val="17"/>
          <w:szCs w:val="17"/>
          <w:u w:val="single" w:color="auto"/>
          <w:color w:val="0000FF"/>
        </w:rPr>
        <w:t>such Benchmark (or component thereof) or, if such Benchmark is a term rate,</w:t>
      </w:r>
      <w:r>
        <w:rPr>
          <w:rFonts w:ascii="Arial" w:cs="Arial" w:eastAsia="Arial" w:hAnsi="Arial"/>
          <w:sz w:val="17"/>
          <w:szCs w:val="17"/>
          <w:color w:val="000000"/>
        </w:rPr>
        <w:t xml:space="preserve"> any Available Tenor of such Benchmark (or such component thereof) continues to be provided on such date</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w:t>
      </w:r>
    </w:p>
    <w:p>
      <w:pPr>
        <w:spacing w:after="0" w:line="168" w:lineRule="exact"/>
        <w:rPr>
          <w:rFonts w:ascii="Arial" w:cs="Arial" w:eastAsia="Arial" w:hAnsi="Arial"/>
          <w:sz w:val="17"/>
          <w:szCs w:val="17"/>
          <w:color w:val="auto"/>
        </w:rPr>
      </w:pPr>
    </w:p>
    <w:p>
      <w:pPr>
        <w:ind w:firstLine="1304"/>
        <w:spacing w:after="0" w:line="277" w:lineRule="auto"/>
        <w:tabs>
          <w:tab w:leader="none" w:pos="1562" w:val="left"/>
        </w:tabs>
        <w:numPr>
          <w:ilvl w:val="0"/>
          <w:numId w:val="13"/>
        </w:numPr>
        <w:rPr>
          <w:rFonts w:ascii="Arial" w:cs="Arial" w:eastAsia="Arial" w:hAnsi="Arial"/>
          <w:sz w:val="18"/>
          <w:szCs w:val="18"/>
          <w:color w:val="FF0000"/>
          <w:strike w:val="1"/>
        </w:rPr>
      </w:pPr>
      <w:r>
        <w:rPr>
          <w:rFonts w:ascii="Arial" w:cs="Arial" w:eastAsia="Arial" w:hAnsi="Arial"/>
          <w:sz w:val="18"/>
          <w:szCs w:val="18"/>
          <w:color w:val="FF0000"/>
          <w:strike w:val="1"/>
        </w:rPr>
        <w:t>in the case of a Term SOFR Transition Event, the date that is thirty (30) days after the date a Term SOFR Notice is provided to the Lenders and the Borrower pursuant to Section 2.14(c); or</w:t>
      </w:r>
    </w:p>
    <w:p>
      <w:pPr>
        <w:spacing w:after="0" w:line="156" w:lineRule="exact"/>
        <w:rPr>
          <w:rFonts w:ascii="Arial" w:cs="Arial" w:eastAsia="Arial" w:hAnsi="Arial"/>
          <w:sz w:val="18"/>
          <w:szCs w:val="18"/>
          <w:color w:val="FF0000"/>
          <w:strike w:val="1"/>
        </w:rPr>
      </w:pPr>
    </w:p>
    <w:p>
      <w:pPr>
        <w:jc w:val="both"/>
        <w:ind w:firstLine="1304"/>
        <w:spacing w:after="0" w:line="254" w:lineRule="auto"/>
        <w:tabs>
          <w:tab w:leader="none" w:pos="1556" w:val="left"/>
        </w:tabs>
        <w:numPr>
          <w:ilvl w:val="0"/>
          <w:numId w:val="13"/>
        </w:numPr>
        <w:rPr>
          <w:rFonts w:ascii="Arial" w:cs="Arial" w:eastAsia="Arial" w:hAnsi="Arial"/>
          <w:sz w:val="18"/>
          <w:szCs w:val="18"/>
          <w:color w:val="FF0000"/>
          <w:strike w:val="1"/>
        </w:rPr>
      </w:pPr>
      <w:r>
        <w:rPr>
          <w:rFonts w:ascii="Arial" w:cs="Arial" w:eastAsia="Arial" w:hAnsi="Arial"/>
          <w:sz w:val="18"/>
          <w:szCs w:val="18"/>
          <w:color w:val="FF0000"/>
          <w:strike w:val="1"/>
        </w:rPr>
        <w:t>in the case of an Early Opt-in Election, the sixth (6th) Business Day after the date notice of such Early Opt-in Election is provided to the Lenders, so long as the First Lien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6202045</wp:posOffset>
            </wp:positionH>
            <wp:positionV relativeFrom="paragraph">
              <wp:posOffset>-2166620</wp:posOffset>
            </wp:positionV>
            <wp:extent cx="1238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15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28" w:name="page29"/>
    <w:bookmarkEnd w:id="28"/>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84" w:lineRule="exact"/>
        <w:rPr>
          <w:sz w:val="20"/>
          <w:szCs w:val="20"/>
          <w:color w:val="auto"/>
        </w:rPr>
      </w:pPr>
    </w:p>
    <w:p>
      <w:pPr>
        <w:jc w:val="both"/>
        <w:ind w:firstLine="1304"/>
        <w:spacing w:after="0" w:line="249" w:lineRule="auto"/>
        <w:tabs>
          <w:tab w:leader="none" w:pos="15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w:t>
      </w:r>
      <w:r>
        <w:rPr>
          <w:rFonts w:ascii="Arial" w:cs="Arial" w:eastAsia="Arial" w:hAnsi="Arial"/>
          <w:sz w:val="18"/>
          <w:szCs w:val="18"/>
          <w:u w:val="single" w:color="auto"/>
          <w:color w:val="0000FF"/>
        </w:rPr>
        <w:t>such Benchmark (or component thereof) or, if such Benchmark is a term rate,</w:t>
      </w:r>
      <w:r>
        <w:rPr>
          <w:rFonts w:ascii="Arial" w:cs="Arial" w:eastAsia="Arial" w:hAnsi="Arial"/>
          <w:sz w:val="18"/>
          <w:szCs w:val="18"/>
          <w:color w:val="auto"/>
        </w:rPr>
        <w:t xml:space="preserve"> any Available Tenor of such Benchmark (or such component thereof);</w:t>
      </w:r>
    </w:p>
    <w:p>
      <w:pPr>
        <w:spacing w:after="0" w:line="181" w:lineRule="exact"/>
        <w:rPr>
          <w:rFonts w:ascii="Arial" w:cs="Arial" w:eastAsia="Arial" w:hAnsi="Arial"/>
          <w:sz w:val="18"/>
          <w:szCs w:val="18"/>
          <w:color w:val="auto"/>
        </w:rPr>
      </w:pPr>
    </w:p>
    <w:p>
      <w:pPr>
        <w:jc w:val="both"/>
        <w:ind w:firstLine="1304"/>
        <w:spacing w:after="0" w:line="262" w:lineRule="auto"/>
        <w:tabs>
          <w:tab w:leader="none" w:pos="15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which states that the administrator of such Benchmark (or such component) has ceased or will cease to provide </w:t>
      </w:r>
      <w:r>
        <w:rPr>
          <w:rFonts w:ascii="Arial" w:cs="Arial" w:eastAsia="Arial" w:hAnsi="Arial"/>
          <w:sz w:val="17"/>
          <w:szCs w:val="17"/>
          <w:u w:val="single" w:color="auto"/>
          <w:color w:val="0000FF"/>
        </w:rPr>
        <w:t>such Benchmark (or component thereof) or, if such Benchmark is a term rate,</w:t>
      </w:r>
      <w:r>
        <w:rPr>
          <w:rFonts w:ascii="Arial" w:cs="Arial" w:eastAsia="Arial" w:hAnsi="Arial"/>
          <w:sz w:val="17"/>
          <w:szCs w:val="17"/>
          <w:color w:val="auto"/>
        </w:rPr>
        <w:t xml:space="preserve"> all Available Tenors of such Benchmark (or such component thereof) permanently or indefinitely; provided that, at the time of such statement or publication, there is no successor administrator that will continue to provide </w:t>
      </w:r>
      <w:r>
        <w:rPr>
          <w:rFonts w:ascii="Arial" w:cs="Arial" w:eastAsia="Arial" w:hAnsi="Arial"/>
          <w:sz w:val="17"/>
          <w:szCs w:val="17"/>
          <w:u w:val="single" w:color="auto"/>
          <w:color w:val="0000FF"/>
        </w:rPr>
        <w:t>such Benchmark (or component thereof) or, if such Benchmark is a term rate,</w:t>
      </w:r>
      <w:r>
        <w:rPr>
          <w:rFonts w:ascii="Arial" w:cs="Arial" w:eastAsia="Arial" w:hAnsi="Arial"/>
          <w:sz w:val="17"/>
          <w:szCs w:val="17"/>
          <w:color w:val="auto"/>
        </w:rPr>
        <w:t xml:space="preserve"> any Available Tenor of such Benchmark (or such component thereof); or</w:t>
      </w:r>
    </w:p>
    <w:p>
      <w:pPr>
        <w:spacing w:after="0" w:line="171" w:lineRule="exact"/>
        <w:rPr>
          <w:rFonts w:ascii="Arial" w:cs="Arial" w:eastAsia="Arial" w:hAnsi="Arial"/>
          <w:sz w:val="17"/>
          <w:szCs w:val="17"/>
          <w:color w:val="auto"/>
        </w:rPr>
      </w:pPr>
    </w:p>
    <w:p>
      <w:pPr>
        <w:jc w:val="both"/>
        <w:ind w:firstLine="1304"/>
        <w:spacing w:after="0" w:line="254" w:lineRule="auto"/>
        <w:tabs>
          <w:tab w:leader="none" w:pos="15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announcing that </w:t>
      </w:r>
      <w:r>
        <w:rPr>
          <w:rFonts w:ascii="Arial" w:cs="Arial" w:eastAsia="Arial" w:hAnsi="Arial"/>
          <w:sz w:val="18"/>
          <w:szCs w:val="18"/>
          <w:u w:val="single" w:color="auto"/>
          <w:color w:val="0000FF"/>
        </w:rPr>
        <w:t>such Benchmark (or component thereof) or, if such Benchmark is a term rate,</w:t>
      </w:r>
      <w:r>
        <w:rPr>
          <w:rFonts w:ascii="Arial" w:cs="Arial" w:eastAsia="Arial" w:hAnsi="Arial"/>
          <w:sz w:val="18"/>
          <w:szCs w:val="18"/>
          <w:color w:val="auto"/>
        </w:rPr>
        <w:t xml:space="preserve"> all Available Tenors of such Benchmark (or such component thereof) are no longer, or</w:t>
      </w:r>
      <w:r>
        <w:rPr>
          <w:rFonts w:ascii="Arial" w:cs="Arial" w:eastAsia="Arial" w:hAnsi="Arial"/>
          <w:sz w:val="18"/>
          <w:szCs w:val="18"/>
          <w:color w:val="FF0000"/>
          <w:strike w:val="1"/>
        </w:rPr>
        <w:t>, in the case of a Revolving Loan,</w:t>
      </w:r>
      <w:r>
        <w:rPr>
          <w:rFonts w:ascii="Arial" w:cs="Arial" w:eastAsia="Arial" w:hAnsi="Arial"/>
          <w:sz w:val="18"/>
          <w:szCs w:val="18"/>
          <w:color w:val="auto"/>
        </w:rPr>
        <w:t xml:space="preserve"> as of a specified future date will no longer be, representative.</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First Lien Loan Document in accordance with Section 2.14 and (y) ending at the time that a Benchmark Replacement has replaced such then-current Benchmark for all purposes hereunder and under any First Lien Loan Document in accordance with Section 2.14.</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BNP Paribas Letter of Credit Sublimit</w:t>
      </w:r>
      <w:r>
        <w:rPr>
          <w:rFonts w:ascii="Arial" w:cs="Arial" w:eastAsia="Arial" w:hAnsi="Arial"/>
          <w:sz w:val="16"/>
          <w:szCs w:val="16"/>
          <w:color w:val="auto"/>
        </w:rPr>
        <w:t>” means an amount equal to the amount listed on Schedule 2.01 as amended by Amendment No. 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issued pursuant to the BNP Paribas Letter of Credit Sublimit will be issued by BNP Paribas, in its capacity as an “Issuing Bank”.</w:t>
      </w:r>
    </w:p>
    <w:p>
      <w:pPr>
        <w:spacing w:after="0" w:line="20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preliminary statements hereto.</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assigned to such term in the last paragraph of Section 5.01.</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Offer of Specified Discount Prepayment</w:t>
      </w:r>
      <w:r>
        <w:rPr>
          <w:rFonts w:ascii="Arial" w:cs="Arial" w:eastAsia="Arial" w:hAnsi="Arial"/>
          <w:sz w:val="18"/>
          <w:szCs w:val="18"/>
          <w:color w:val="auto"/>
        </w:rPr>
        <w:t>” means the offer by the Borrower to make a voluntary prepayment of Term Loans at a Specified Discount to par pursuant to Section 2.11(a)(ii)(B).</w:t>
      </w:r>
    </w:p>
    <w:p>
      <w:pPr>
        <w:spacing w:after="0" w:line="18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Solicitation of Discount Range Prepayment Offers</w:t>
      </w:r>
      <w:r>
        <w:rPr>
          <w:rFonts w:ascii="Arial" w:cs="Arial" w:eastAsia="Arial" w:hAnsi="Arial"/>
          <w:sz w:val="18"/>
          <w:szCs w:val="18"/>
          <w:color w:val="auto"/>
        </w:rPr>
        <w:t>” means the solicitation by the Borrower of offers for, and the corresponding acceptance by a Term Lender of, a voluntary prepayment of Term Loans at a specified range at a discount to par pursuant to Section 2.11(a) (ii)(C).</w:t>
      </w:r>
    </w:p>
    <w:p>
      <w:pPr>
        <w:spacing w:after="0" w:line="17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Solicitation of Discounted Prepayment Offers</w:t>
      </w:r>
      <w:r>
        <w:rPr>
          <w:rFonts w:ascii="Arial" w:cs="Arial" w:eastAsia="Arial" w:hAnsi="Arial"/>
          <w:sz w:val="17"/>
          <w:szCs w:val="17"/>
          <w:color w:val="auto"/>
        </w:rPr>
        <w:t>” means the solicitation by the Borrower of offers for, and the subsequent acceptance, if any, by a Term Lender of, a voluntary prepayment of Term Loans at a discount to par pursuant to Section 2.11(a)(ii)(D).</w:t>
      </w:r>
    </w:p>
    <w:p>
      <w:pPr>
        <w:spacing w:after="0" w:line="16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Loans of the same Class, Type and currency, made, converted or continued on the same date and, in the case of </w:t>
      </w:r>
      <w:r>
        <w:rPr>
          <w:rFonts w:ascii="Arial" w:cs="Arial" w:eastAsia="Arial" w:hAnsi="Arial"/>
          <w:sz w:val="18"/>
          <w:szCs w:val="18"/>
          <w:color w:val="FF0000"/>
          <w:strike w:val="1"/>
        </w:rPr>
        <w:t>Eurodollar Loans or</w:t>
      </w:r>
      <w:r>
        <w:rPr>
          <w:rFonts w:ascii="Arial" w:cs="Arial" w:eastAsia="Arial" w:hAnsi="Arial"/>
          <w:sz w:val="18"/>
          <w:szCs w:val="18"/>
          <w:color w:val="FF0000"/>
        </w:rPr>
        <w:t xml:space="preserve"> </w:t>
      </w:r>
      <w:r>
        <w:rPr>
          <w:rFonts w:ascii="Arial" w:cs="Arial" w:eastAsia="Arial" w:hAnsi="Arial"/>
          <w:sz w:val="18"/>
          <w:szCs w:val="18"/>
          <w:color w:val="000000"/>
        </w:rPr>
        <w:t>Term Benchmark Loans, as to which a single Interest Period is in effect, or (b) a Swingline Loan.</w:t>
      </w:r>
    </w:p>
    <w:p>
      <w:pPr>
        <w:spacing w:after="0" w:line="184"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184"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1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(i) subject to clauses (ii), (iii), (iv) and (v)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a TARGET Day, (iii) with respect to all notices and determinations in connection with, and payments of principal and interest on or with respect to, SONIA Loans, any day that is only a SONIA Business Day, (iv) 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 and (v) if such day relates to any Term Benchmark Loan denominated in Dollars, shall also exclude any day that is not a U.S. Government Securities Business Day and (b)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5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w:t>
      </w:r>
      <w:r>
        <w:rPr>
          <w:rFonts w:ascii="Arial" w:cs="Arial" w:eastAsia="Arial" w:hAnsi="Arial"/>
          <w:sz w:val="18"/>
          <w:szCs w:val="18"/>
          <w:color w:val="auto"/>
        </w:rPr>
        <w:t>” means, for any day, a rate per annum equal to the greatest of (a) the rate which the principal office of the First Lien Administrative Agent in Toronto, Ontario then quotes, publishes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8"/>
          <w:szCs w:val="18"/>
          <w:color w:val="auto"/>
        </w:rPr>
        <w:t>refers to as its “prime rate” and which is its reference rate of interest for loans in Canadian Dollars made in Canada to commercial borrowers and (b) the one-month Adjusted BA Rate, plus 1.00% per annum, adjusted automatically with each quoted, published or displayed change in such rate, all without necessity of any notice to the Borrower or any other Person.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money of Canada.</w:t>
      </w:r>
    </w:p>
    <w:p>
      <w:pPr>
        <w:spacing w:after="0" w:line="2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xml:space="preserve"> ”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r>
        <w:rPr>
          <w:rFonts w:ascii="Arial" w:cs="Arial" w:eastAsia="Arial" w:hAnsi="Arial"/>
          <w:sz w:val="17"/>
          <w:szCs w:val="17"/>
          <w:u w:val="single" w:color="auto"/>
          <w:color w:val="auto"/>
        </w:rPr>
        <w:t>.</w:t>
      </w:r>
    </w:p>
    <w:p>
      <w:pPr>
        <w:spacing w:after="0" w:line="18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xml:space="preserve">” means all leases that have been or should be, in accordance with GAAP as in effect on the Effective Date, recorded as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17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has the meaning assigned to such term in the definition of “Secured Cash Management Obligations.”</w:t>
      </w:r>
    </w:p>
    <w:p>
      <w:pPr>
        <w:spacing w:after="0" w:line="22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Loan</w:t>
      </w:r>
      <w:r>
        <w:rPr>
          <w:rFonts w:ascii="Arial" w:cs="Arial" w:eastAsia="Arial" w:hAnsi="Arial"/>
          <w:sz w:val="18"/>
          <w:szCs w:val="18"/>
          <w:color w:val="auto"/>
        </w:rPr>
        <w:t>” means a Loan that bears interest at a rate determined by reference to the Central Bank Rate.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Spread</w:t>
      </w:r>
      <w:r>
        <w:rPr>
          <w:rFonts w:ascii="Arial" w:cs="Arial" w:eastAsia="Arial" w:hAnsi="Arial"/>
          <w:sz w:val="18"/>
          <w:szCs w:val="18"/>
          <w:color w:val="auto"/>
        </w:rPr>
        <w:t>” means the Applicable Rate, applicable to such Loan that is replaced by a CBR Loan.</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means, for any Loan denominated in Sterling, (a) the greater of (i) the Bank of England (or any successor thereto)’s “Bank Rate” as published by the Bank of England (or any successor thereto) from time to time, and (ii) the Floor; plus (b) the applicable Central Bank Rate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31" w:name="page32"/>
    <w:bookmarkEnd w:id="31"/>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Sections 956 and 957 of the Code.</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the failure of Holdings prior to an IPO, or, after the IPO, the IPO Entity, directly or indirectly through wholly owned subsidiaries, to own all of the Equity Interests of the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the occurrence of a “Change of Control” (or similar event, however denominated) as defined in the Second Lien Indenture unless such debt is repaid or commitments terminated (as applicable) substantially simultaneously with the occurrence of such “Change of Control” under such documentation in a manner not prohibited hereunder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16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w:t>
      </w:r>
    </w:p>
    <w:p>
      <w:pPr>
        <w:spacing w:after="0" w:line="167"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8"/>
          <w:szCs w:val="18"/>
          <w:color w:val="auto"/>
        </w:rPr>
        <w:t>any Lender in substantially the same manner as applied to other similarly situated borrowers under comparable syndicated credit facilities, including, without limitation, for purposes of Section 2.15.</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Citigroup Letter of Credit Sublimit</w:t>
      </w:r>
      <w:r>
        <w:rPr>
          <w:rFonts w:ascii="Arial" w:cs="Arial" w:eastAsia="Arial" w:hAnsi="Arial"/>
          <w:sz w:val="16"/>
          <w:szCs w:val="16"/>
          <w:color w:val="auto"/>
        </w:rPr>
        <w:t>” means an amount equal to the amount listed on Schedule 2.01 as amended by Amendment No.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issued pursuant to the Citigroup Letter of Credit Sublimit will be issued by Citibank, N.A. in its capacity as an “Issuing Bank”.</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Citizens Letter of Credit Sublimit</w:t>
      </w:r>
      <w:r>
        <w:rPr>
          <w:rFonts w:ascii="Arial" w:cs="Arial" w:eastAsia="Arial" w:hAnsi="Arial"/>
          <w:sz w:val="16"/>
          <w:szCs w:val="16"/>
          <w:color w:val="auto"/>
        </w:rPr>
        <w:t>” means an amount equal to the amount listed on Schedule 2.01 as amended by Amendment No. 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issued pursuant to the Citizens Letter of Credit Sublimit will be issued by Citizens Bank, N.A. in its capacity as an “Issuing Bank”.</w:t>
      </w:r>
    </w:p>
    <w:p>
      <w:pPr>
        <w:spacing w:after="0" w:line="2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when used in reference to (a) any Loan or Borrowing, refers to whether such Loan, or the Loans comprising such Borrowing, are Revolving Loans, Other Revolving Loans, Term Loans, First Lien Incremental Term Loans, Other First Lien Term Loans or Swingline Loans, (b) any Commitment, refers to whether such Commitment is a Revolving Commitment, Additional/Replacement 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w:t>
      </w:r>
    </w:p>
    <w:p>
      <w:pPr>
        <w:spacing w:after="0" w:line="18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5" w:lineRule="exact"/>
        <w:rPr>
          <w:sz w:val="20"/>
          <w:szCs w:val="20"/>
          <w:color w:val="auto"/>
        </w:rPr>
      </w:pPr>
    </w:p>
    <w:p>
      <w:pPr>
        <w:jc w:val="both"/>
        <w:ind w:left="660" w:firstLine="644"/>
        <w:spacing w:after="0" w:line="278" w:lineRule="auto"/>
        <w:tabs>
          <w:tab w:leader="none" w:pos="173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 (ii) Holdings, any Intermediate Parent, the Borrower and each Subsidiary Loan Party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163" w:lineRule="exact"/>
        <w:rPr>
          <w:rFonts w:ascii="Arial" w:cs="Arial" w:eastAsia="Arial" w:hAnsi="Arial"/>
          <w:sz w:val="16"/>
          <w:szCs w:val="16"/>
          <w:color w:val="auto"/>
        </w:rPr>
      </w:pPr>
    </w:p>
    <w:p>
      <w:pPr>
        <w:jc w:val="both"/>
        <w:ind w:left="660" w:firstLine="644"/>
        <w:spacing w:after="0" w:line="296" w:lineRule="auto"/>
        <w:tabs>
          <w:tab w:leader="none" w:pos="17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spacing w:after="0" w:line="145" w:lineRule="exact"/>
        <w:rPr>
          <w:rFonts w:ascii="Arial" w:cs="Arial" w:eastAsia="Arial" w:hAnsi="Arial"/>
          <w:sz w:val="16"/>
          <w:szCs w:val="16"/>
          <w:color w:val="auto"/>
        </w:rPr>
      </w:pPr>
    </w:p>
    <w:p>
      <w:pPr>
        <w:ind w:left="660" w:firstLine="644"/>
        <w:spacing w:after="0" w:line="261" w:lineRule="auto"/>
        <w:tabs>
          <w:tab w:leader="none" w:pos="17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any Indebtedness for borrowed money of Holdings, any Intermediate Parent, the Borrower or any Subsidiary in a principal amount of $20,000,000 or more is owing by such obligor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33" w:name="page34"/>
    <w:bookmarkEnd w:id="33"/>
    <w:p>
      <w:pPr>
        <w:jc w:val="both"/>
        <w:ind w:left="660"/>
        <w:spacing w:after="0" w:line="249" w:lineRule="auto"/>
        <w:rPr>
          <w:sz w:val="20"/>
          <w:szCs w:val="20"/>
          <w:color w:val="auto"/>
        </w:rPr>
      </w:pPr>
      <w:r>
        <w:rPr>
          <w:rFonts w:ascii="Arial" w:cs="Arial" w:eastAsia="Arial" w:hAnsi="Arial"/>
          <w:sz w:val="18"/>
          <w:szCs w:val="18"/>
          <w:color w:val="auto"/>
        </w:rPr>
        <w:t xml:space="preserve">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delivery requirement with respect to any intercompany indebtedness may be satisfied by delivery of an omnibus or global intercompany note executed by all Loan Parties as payees and all such obligors as payors;</w:t>
      </w:r>
    </w:p>
    <w:p>
      <w:pPr>
        <w:spacing w:after="0" w:line="182" w:lineRule="exact"/>
        <w:rPr>
          <w:sz w:val="20"/>
          <w:szCs w:val="20"/>
          <w:color w:val="auto"/>
        </w:rPr>
      </w:pPr>
    </w:p>
    <w:p>
      <w:pPr>
        <w:jc w:val="both"/>
        <w:ind w:left="660" w:firstLine="644"/>
        <w:spacing w:after="0" w:line="245" w:lineRule="auto"/>
        <w:tabs>
          <w:tab w:leader="none" w:pos="17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spacing w:after="0" w:line="199" w:lineRule="exact"/>
        <w:rPr>
          <w:rFonts w:ascii="Arial" w:cs="Arial" w:eastAsia="Arial" w:hAnsi="Arial"/>
          <w:sz w:val="18"/>
          <w:szCs w:val="18"/>
          <w:color w:val="auto"/>
        </w:rPr>
      </w:pPr>
    </w:p>
    <w:p>
      <w:pPr>
        <w:jc w:val="both"/>
        <w:ind w:left="660" w:firstLine="644"/>
        <w:spacing w:after="0" w:line="274" w:lineRule="auto"/>
        <w:tabs>
          <w:tab w:leader="none" w:pos="1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 (i) 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foregoing provisions of this definition or anything in this Agreement or any other First Lien Loan Document to the contrary, (a) the foregoing provisions of this definition shall not require the creation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34" w:name="page35"/>
    <w:bookmarkEnd w:id="34"/>
    <w:p>
      <w:pPr>
        <w:jc w:val="both"/>
        <w:spacing w:after="0" w:line="274" w:lineRule="auto"/>
        <w:rPr>
          <w:sz w:val="20"/>
          <w:szCs w:val="20"/>
          <w:color w:val="auto"/>
        </w:rPr>
      </w:pPr>
      <w:r>
        <w:rPr>
          <w:rFonts w:ascii="Arial" w:cs="Arial" w:eastAsia="Arial" w:hAnsi="Arial"/>
          <w:sz w:val="16"/>
          <w:szCs w:val="16"/>
          <w:color w:val="auto"/>
        </w:rPr>
        <w:t>perfection of pledges of or security interests in, or the obtaining of title 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w:t>
      </w:r>
    </w:p>
    <w:p>
      <w:pPr>
        <w:spacing w:after="0" w:line="2" w:lineRule="exact"/>
        <w:rPr>
          <w:sz w:val="20"/>
          <w:szCs w:val="20"/>
          <w:color w:val="auto"/>
        </w:rPr>
      </w:pPr>
    </w:p>
    <w:p>
      <w:pPr>
        <w:jc w:val="both"/>
        <w:ind w:firstLine="8"/>
        <w:spacing w:after="0" w:line="271" w:lineRule="auto"/>
        <w:tabs>
          <w:tab w:leader="none" w:pos="25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 security interests in assets subject to certificates of title beyond the filing of UCC financing statements;</w:t>
      </w:r>
    </w:p>
    <w:p>
      <w:pPr>
        <w:spacing w:after="0" w:line="6" w:lineRule="exact"/>
        <w:rPr>
          <w:rFonts w:ascii="Arial" w:cs="Arial" w:eastAsia="Arial" w:hAnsi="Arial"/>
          <w:sz w:val="16"/>
          <w:szCs w:val="16"/>
          <w:color w:val="auto"/>
        </w:rPr>
      </w:pPr>
    </w:p>
    <w:p>
      <w:pPr>
        <w:jc w:val="both"/>
        <w:ind w:firstLine="8"/>
        <w:spacing w:after="0" w:line="258" w:lineRule="auto"/>
        <w:tabs>
          <w:tab w:leader="none" w:pos="227"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19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with respect to any Lender, its Revolving Commitment, Other Revolving Commitment of any Class, Term Commitment, Other First Lien Term Commitment of any Class or any combination thereof (as the context requires) and (b) with respect to any Swingline Lender, its Swingline Commitment.</w:t>
      </w:r>
    </w:p>
    <w:p>
      <w:pPr>
        <w:spacing w:after="0" w:line="17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Percentage</w:t>
      </w:r>
      <w:r>
        <w:rPr>
          <w:rFonts w:ascii="Arial" w:cs="Arial" w:eastAsia="Arial" w:hAnsi="Arial"/>
          <w:sz w:val="18"/>
          <w:szCs w:val="18"/>
          <w:color w:val="auto"/>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date of the delivery of the consolidated financial statements pursuant to Section 5.01(b) as of and for the fiscal year ended December 31, 2019, the Commitment Fee Percentage shall be based on the rates per annum set forth in Category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35" w:name="page36"/>
    <w:bookmarkEnd w:id="35"/>
    <w:p>
      <w:pPr>
        <w:spacing w:after="0" w:line="3" w:lineRule="exact"/>
        <w:rPr>
          <w:sz w:val="20"/>
          <w:szCs w:val="20"/>
          <w:color w:val="auto"/>
        </w:rPr>
      </w:pPr>
    </w:p>
    <w:tbl>
      <w:tblPr>
        <w:tblLayout w:type="fixed"/>
        <w:tblInd w:w="1410" w:type="dxa"/>
        <w:tblCellMar>
          <w:top w:w="0" w:type="dxa"/>
          <w:left w:w="0" w:type="dxa"/>
          <w:bottom w:w="0" w:type="dxa"/>
          <w:right w:w="0" w:type="dxa"/>
        </w:tblCellMar>
      </w:tblPr>
      <w:tr>
        <w:trPr>
          <w:trHeight w:val="48"/>
        </w:trPr>
        <w:tc>
          <w:tcPr>
            <w:tcW w:w="60" w:type="dxa"/>
            <w:vAlign w:val="bottom"/>
            <w:tcBorders>
              <w:top w:val="single" w:sz="8" w:color="auto"/>
              <w:left w:val="single" w:sz="8" w:color="auto"/>
              <w:bottom w:val="single" w:sz="8" w:color="auto"/>
              <w:right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2620" w:type="dxa"/>
            <w:vAlign w:val="bottom"/>
            <w:tcBorders>
              <w:top w:val="single" w:sz="8" w:color="auto"/>
              <w:bottom w:val="single" w:sz="8" w:color="auto"/>
            </w:tcBorders>
          </w:tcPr>
          <w:p>
            <w:pPr>
              <w:spacing w:after="0"/>
              <w:rPr>
                <w:sz w:val="4"/>
                <w:szCs w:val="4"/>
                <w:color w:val="auto"/>
              </w:rPr>
            </w:pPr>
          </w:p>
        </w:tc>
        <w:tc>
          <w:tcPr>
            <w:tcW w:w="24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auto"/>
              <w:bottom w:val="single" w:sz="8" w:color="E0E0E0"/>
              <w:right w:val="single" w:sz="8" w:color="auto"/>
            </w:tcBorders>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3420" w:type="dxa"/>
            <w:vAlign w:val="bottom"/>
            <w:tcBorders>
              <w:bottom w:val="single" w:sz="8" w:color="auto"/>
              <w:right w:val="single" w:sz="8" w:color="auto"/>
            </w:tcBorders>
            <w:gridSpan w:val="2"/>
            <w:shd w:val="clear" w:color="auto" w:fill="E0E0E0"/>
          </w:tcPr>
          <w:p>
            <w:pPr>
              <w:ind w:left="20"/>
              <w:spacing w:after="0"/>
              <w:rPr>
                <w:sz w:val="20"/>
                <w:szCs w:val="20"/>
                <w:color w:val="auto"/>
              </w:rPr>
            </w:pPr>
            <w:r>
              <w:rPr>
                <w:rFonts w:ascii="Arial" w:cs="Arial" w:eastAsia="Arial" w:hAnsi="Arial"/>
                <w:sz w:val="18"/>
                <w:szCs w:val="18"/>
                <w:color w:val="auto"/>
                <w:w w:val="92"/>
              </w:rPr>
              <w:t>Senior Secured First Lien Net Leverage Ratio</w:t>
            </w:r>
          </w:p>
        </w:tc>
        <w:tc>
          <w:tcPr>
            <w:tcW w:w="2400" w:type="dxa"/>
            <w:vAlign w:val="bottom"/>
            <w:tcBorders>
              <w:bottom w:val="single" w:sz="8" w:color="auto"/>
            </w:tcBorders>
            <w:shd w:val="clear" w:color="auto" w:fill="E0E0E0"/>
          </w:tcPr>
          <w:p>
            <w:pPr>
              <w:jc w:val="right"/>
              <w:ind w:right="50"/>
              <w:spacing w:after="0"/>
              <w:rPr>
                <w:sz w:val="20"/>
                <w:szCs w:val="20"/>
                <w:color w:val="auto"/>
              </w:rPr>
            </w:pPr>
            <w:r>
              <w:rPr>
                <w:rFonts w:ascii="Arial" w:cs="Arial" w:eastAsia="Arial" w:hAnsi="Arial"/>
                <w:sz w:val="18"/>
                <w:szCs w:val="18"/>
                <w:color w:val="auto"/>
                <w:w w:val="95"/>
              </w:rPr>
              <w:t>Commitment Fee Percentage</w:t>
            </w:r>
          </w:p>
        </w:tc>
        <w:tc>
          <w:tcPr>
            <w:tcW w:w="8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8"/>
              </w:rPr>
              <w:t>Category 1</w:t>
            </w:r>
          </w:p>
        </w:tc>
        <w:tc>
          <w:tcPr>
            <w:tcW w:w="2620" w:type="dxa"/>
            <w:vAlign w:val="bottom"/>
            <w:tcBorders>
              <w:right w:val="single" w:sz="8" w:color="auto"/>
            </w:tcBorders>
          </w:tcPr>
          <w:p>
            <w:pPr>
              <w:spacing w:after="0"/>
              <w:rPr>
                <w:sz w:val="15"/>
                <w:szCs w:val="15"/>
                <w:color w:val="auto"/>
              </w:rPr>
            </w:pPr>
          </w:p>
        </w:tc>
        <w:tc>
          <w:tcPr>
            <w:tcW w:w="2400" w:type="dxa"/>
            <w:vAlign w:val="bottom"/>
          </w:tcPr>
          <w:p>
            <w:pPr>
              <w:jc w:val="right"/>
              <w:ind w:right="1730"/>
              <w:spacing w:after="0" w:line="182" w:lineRule="exact"/>
              <w:rPr>
                <w:sz w:val="20"/>
                <w:szCs w:val="20"/>
                <w:color w:val="auto"/>
              </w:rPr>
            </w:pPr>
            <w:r>
              <w:rPr>
                <w:rFonts w:ascii="Arial" w:cs="Arial" w:eastAsia="Arial" w:hAnsi="Arial"/>
                <w:sz w:val="18"/>
                <w:szCs w:val="18"/>
                <w:color w:val="auto"/>
                <w:w w:val="91"/>
              </w:rPr>
              <w:t>0.500%</w:t>
            </w:r>
          </w:p>
        </w:tc>
        <w:tc>
          <w:tcPr>
            <w:tcW w:w="8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Greater than 5.00 to 1.00</w:t>
            </w:r>
          </w:p>
        </w:tc>
        <w:tc>
          <w:tcPr>
            <w:tcW w:w="2400" w:type="dxa"/>
            <w:vAlign w:val="bottom"/>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60" w:type="dxa"/>
            <w:vAlign w:val="bottom"/>
            <w:tcBorders>
              <w:left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8"/>
              </w:rPr>
              <w:t>Category 2</w:t>
            </w:r>
          </w:p>
        </w:tc>
        <w:tc>
          <w:tcPr>
            <w:tcW w:w="26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8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6"/>
                <w:szCs w:val="16"/>
                <w:color w:val="auto"/>
              </w:rPr>
              <w:t>Greater than 4.50 to 1.00, but less than or</w:t>
            </w:r>
          </w:p>
        </w:tc>
        <w:tc>
          <w:tcPr>
            <w:tcW w:w="2400" w:type="dxa"/>
            <w:vAlign w:val="bottom"/>
            <w:vMerge w:val="restart"/>
          </w:tcPr>
          <w:p>
            <w:pPr>
              <w:jc w:val="right"/>
              <w:ind w:right="1670"/>
              <w:spacing w:after="0"/>
              <w:rPr>
                <w:sz w:val="20"/>
                <w:szCs w:val="20"/>
                <w:color w:val="auto"/>
              </w:rPr>
            </w:pPr>
            <w:r>
              <w:rPr>
                <w:rFonts w:ascii="Arial" w:cs="Arial" w:eastAsia="Arial" w:hAnsi="Arial"/>
                <w:sz w:val="18"/>
                <w:szCs w:val="18"/>
                <w:color w:val="auto"/>
              </w:rPr>
              <w:t>0.375%</w:t>
            </w:r>
          </w:p>
        </w:tc>
        <w:tc>
          <w:tcPr>
            <w:tcW w:w="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equal to 5.00 to 1.00</w:t>
            </w:r>
          </w:p>
        </w:tc>
        <w:tc>
          <w:tcPr>
            <w:tcW w:w="2400" w:type="dxa"/>
            <w:vAlign w:val="bottom"/>
            <w:vMerge w:val="continue"/>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 w:type="dxa"/>
            <w:vAlign w:val="bottom"/>
            <w:tcBorders>
              <w:left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8"/>
              </w:rPr>
              <w:t>Category 3</w:t>
            </w:r>
          </w:p>
        </w:tc>
        <w:tc>
          <w:tcPr>
            <w:tcW w:w="2620" w:type="dxa"/>
            <w:vAlign w:val="bottom"/>
            <w:tcBorders>
              <w:right w:val="single" w:sz="8" w:color="auto"/>
            </w:tcBorders>
          </w:tcPr>
          <w:p>
            <w:pPr>
              <w:spacing w:after="0"/>
              <w:rPr>
                <w:sz w:val="15"/>
                <w:szCs w:val="15"/>
                <w:color w:val="auto"/>
              </w:rPr>
            </w:pPr>
          </w:p>
        </w:tc>
        <w:tc>
          <w:tcPr>
            <w:tcW w:w="2400" w:type="dxa"/>
            <w:vAlign w:val="bottom"/>
            <w:vMerge w:val="restart"/>
          </w:tcPr>
          <w:p>
            <w:pPr>
              <w:jc w:val="right"/>
              <w:ind w:right="1670"/>
              <w:spacing w:after="0"/>
              <w:rPr>
                <w:sz w:val="20"/>
                <w:szCs w:val="20"/>
                <w:color w:val="auto"/>
              </w:rPr>
            </w:pPr>
            <w:r>
              <w:rPr>
                <w:rFonts w:ascii="Arial" w:cs="Arial" w:eastAsia="Arial" w:hAnsi="Arial"/>
                <w:sz w:val="18"/>
                <w:szCs w:val="18"/>
                <w:color w:val="auto"/>
              </w:rPr>
              <w:t>0.250%</w:t>
            </w:r>
          </w:p>
        </w:tc>
        <w:tc>
          <w:tcPr>
            <w:tcW w:w="8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Less than or equal to 4.50 to 1.00</w:t>
            </w:r>
          </w:p>
        </w:tc>
        <w:tc>
          <w:tcPr>
            <w:tcW w:w="2400" w:type="dxa"/>
            <w:vAlign w:val="bottom"/>
            <w:vMerge w:val="continue"/>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60" w:type="dxa"/>
            <w:vAlign w:val="bottom"/>
            <w:tcBorders>
              <w:left w:val="single" w:sz="8" w:color="auto"/>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 and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successor statute.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the certificate required to be delivered pursuant to Section 5.01(d).</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Consenting Issuing Bank</w:t>
      </w:r>
      <w:r>
        <w:rPr>
          <w:rFonts w:ascii="Arial" w:cs="Arial" w:eastAsia="Arial" w:hAnsi="Arial"/>
          <w:sz w:val="17"/>
          <w:szCs w:val="17"/>
          <w:color w:val="auto"/>
        </w:rPr>
        <w:t>” means each Issuing Bank that has consented and agreed to the Transactions set forth in the Revolving Facilities Amendment by delivering an executed counterpart thereof to the First Lien Administrative Agent on or prior to March 26, 2021.</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212" w:lineRule="exact"/>
        <w:rPr>
          <w:sz w:val="20"/>
          <w:szCs w:val="20"/>
          <w:color w:val="auto"/>
        </w:rPr>
      </w:pPr>
    </w:p>
    <w:p>
      <w:pPr>
        <w:ind w:left="660" w:firstLine="644"/>
        <w:spacing w:after="0" w:line="261" w:lineRule="auto"/>
        <w:tabs>
          <w:tab w:leader="none" w:pos="16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without duplication and to the extent already deducted (and not added back) in arriving at such Consolidated Net Income, the sum of the following amounts for such period:</w:t>
      </w:r>
    </w:p>
    <w:p>
      <w:pPr>
        <w:spacing w:after="0" w:line="184" w:lineRule="exact"/>
        <w:rPr>
          <w:rFonts w:ascii="Arial" w:cs="Arial" w:eastAsia="Arial" w:hAnsi="Arial"/>
          <w:sz w:val="18"/>
          <w:szCs w:val="18"/>
          <w:color w:val="auto"/>
        </w:rPr>
      </w:pPr>
    </w:p>
    <w:p>
      <w:pPr>
        <w:jc w:val="both"/>
        <w:ind w:left="1300" w:firstLine="264"/>
        <w:spacing w:after="0" w:line="261" w:lineRule="auto"/>
        <w:tabs>
          <w:tab w:leader="none" w:pos="1989"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portion of rent expense with respect to such period under Capitalized Leases that is treated as interest expense in accordance with GAAP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implied interest component of synthetic leases with respect to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bank and letter of credit fees and costs of surety bonds in connection with financing activities,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 any commissions, discounts, yield and other fees and charges (including any interest expense) related to any Qualified Securitization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36" w:name="page37"/>
    <w:bookmarkEnd w:id="36"/>
    <w:p>
      <w:pPr>
        <w:jc w:val="both"/>
        <w:ind w:left="180" w:firstLine="245"/>
        <w:spacing w:after="0" w:line="249" w:lineRule="auto"/>
        <w:tabs>
          <w:tab w:leader="none" w:pos="882"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194" w:lineRule="exact"/>
        <w:rPr>
          <w:rFonts w:ascii="Arial" w:cs="Arial" w:eastAsia="Arial" w:hAnsi="Arial"/>
          <w:sz w:val="18"/>
          <w:szCs w:val="18"/>
          <w:color w:val="auto"/>
        </w:rPr>
      </w:pPr>
    </w:p>
    <w:p>
      <w:pPr>
        <w:ind w:left="820" w:hanging="456"/>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Non-Cash Charges;</w:t>
      </w:r>
    </w:p>
    <w:p>
      <w:pPr>
        <w:spacing w:after="0" w:line="211" w:lineRule="exact"/>
        <w:rPr>
          <w:rFonts w:ascii="Arial" w:cs="Arial" w:eastAsia="Arial" w:hAnsi="Arial"/>
          <w:sz w:val="18"/>
          <w:szCs w:val="18"/>
          <w:color w:val="auto"/>
        </w:rPr>
      </w:pPr>
    </w:p>
    <w:p>
      <w:pPr>
        <w:jc w:val="both"/>
        <w:ind w:left="180" w:firstLine="202"/>
        <w:spacing w:after="0" w:line="256" w:lineRule="auto"/>
        <w:tabs>
          <w:tab w:leader="none" w:pos="8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w:t>
      </w:r>
    </w:p>
    <w:p>
      <w:pPr>
        <w:spacing w:after="0" w:line="188" w:lineRule="exact"/>
        <w:rPr>
          <w:rFonts w:ascii="Arial" w:cs="Arial" w:eastAsia="Arial" w:hAnsi="Arial"/>
          <w:sz w:val="18"/>
          <w:szCs w:val="18"/>
          <w:color w:val="auto"/>
        </w:rPr>
      </w:pPr>
    </w:p>
    <w:p>
      <w:pPr>
        <w:ind w:left="760" w:hanging="39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extraordinary losses or charges;</w:t>
      </w:r>
    </w:p>
    <w:p>
      <w:pPr>
        <w:spacing w:after="0" w:line="212" w:lineRule="exact"/>
        <w:rPr>
          <w:sz w:val="20"/>
          <w:szCs w:val="20"/>
          <w:color w:val="auto"/>
        </w:rPr>
      </w:pPr>
    </w:p>
    <w:p>
      <w:pPr>
        <w:jc w:val="both"/>
        <w:ind w:left="180" w:firstLine="229"/>
        <w:spacing w:after="0" w:line="264" w:lineRule="auto"/>
        <w:tabs>
          <w:tab w:leader="none" w:pos="8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169" w:lineRule="exact"/>
        <w:rPr>
          <w:sz w:val="20"/>
          <w:szCs w:val="20"/>
          <w:color w:val="auto"/>
        </w:rPr>
      </w:pPr>
    </w:p>
    <w:p>
      <w:pPr>
        <w:ind w:left="180" w:firstLine="208"/>
        <w:spacing w:after="0" w:line="308" w:lineRule="auto"/>
        <w:tabs>
          <w:tab w:leader="none" w:pos="897"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132" w:lineRule="exact"/>
        <w:rPr>
          <w:rFonts w:ascii="Arial" w:cs="Arial" w:eastAsia="Arial" w:hAnsi="Arial"/>
          <w:sz w:val="17"/>
          <w:szCs w:val="17"/>
          <w:color w:val="auto"/>
        </w:rPr>
      </w:pPr>
    </w:p>
    <w:p>
      <w:pPr>
        <w:ind w:left="180" w:firstLine="212"/>
        <w:spacing w:after="0" w:line="308" w:lineRule="auto"/>
        <w:tabs>
          <w:tab w:leader="none" w:pos="9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 of any non-controlling interest consisting of income attributable to non-controlling interests of third parties in any Non-Wholly Owned Subsidiary deducted (and not added back in such period) in calculating Consolidated Net Income;</w:t>
      </w:r>
    </w:p>
    <w:p>
      <w:pPr>
        <w:spacing w:after="0" w:line="132" w:lineRule="exact"/>
        <w:rPr>
          <w:rFonts w:ascii="Arial" w:cs="Arial" w:eastAsia="Arial" w:hAnsi="Arial"/>
          <w:sz w:val="17"/>
          <w:szCs w:val="17"/>
          <w:color w:val="auto"/>
        </w:rPr>
      </w:pPr>
    </w:p>
    <w:p>
      <w:pPr>
        <w:jc w:val="both"/>
        <w:ind w:left="180" w:firstLine="216"/>
        <w:spacing w:after="0" w:line="283" w:lineRule="auto"/>
        <w:tabs>
          <w:tab w:leader="none" w:pos="8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spacing w:after="0" w:line="169" w:lineRule="exact"/>
        <w:rPr>
          <w:rFonts w:ascii="Arial" w:cs="Arial" w:eastAsia="Arial" w:hAnsi="Arial"/>
          <w:sz w:val="16"/>
          <w:szCs w:val="16"/>
          <w:color w:val="auto"/>
        </w:rPr>
      </w:pPr>
    </w:p>
    <w:p>
      <w:pPr>
        <w:ind w:left="180" w:firstLine="250"/>
        <w:spacing w:after="0" w:line="261" w:lineRule="auto"/>
        <w:tabs>
          <w:tab w:leader="none" w:pos="882" w:val="left"/>
        </w:tabs>
        <w:numPr>
          <w:ilvl w:val="1"/>
          <w:numId w:val="24"/>
        </w:numPr>
        <w:rPr>
          <w:rFonts w:ascii="Arial" w:cs="Arial" w:eastAsia="Arial" w:hAnsi="Arial"/>
          <w:sz w:val="18"/>
          <w:szCs w:val="18"/>
          <w:color w:val="auto"/>
        </w:rPr>
      </w:pPr>
      <w:r>
        <w:rPr>
          <w:rFonts w:ascii="Arial" w:cs="Arial" w:eastAsia="Arial" w:hAnsi="Arial"/>
          <w:sz w:val="18"/>
          <w:szCs w:val="18"/>
          <w:color w:val="auto"/>
        </w:rPr>
        <w:t>losses on asset sales, disposals or abandonments (other than asset sales, disposals or abandonments in the ordinary course of business);</w:t>
      </w:r>
    </w:p>
    <w:p>
      <w:pPr>
        <w:spacing w:after="0" w:line="184" w:lineRule="exact"/>
        <w:rPr>
          <w:rFonts w:ascii="Arial" w:cs="Arial" w:eastAsia="Arial" w:hAnsi="Arial"/>
          <w:sz w:val="18"/>
          <w:szCs w:val="18"/>
          <w:color w:val="auto"/>
        </w:rPr>
      </w:pPr>
    </w:p>
    <w:p>
      <w:pPr>
        <w:jc w:val="both"/>
        <w:ind w:left="180" w:firstLine="652"/>
        <w:spacing w:after="0" w:line="249" w:lineRule="auto"/>
        <w:tabs>
          <w:tab w:leader="none" w:pos="1359" w:val="left"/>
        </w:tabs>
        <w:numPr>
          <w:ilvl w:val="2"/>
          <w:numId w:val="24"/>
        </w:numPr>
        <w:rPr>
          <w:rFonts w:ascii="Arial" w:cs="Arial" w:eastAsia="Arial" w:hAnsi="Arial"/>
          <w:sz w:val="18"/>
          <w:szCs w:val="18"/>
          <w:color w:val="auto"/>
        </w:rPr>
      </w:pPr>
      <w:r>
        <w:rPr>
          <w:rFonts w:ascii="Arial" w:cs="Arial" w:eastAsia="Arial" w:hAnsi="Arial"/>
          <w:sz w:val="18"/>
          <w:szCs w:val="18"/>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20"/>
          </w:cols>
          <w:pgMar w:left="1440" w:top="1421" w:right="339" w:bottom="1440" w:gutter="0" w:footer="0" w:header="0"/>
        </w:sectPr>
      </w:pPr>
    </w:p>
    <w:bookmarkStart w:id="37" w:name="page38"/>
    <w:bookmarkEnd w:id="37"/>
    <w:p>
      <w:pPr>
        <w:jc w:val="both"/>
        <w:ind w:left="180" w:firstLine="193"/>
        <w:spacing w:after="0" w:line="256" w:lineRule="auto"/>
        <w:tabs>
          <w:tab w:leader="none" w:pos="8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174" w:lineRule="exact"/>
        <w:rPr>
          <w:rFonts w:ascii="Arial" w:cs="Arial" w:eastAsia="Arial" w:hAnsi="Arial"/>
          <w:sz w:val="18"/>
          <w:szCs w:val="18"/>
          <w:color w:val="auto"/>
        </w:rPr>
      </w:pPr>
    </w:p>
    <w:p>
      <w:pPr>
        <w:ind w:left="180" w:firstLine="199"/>
        <w:spacing w:after="0" w:line="277"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loss relating to amounts paid in cash prior to the stated settlement date of any hedging obligation that has been reflected in Consolidated Net Income for such period;</w:t>
      </w:r>
    </w:p>
    <w:p>
      <w:pPr>
        <w:spacing w:after="0" w:line="156" w:lineRule="exact"/>
        <w:rPr>
          <w:rFonts w:ascii="Arial" w:cs="Arial" w:eastAsia="Arial" w:hAnsi="Arial"/>
          <w:sz w:val="18"/>
          <w:szCs w:val="18"/>
          <w:color w:val="auto"/>
        </w:rPr>
      </w:pPr>
    </w:p>
    <w:p>
      <w:pPr>
        <w:ind w:left="180" w:firstLine="237"/>
        <w:spacing w:after="0" w:line="308" w:lineRule="auto"/>
        <w:tabs>
          <w:tab w:leader="none" w:pos="995" w:val="left"/>
        </w:tabs>
        <w:numPr>
          <w:ilvl w:val="2"/>
          <w:numId w:val="25"/>
        </w:numPr>
        <w:rPr>
          <w:rFonts w:ascii="Arial" w:cs="Arial" w:eastAsia="Arial" w:hAnsi="Arial"/>
          <w:sz w:val="17"/>
          <w:szCs w:val="17"/>
          <w:color w:val="auto"/>
        </w:rPr>
      </w:pPr>
      <w:r>
        <w:rPr>
          <w:rFonts w:ascii="Arial" w:cs="Arial" w:eastAsia="Arial" w:hAnsi="Arial"/>
          <w:sz w:val="17"/>
          <w:szCs w:val="17"/>
          <w:color w:val="auto"/>
        </w:rPr>
        <w:t>any gain relating to hedging obligations associated with transactions realized in the current period that has been reflected in Consolidated Net Income in prior periods and excluded from Consolidated EBITDA pursuant to clauses (c)(iv) and (c)(v) below;</w:t>
      </w:r>
    </w:p>
    <w:p>
      <w:pPr>
        <w:spacing w:after="0" w:line="132" w:lineRule="exact"/>
        <w:rPr>
          <w:rFonts w:ascii="Arial" w:cs="Arial" w:eastAsia="Arial" w:hAnsi="Arial"/>
          <w:sz w:val="17"/>
          <w:szCs w:val="17"/>
          <w:color w:val="auto"/>
        </w:rPr>
      </w:pPr>
    </w:p>
    <w:p>
      <w:pPr>
        <w:jc w:val="both"/>
        <w:ind w:left="180" w:firstLine="191"/>
        <w:spacing w:after="0" w:line="296" w:lineRule="auto"/>
        <w:tabs>
          <w:tab w:leader="none" w:pos="854"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145" w:lineRule="exact"/>
        <w:rPr>
          <w:rFonts w:ascii="Arial" w:cs="Arial" w:eastAsia="Arial" w:hAnsi="Arial"/>
          <w:sz w:val="16"/>
          <w:szCs w:val="16"/>
          <w:color w:val="auto"/>
        </w:rPr>
      </w:pPr>
    </w:p>
    <w:p>
      <w:pPr>
        <w:jc w:val="both"/>
        <w:ind w:left="180" w:firstLine="197"/>
        <w:spacing w:after="0" w:line="303" w:lineRule="auto"/>
        <w:tabs>
          <w:tab w:leader="none" w:pos="915"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40" w:lineRule="exact"/>
        <w:rPr>
          <w:rFonts w:ascii="Arial" w:cs="Arial" w:eastAsia="Arial" w:hAnsi="Arial"/>
          <w:sz w:val="16"/>
          <w:szCs w:val="16"/>
          <w:color w:val="auto"/>
        </w:rPr>
      </w:pPr>
    </w:p>
    <w:p>
      <w:pPr>
        <w:ind w:left="940" w:hanging="576"/>
        <w:spacing w:after="0"/>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other add-backs and adjustments specified in the Model;</w:t>
      </w:r>
    </w:p>
    <w:p>
      <w:pPr>
        <w:spacing w:after="0" w:line="225" w:lineRule="exact"/>
        <w:rPr>
          <w:rFonts w:ascii="Arial" w:cs="Arial" w:eastAsia="Arial" w:hAnsi="Arial"/>
          <w:sz w:val="18"/>
          <w:szCs w:val="18"/>
          <w:color w:val="auto"/>
        </w:rPr>
      </w:pPr>
    </w:p>
    <w:p>
      <w:pPr>
        <w:jc w:val="both"/>
        <w:ind w:left="180" w:firstLine="652"/>
        <w:spacing w:after="0" w:line="249" w:lineRule="auto"/>
        <w:tabs>
          <w:tab w:leader="none" w:pos="1556" w:val="left"/>
        </w:tabs>
        <w:numPr>
          <w:ilvl w:val="3"/>
          <w:numId w:val="25"/>
        </w:numPr>
        <w:rPr>
          <w:rFonts w:ascii="Arial" w:cs="Arial" w:eastAsia="Arial" w:hAnsi="Arial"/>
          <w:sz w:val="18"/>
          <w:szCs w:val="18"/>
          <w:color w:val="auto"/>
        </w:rPr>
      </w:pPr>
      <w:r>
        <w:rPr>
          <w:rFonts w:ascii="Arial" w:cs="Arial" w:eastAsia="Arial" w:hAnsi="Arial"/>
          <w:sz w:val="18"/>
          <w:szCs w:val="18"/>
          <w:color w:val="auto"/>
        </w:rPr>
        <w:t>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w:t>
      </w:r>
    </w:p>
    <w:p>
      <w:pPr>
        <w:spacing w:after="0" w:line="194" w:lineRule="exact"/>
        <w:rPr>
          <w:rFonts w:ascii="Arial" w:cs="Arial" w:eastAsia="Arial" w:hAnsi="Arial"/>
          <w:sz w:val="18"/>
          <w:szCs w:val="18"/>
          <w:color w:val="auto"/>
        </w:rPr>
      </w:pPr>
    </w:p>
    <w:p>
      <w:pPr>
        <w:ind w:left="180" w:firstLine="652"/>
        <w:spacing w:after="0" w:line="261" w:lineRule="auto"/>
        <w:tabs>
          <w:tab w:leader="none" w:pos="1512"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amount of losses on Dispositions of accounts receivable, Securitization Assets and related assets incurred in connection with a Qualified Securitization Facility;</w:t>
      </w:r>
    </w:p>
    <w:p>
      <w:pPr>
        <w:spacing w:after="0" w:line="184" w:lineRule="exact"/>
        <w:rPr>
          <w:rFonts w:ascii="Arial" w:cs="Arial" w:eastAsia="Arial" w:hAnsi="Arial"/>
          <w:sz w:val="18"/>
          <w:szCs w:val="18"/>
          <w:color w:val="auto"/>
        </w:rPr>
      </w:pPr>
    </w:p>
    <w:p>
      <w:pPr>
        <w:jc w:val="both"/>
        <w:ind w:left="180" w:firstLine="652"/>
        <w:spacing w:after="0" w:line="283" w:lineRule="auto"/>
        <w:tabs>
          <w:tab w:leader="none" w:pos="1528" w:val="left"/>
        </w:tabs>
        <w:numPr>
          <w:ilvl w:val="3"/>
          <w:numId w:val="25"/>
        </w:numPr>
        <w:rPr>
          <w:rFonts w:ascii="Arial" w:cs="Arial" w:eastAsia="Arial" w:hAnsi="Arial"/>
          <w:sz w:val="16"/>
          <w:szCs w:val="16"/>
          <w:color w:val="auto"/>
        </w:rPr>
      </w:pPr>
      <w:r>
        <w:rPr>
          <w:rFonts w:ascii="Arial" w:cs="Arial" w:eastAsia="Arial" w:hAnsi="Arial"/>
          <w:sz w:val="16"/>
          <w:szCs w:val="16"/>
          <w:color w:val="auto"/>
        </w:rPr>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156" w:lineRule="exact"/>
        <w:rPr>
          <w:rFonts w:ascii="Arial" w:cs="Arial" w:eastAsia="Arial" w:hAnsi="Arial"/>
          <w:sz w:val="16"/>
          <w:szCs w:val="16"/>
          <w:color w:val="auto"/>
        </w:rPr>
      </w:pPr>
    </w:p>
    <w:p>
      <w:pPr>
        <w:ind w:left="1400" w:hanging="568"/>
        <w:spacing w:after="0"/>
        <w:tabs>
          <w:tab w:leader="none" w:pos="1400" w:val="left"/>
        </w:tabs>
        <w:numPr>
          <w:ilvl w:val="3"/>
          <w:numId w:val="25"/>
        </w:numPr>
        <w:rPr>
          <w:rFonts w:ascii="Arial" w:cs="Arial" w:eastAsia="Arial" w:hAnsi="Arial"/>
          <w:sz w:val="18"/>
          <w:szCs w:val="18"/>
          <w:color w:val="auto"/>
        </w:rPr>
      </w:pPr>
      <w:r>
        <w:rPr>
          <w:rFonts w:ascii="Arial" w:cs="Arial" w:eastAsia="Arial" w:hAnsi="Arial"/>
          <w:sz w:val="18"/>
          <w:szCs w:val="18"/>
          <w:color w:val="auto"/>
        </w:rPr>
        <w:t>Public Company Costs;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plus</w:t>
      </w:r>
    </w:p>
    <w:p>
      <w:pPr>
        <w:spacing w:after="0" w:line="212" w:lineRule="exact"/>
        <w:rPr>
          <w:sz w:val="20"/>
          <w:szCs w:val="20"/>
          <w:color w:val="auto"/>
        </w:rPr>
      </w:pPr>
    </w:p>
    <w:p>
      <w:pPr>
        <w:jc w:val="both"/>
        <w:ind w:left="-460" w:firstLine="644"/>
        <w:spacing w:after="0" w:line="254" w:lineRule="auto"/>
        <w:tabs>
          <w:tab w:leader="none" w:pos="6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120"/>
          </w:cols>
          <w:pgMar w:left="1440" w:top="1421" w:right="339" w:bottom="1440" w:gutter="0" w:footer="0" w:header="0"/>
        </w:sectPr>
      </w:pPr>
    </w:p>
    <w:bookmarkStart w:id="38" w:name="page39"/>
    <w:bookmarkEnd w:id="38"/>
    <w:p>
      <w:pPr>
        <w:jc w:val="both"/>
        <w:spacing w:after="0" w:line="280" w:lineRule="auto"/>
        <w:rPr>
          <w:sz w:val="20"/>
          <w:szCs w:val="20"/>
          <w:color w:val="auto"/>
        </w:rPr>
      </w:pPr>
      <w:r>
        <w:rPr>
          <w:rFonts w:ascii="Arial" w:cs="Arial" w:eastAsia="Arial" w:hAnsi="Arial"/>
          <w:sz w:val="16"/>
          <w:szCs w:val="16"/>
          <w:color w:val="auto"/>
        </w:rPr>
        <w:t xml:space="preserve">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(a)(vi) and (a)(vii) above or in the definition of “Pro Forma Adjustment” (it being understood and agreed that “run rate” shall mean the full recurring benefit that is associated with any action taken);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less</w:t>
      </w:r>
    </w:p>
    <w:p>
      <w:pPr>
        <w:spacing w:after="0" w:line="212" w:lineRule="exact"/>
        <w:rPr>
          <w:sz w:val="20"/>
          <w:szCs w:val="20"/>
          <w:color w:val="auto"/>
        </w:rPr>
      </w:pPr>
    </w:p>
    <w:p>
      <w:pPr>
        <w:ind w:left="1060" w:hanging="416"/>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without duplication and to the extent included in arriving at such Consolidated Net Income, the sum of the following amounts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period:</w:t>
      </w:r>
    </w:p>
    <w:p>
      <w:pPr>
        <w:spacing w:after="0" w:line="197" w:lineRule="exact"/>
        <w:rPr>
          <w:rFonts w:ascii="Arial" w:cs="Arial" w:eastAsia="Arial" w:hAnsi="Arial"/>
          <w:sz w:val="16"/>
          <w:szCs w:val="16"/>
          <w:color w:val="auto"/>
        </w:rPr>
      </w:pPr>
    </w:p>
    <w:p>
      <w:pPr>
        <w:ind w:left="640" w:firstLine="304"/>
        <w:spacing w:after="0" w:line="261" w:lineRule="auto"/>
        <w:tabs>
          <w:tab w:leader="none" w:pos="1410" w:val="left"/>
        </w:tabs>
        <w:numPr>
          <w:ilvl w:val="2"/>
          <w:numId w:val="27"/>
        </w:numPr>
        <w:rPr>
          <w:rFonts w:ascii="Arial" w:cs="Arial" w:eastAsia="Arial" w:hAnsi="Arial"/>
          <w:sz w:val="18"/>
          <w:szCs w:val="18"/>
          <w:color w:val="auto"/>
        </w:rPr>
      </w:pPr>
      <w:r>
        <w:rPr>
          <w:rFonts w:ascii="Arial" w:cs="Arial" w:eastAsia="Arial" w:hAnsi="Arial"/>
          <w:sz w:val="18"/>
          <w:szCs w:val="18"/>
          <w:color w:val="auto"/>
        </w:rPr>
        <w:t>extraordinary gains and unusual or non-recurring gains (other than gains arising from the receipt of business interruption insurance proceeds);</w:t>
      </w:r>
    </w:p>
    <w:p>
      <w:pPr>
        <w:spacing w:after="0" w:line="184" w:lineRule="exact"/>
        <w:rPr>
          <w:rFonts w:ascii="Arial" w:cs="Arial" w:eastAsia="Arial" w:hAnsi="Arial"/>
          <w:sz w:val="18"/>
          <w:szCs w:val="18"/>
          <w:color w:val="auto"/>
        </w:rPr>
      </w:pPr>
    </w:p>
    <w:p>
      <w:pPr>
        <w:ind w:left="640" w:firstLine="215"/>
        <w:spacing w:after="0" w:line="261" w:lineRule="auto"/>
        <w:tabs>
          <w:tab w:leader="none" w:pos="12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184" w:lineRule="exact"/>
        <w:rPr>
          <w:sz w:val="20"/>
          <w:szCs w:val="20"/>
          <w:color w:val="auto"/>
        </w:rPr>
      </w:pPr>
    </w:p>
    <w:p>
      <w:pPr>
        <w:ind w:left="1400" w:hanging="511"/>
        <w:spacing w:after="0"/>
        <w:tabs>
          <w:tab w:leader="none" w:pos="1400" w:val="left"/>
        </w:tabs>
        <w:numPr>
          <w:ilvl w:val="3"/>
          <w:numId w:val="28"/>
        </w:numPr>
        <w:rPr>
          <w:rFonts w:ascii="Arial" w:cs="Arial" w:eastAsia="Arial" w:hAnsi="Arial"/>
          <w:sz w:val="16"/>
          <w:szCs w:val="16"/>
          <w:color w:val="auto"/>
        </w:rPr>
      </w:pPr>
      <w:r>
        <w:rPr>
          <w:rFonts w:ascii="Arial" w:cs="Arial" w:eastAsia="Arial" w:hAnsi="Arial"/>
          <w:sz w:val="16"/>
          <w:szCs w:val="16"/>
          <w:color w:val="auto"/>
        </w:rPr>
        <w:t>gains on asset sales, disposals or abandonments (other than asset sales, disposals or abandonments in the ordinary course of</w:t>
      </w:r>
    </w:p>
    <w:p>
      <w:pPr>
        <w:spacing w:after="0" w:line="3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09" w:lineRule="exact"/>
        <w:rPr>
          <w:rFonts w:ascii="Arial" w:cs="Arial" w:eastAsia="Arial" w:hAnsi="Arial"/>
          <w:sz w:val="16"/>
          <w:szCs w:val="16"/>
          <w:color w:val="auto"/>
        </w:rPr>
      </w:pPr>
    </w:p>
    <w:p>
      <w:pPr>
        <w:jc w:val="both"/>
        <w:ind w:left="640" w:firstLine="196"/>
        <w:spacing w:after="0" w:line="256" w:lineRule="auto"/>
        <w:tabs>
          <w:tab w:leader="none" w:pos="1284"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174" w:lineRule="exact"/>
        <w:rPr>
          <w:rFonts w:ascii="Arial" w:cs="Arial" w:eastAsia="Arial" w:hAnsi="Arial"/>
          <w:sz w:val="18"/>
          <w:szCs w:val="18"/>
          <w:color w:val="auto"/>
        </w:rPr>
      </w:pPr>
    </w:p>
    <w:p>
      <w:pPr>
        <w:ind w:left="640" w:firstLine="200"/>
        <w:spacing w:after="0" w:line="277" w:lineRule="auto"/>
        <w:tabs>
          <w:tab w:leader="none" w:pos="1242"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gain relating to amounts received in cash prior to the stated settlement date of any hedging obligation that has been reflected in Consolidated Net Income in such period;</w:t>
      </w:r>
    </w:p>
    <w:p>
      <w:pPr>
        <w:spacing w:after="0" w:line="156" w:lineRule="exact"/>
        <w:rPr>
          <w:rFonts w:ascii="Arial" w:cs="Arial" w:eastAsia="Arial" w:hAnsi="Arial"/>
          <w:sz w:val="18"/>
          <w:szCs w:val="18"/>
          <w:color w:val="auto"/>
        </w:rPr>
      </w:pPr>
    </w:p>
    <w:p>
      <w:pPr>
        <w:ind w:left="640" w:firstLine="255"/>
        <w:spacing w:after="0" w:line="324" w:lineRule="auto"/>
        <w:tabs>
          <w:tab w:leader="none" w:pos="1402" w:val="left"/>
        </w:tabs>
        <w:numPr>
          <w:ilvl w:val="3"/>
          <w:numId w:val="29"/>
        </w:numPr>
        <w:rPr>
          <w:rFonts w:ascii="Arial" w:cs="Arial" w:eastAsia="Arial" w:hAnsi="Arial"/>
          <w:sz w:val="16"/>
          <w:szCs w:val="16"/>
          <w:color w:val="auto"/>
        </w:rPr>
      </w:pPr>
      <w:r>
        <w:rPr>
          <w:rFonts w:ascii="Arial" w:cs="Arial" w:eastAsia="Arial" w:hAnsi="Arial"/>
          <w:sz w:val="16"/>
          <w:szCs w:val="16"/>
          <w:color w:val="auto"/>
        </w:rPr>
        <w:t>any loss relating to hedging obligations associated with transactions realized in the current period that has been reflected in Consolidated Net Income in prior periods and excluded from Consolidated EBITDA pursuant to clauses (a)(xii) and (a)(xiii) above; and</w:t>
      </w:r>
    </w:p>
    <w:p>
      <w:pPr>
        <w:spacing w:after="0" w:line="137" w:lineRule="exact"/>
        <w:rPr>
          <w:rFonts w:ascii="Arial" w:cs="Arial" w:eastAsia="Arial" w:hAnsi="Arial"/>
          <w:sz w:val="16"/>
          <w:szCs w:val="16"/>
          <w:color w:val="auto"/>
        </w:rPr>
      </w:pPr>
    </w:p>
    <w:p>
      <w:pPr>
        <w:ind w:left="640" w:firstLine="193"/>
        <w:spacing w:after="0" w:line="261" w:lineRule="auto"/>
        <w:tabs>
          <w:tab w:leader="none" w:pos="1329"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Arial" w:cs="Arial" w:eastAsia="Arial" w:hAnsi="Arial"/>
          <w:sz w:val="18"/>
          <w:szCs w:val="18"/>
          <w:u w:val="single" w:color="auto"/>
          <w:color w:val="auto"/>
        </w:rPr>
        <w:t>plus</w:t>
      </w:r>
    </w:p>
    <w:p>
      <w:pPr>
        <w:spacing w:after="0" w:line="184" w:lineRule="exact"/>
        <w:rPr>
          <w:rFonts w:ascii="Arial" w:cs="Arial" w:eastAsia="Arial" w:hAnsi="Arial"/>
          <w:sz w:val="18"/>
          <w:szCs w:val="18"/>
          <w:color w:val="auto"/>
        </w:rPr>
      </w:pPr>
    </w:p>
    <w:p>
      <w:pPr>
        <w:jc w:val="both"/>
        <w:ind w:firstLine="644"/>
        <w:spacing w:after="0" w:line="256" w:lineRule="auto"/>
        <w:tabs>
          <w:tab w:leader="none" w:pos="9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Arial" w:cs="Arial" w:eastAsia="Arial" w:hAnsi="Arial"/>
          <w:sz w:val="18"/>
          <w:szCs w:val="18"/>
          <w:u w:val="single" w:color="auto"/>
          <w:color w:val="auto"/>
        </w:rPr>
        <w:t>minus</w:t>
      </w:r>
    </w:p>
    <w:p>
      <w:pPr>
        <w:spacing w:after="0" w:line="174" w:lineRule="exact"/>
        <w:rPr>
          <w:rFonts w:ascii="Arial" w:cs="Arial" w:eastAsia="Arial" w:hAnsi="Arial"/>
          <w:sz w:val="18"/>
          <w:szCs w:val="18"/>
          <w:color w:val="auto"/>
        </w:rPr>
      </w:pPr>
    </w:p>
    <w:p>
      <w:pPr>
        <w:jc w:val="both"/>
        <w:ind w:firstLine="644"/>
        <w:spacing w:after="0" w:line="278" w:lineRule="auto"/>
        <w:tabs>
          <w:tab w:leader="none" w:pos="907"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Arial" w:cs="Arial" w:eastAsia="Arial" w:hAnsi="Arial"/>
          <w:sz w:val="17"/>
          <w:szCs w:val="17"/>
          <w:u w:val="single" w:color="auto"/>
          <w:color w:val="auto"/>
        </w:rPr>
        <w:t>plus</w:t>
      </w:r>
    </w:p>
    <w:p>
      <w:pPr>
        <w:spacing w:after="0" w:line="171" w:lineRule="exact"/>
        <w:rPr>
          <w:rFonts w:ascii="Arial" w:cs="Arial" w:eastAsia="Arial" w:hAnsi="Arial"/>
          <w:sz w:val="17"/>
          <w:szCs w:val="17"/>
          <w:color w:val="auto"/>
        </w:rPr>
      </w:pPr>
    </w:p>
    <w:p>
      <w:pPr>
        <w:ind w:firstLine="644"/>
        <w:spacing w:after="0" w:line="261" w:lineRule="auto"/>
        <w:tabs>
          <w:tab w:leader="none" w:pos="8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amount, with respect to investments recorded using the equity method of accounting or the cost method of accounting and without duplication of any amounts added pursuant to clause (d)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980" w:top="1421" w:right="339" w:bottom="1440" w:gutter="0" w:footer="0" w:header="0"/>
        </w:sectPr>
      </w:pPr>
    </w:p>
    <w:bookmarkStart w:id="39" w:name="page40"/>
    <w:bookmarkEnd w:id="39"/>
    <w:p>
      <w:pPr>
        <w:jc w:val="both"/>
        <w:ind w:left="660"/>
        <w:spacing w:after="0" w:line="256" w:lineRule="auto"/>
        <w:rPr>
          <w:sz w:val="20"/>
          <w:szCs w:val="20"/>
          <w:color w:val="auto"/>
        </w:rPr>
      </w:pPr>
      <w:r>
        <w:rPr>
          <w:rFonts w:ascii="Arial" w:cs="Arial" w:eastAsia="Arial" w:hAnsi="Arial"/>
          <w:sz w:val="18"/>
          <w:szCs w:val="18"/>
          <w:color w:val="auto"/>
        </w:rPr>
        <w:t xml:space="preserve">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Arial" w:cs="Arial" w:eastAsia="Arial" w:hAnsi="Arial"/>
          <w:sz w:val="18"/>
          <w:szCs w:val="18"/>
          <w:u w:val="single" w:color="auto"/>
          <w:color w:val="auto"/>
        </w:rPr>
        <w:t>minus</w:t>
      </w:r>
    </w:p>
    <w:p>
      <w:pPr>
        <w:spacing w:after="0" w:line="175" w:lineRule="exact"/>
        <w:rPr>
          <w:sz w:val="20"/>
          <w:szCs w:val="20"/>
          <w:color w:val="auto"/>
        </w:rPr>
      </w:pPr>
    </w:p>
    <w:p>
      <w:pPr>
        <w:jc w:val="both"/>
        <w:ind w:left="660" w:firstLine="644"/>
        <w:spacing w:after="0" w:line="273" w:lineRule="auto"/>
        <w:tabs>
          <w:tab w:leader="none" w:pos="1567"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each case, as determined on a consolidated basis for the Borrower and the Restricted Subsidiaries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37" w:lineRule="exact"/>
        <w:rPr>
          <w:sz w:val="20"/>
          <w:szCs w:val="20"/>
          <w:color w:val="auto"/>
        </w:rPr>
      </w:pPr>
    </w:p>
    <w:p>
      <w:pPr>
        <w:jc w:val="both"/>
        <w:ind w:left="660" w:firstLine="644"/>
        <w:spacing w:after="0" w:line="256" w:lineRule="auto"/>
        <w:tabs>
          <w:tab w:leader="none" w:pos="18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175" w:lineRule="exact"/>
        <w:rPr>
          <w:sz w:val="20"/>
          <w:szCs w:val="20"/>
          <w:color w:val="auto"/>
        </w:rPr>
      </w:pPr>
    </w:p>
    <w:p>
      <w:pPr>
        <w:ind w:left="660" w:firstLine="644"/>
        <w:spacing w:after="0" w:line="291" w:lineRule="auto"/>
        <w:tabs>
          <w:tab w:leader="none" w:pos="178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160" w:lineRule="exact"/>
        <w:rPr>
          <w:sz w:val="20"/>
          <w:szCs w:val="20"/>
          <w:color w:val="auto"/>
        </w:rPr>
      </w:pPr>
    </w:p>
    <w:p>
      <w:pPr>
        <w:jc w:val="both"/>
        <w:ind w:left="660" w:firstLine="644"/>
        <w:spacing w:after="0" w:line="260" w:lineRule="auto"/>
        <w:tabs>
          <w:tab w:leader="none" w:pos="180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Arial" w:cs="Arial" w:eastAsia="Arial" w:hAnsi="Arial"/>
          <w:sz w:val="17"/>
          <w:szCs w:val="17"/>
          <w:u w:val="single" w:color="auto"/>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u w:val="single" w:color="auto"/>
          <w:color w:val="auto"/>
        </w:rPr>
        <w:t>Converted Restricted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w:t>
      </w:r>
      <w:r>
        <w:rPr>
          <w:rFonts w:ascii="Arial" w:cs="Arial" w:eastAsia="Arial" w:hAnsi="Arial"/>
          <w:sz w:val="17"/>
          <w:szCs w:val="17"/>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172"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17"/>
          <w:szCs w:val="17"/>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Arial" w:cs="Arial" w:eastAsia="Arial" w:hAnsi="Arial"/>
          <w:sz w:val="17"/>
          <w:szCs w:val="17"/>
          <w:u w:val="single" w:color="auto"/>
          <w:color w:val="auto"/>
        </w:rPr>
        <w:t>Sold Entity or Business</w:t>
      </w:r>
      <w:r>
        <w:rPr>
          <w:rFonts w:ascii="Arial" w:cs="Arial" w:eastAsia="Arial" w:hAnsi="Arial"/>
          <w:sz w:val="17"/>
          <w:szCs w:val="17"/>
          <w:color w:val="auto"/>
        </w:rPr>
        <w:t>”), and the Disposed EBITDA of any Restricted Subsidiary that is converted into an Unrestricted Subsidiary during such period (each, a “</w:t>
      </w:r>
      <w:r>
        <w:rPr>
          <w:rFonts w:ascii="Arial" w:cs="Arial" w:eastAsia="Arial" w:hAnsi="Arial"/>
          <w:sz w:val="17"/>
          <w:szCs w:val="17"/>
          <w:u w:val="single" w:color="auto"/>
          <w:color w:val="auto"/>
        </w:rPr>
        <w:t>Converted Unrestricted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w:t>
      </w:r>
      <w:r>
        <w:rPr>
          <w:rFonts w:ascii="Arial" w:cs="Arial" w:eastAsia="Arial" w:hAnsi="Arial"/>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40" w:name="page41"/>
    <w:bookmarkEnd w:id="40"/>
    <w:p>
      <w:pPr>
        <w:jc w:val="both"/>
        <w:ind w:left="660"/>
        <w:spacing w:after="0" w:line="249" w:lineRule="auto"/>
        <w:rPr>
          <w:sz w:val="20"/>
          <w:szCs w:val="20"/>
          <w:color w:val="auto"/>
        </w:rPr>
      </w:pPr>
      <w:r>
        <w:rPr>
          <w:rFonts w:ascii="Arial" w:cs="Arial" w:eastAsia="Arial" w:hAnsi="Arial"/>
          <w:sz w:val="18"/>
          <w:szCs w:val="18"/>
          <w:color w:val="auto"/>
        </w:rPr>
        <w:t>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spacing w:after="0" w:line="194" w:lineRule="exact"/>
        <w:rPr>
          <w:sz w:val="20"/>
          <w:szCs w:val="20"/>
          <w:color w:val="auto"/>
        </w:rPr>
      </w:pPr>
    </w:p>
    <w:p>
      <w:pPr>
        <w:jc w:val="both"/>
        <w:ind w:left="660" w:firstLine="644"/>
        <w:spacing w:after="0" w:line="256" w:lineRule="auto"/>
        <w:tabs>
          <w:tab w:leader="none" w:pos="17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Agreement).</w:t>
      </w:r>
    </w:p>
    <w:p>
      <w:pPr>
        <w:spacing w:after="0" w:line="175"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Notwithstanding the foregoing, Consolidated EBITDA shall be deemed to equal (a)</w:t>
      </w:r>
      <w:r>
        <w:rPr>
          <w:sz w:val="20"/>
          <w:szCs w:val="20"/>
          <w:color w:val="auto"/>
        </w:rPr>
        <w:tab/>
      </w:r>
      <w:r>
        <w:rPr>
          <w:rFonts w:ascii="Arial" w:cs="Arial" w:eastAsia="Arial" w:hAnsi="Arial"/>
          <w:sz w:val="17"/>
          <w:szCs w:val="17"/>
          <w:color w:val="auto"/>
        </w:rPr>
        <w:t>$94,434,000 for the fiscal quarter ended September 30, 2019,</w:t>
      </w:r>
    </w:p>
    <w:p>
      <w:pPr>
        <w:spacing w:after="0" w:line="23" w:lineRule="exact"/>
        <w:rPr>
          <w:sz w:val="20"/>
          <w:szCs w:val="20"/>
          <w:color w:val="auto"/>
        </w:rPr>
      </w:pPr>
    </w:p>
    <w:p>
      <w:pPr>
        <w:jc w:val="both"/>
        <w:ind w:firstLine="8"/>
        <w:spacing w:after="0" w:line="269"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$89,137,000 for the fiscal quarter ended June 30, 2019, (c) $103,037,000 for the fiscal quarter ended March 31, 2019 and (d) $97,661,000 for the fiscal quarter ended December 31, 2018 (it being understood that such amounts are subject to adjustments, as and to the extent otherwise contemplated in this Agreement, in connection with any Pro Forma Adjustment or any calculation on a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amounts of Consolidated EBITDA for any such fiscal quarter may be further increased to include, without duplication, any adjustments that would otherwise be included pursuant to clause</w:t>
      </w: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 this definition.</w:t>
      </w:r>
    </w:p>
    <w:p>
      <w:pPr>
        <w:spacing w:after="0" w:line="20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(loss) of the Borrower and its Restricted Subsidiaries for such period determined on a consolidated basis in accordance with GAAP, excluding, without duplication,</w:t>
      </w:r>
    </w:p>
    <w:p>
      <w:pPr>
        <w:spacing w:after="0" w:line="157" w:lineRule="exact"/>
        <w:rPr>
          <w:sz w:val="20"/>
          <w:szCs w:val="20"/>
          <w:color w:val="auto"/>
        </w:rPr>
      </w:pPr>
    </w:p>
    <w:p>
      <w:pPr>
        <w:ind w:left="1680" w:hanging="376"/>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extraordinary items for such period,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w:t>
      </w:r>
    </w:p>
    <w:p>
      <w:pPr>
        <w:spacing w:after="0" w:line="207" w:lineRule="exact"/>
        <w:rPr>
          <w:rFonts w:ascii="Arial" w:cs="Arial" w:eastAsia="Arial" w:hAnsi="Arial"/>
          <w:sz w:val="18"/>
          <w:szCs w:val="18"/>
          <w:color w:val="auto"/>
        </w:rPr>
      </w:pPr>
    </w:p>
    <w:p>
      <w:pPr>
        <w:ind w:left="1680" w:hanging="376"/>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Transaction Costs incurred during such period</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color w:val="auto"/>
        </w:rPr>
      </w:pPr>
    </w:p>
    <w:p>
      <w:pPr>
        <w:jc w:val="both"/>
        <w:ind w:left="660" w:firstLine="644"/>
        <w:spacing w:after="0" w:line="278" w:lineRule="auto"/>
        <w:tabs>
          <w:tab w:leader="none" w:pos="1812"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41" w:name="page42"/>
    <w:bookmarkEnd w:id="41"/>
    <w:p>
      <w:pPr>
        <w:jc w:val="both"/>
        <w:ind w:left="660"/>
        <w:spacing w:after="0" w:line="246" w:lineRule="auto"/>
        <w:rPr>
          <w:sz w:val="20"/>
          <w:szCs w:val="20"/>
          <w:color w:val="auto"/>
        </w:rPr>
      </w:pPr>
      <w:r>
        <w:rPr>
          <w:rFonts w:ascii="Arial" w:cs="Arial" w:eastAsia="Arial" w:hAnsi="Arial"/>
          <w:sz w:val="18"/>
          <w:szCs w:val="18"/>
          <w:color w:val="auto"/>
        </w:rPr>
        <w:t>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199" w:lineRule="exact"/>
        <w:rPr>
          <w:sz w:val="20"/>
          <w:szCs w:val="20"/>
          <w:color w:val="auto"/>
        </w:rPr>
      </w:pPr>
    </w:p>
    <w:p>
      <w:pPr>
        <w:ind w:left="1720" w:hanging="416"/>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income (loss) for such period attributable to the early extinguishment of Indebtedness, hedging agreements or other derivative</w:t>
      </w:r>
    </w:p>
    <w:p>
      <w:pPr>
        <w:spacing w:after="0" w:line="3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instruments,</w:t>
      </w:r>
    </w:p>
    <w:p>
      <w:pPr>
        <w:spacing w:after="0" w:line="209" w:lineRule="exact"/>
        <w:rPr>
          <w:rFonts w:ascii="Arial" w:cs="Arial" w:eastAsia="Arial" w:hAnsi="Arial"/>
          <w:sz w:val="16"/>
          <w:szCs w:val="16"/>
          <w:color w:val="auto"/>
        </w:rPr>
      </w:pPr>
    </w:p>
    <w:p>
      <w:pPr>
        <w:jc w:val="both"/>
        <w:ind w:left="660" w:firstLine="644"/>
        <w:spacing w:after="0" w:line="256" w:lineRule="auto"/>
        <w:tabs>
          <w:tab w:leader="none" w:pos="16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174" w:lineRule="exact"/>
        <w:rPr>
          <w:rFonts w:ascii="Arial" w:cs="Arial" w:eastAsia="Arial" w:hAnsi="Arial"/>
          <w:sz w:val="18"/>
          <w:szCs w:val="18"/>
          <w:color w:val="auto"/>
        </w:rPr>
      </w:pPr>
    </w:p>
    <w:p>
      <w:pPr>
        <w:ind w:left="1700" w:hanging="396"/>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stock-based award compensation expenses,</w:t>
      </w:r>
    </w:p>
    <w:p>
      <w:pPr>
        <w:spacing w:after="0" w:line="211" w:lineRule="exact"/>
        <w:rPr>
          <w:rFonts w:ascii="Arial" w:cs="Arial" w:eastAsia="Arial" w:hAnsi="Arial"/>
          <w:sz w:val="18"/>
          <w:szCs w:val="18"/>
          <w:color w:val="auto"/>
        </w:rPr>
      </w:pPr>
    </w:p>
    <w:p>
      <w:pPr>
        <w:ind w:left="1700" w:hanging="396"/>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income (loss) attributable to deferred compensation plans or trusts,</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income (loss) from Investments recorded using the equity method, and</w:t>
      </w:r>
    </w:p>
    <w:p>
      <w:pPr>
        <w:spacing w:after="0" w:line="211" w:lineRule="exact"/>
        <w:rPr>
          <w:rFonts w:ascii="Arial" w:cs="Arial" w:eastAsia="Arial" w:hAnsi="Arial"/>
          <w:sz w:val="18"/>
          <w:szCs w:val="18"/>
          <w:color w:val="auto"/>
        </w:rPr>
      </w:pPr>
    </w:p>
    <w:p>
      <w:pPr>
        <w:ind w:left="1660" w:hanging="356"/>
        <w:spacing w:after="0"/>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 of any expense required to be recorded as compensation expense related to contingent transaction consideration.</w:t>
      </w:r>
    </w:p>
    <w:p>
      <w:pPr>
        <w:spacing w:after="0" w:line="237"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83"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7"/>
          <w:szCs w:val="17"/>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5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Senior Secured First Lien Net Indebtedness</w:t>
      </w:r>
      <w:r>
        <w:rPr>
          <w:rFonts w:ascii="Arial" w:cs="Arial" w:eastAsia="Arial" w:hAnsi="Arial"/>
          <w:sz w:val="17"/>
          <w:szCs w:val="17"/>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any asset of the Borrower or any of the Restricted Subsidiaries that is not expressly subordinated to Liens on any asset of the Borrower or any of the Restricted Subsidiaries securing the First Lien Loan Document Obligations (including, for the avoidance of doubt, the First Lien Loan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cash and Permitted Investments (in each case, free and clear of all liens, other than Liens permitted pursuant to Section 6.02), excluding cash and Permitted Investments that are listed as “restricted”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8"/>
          <w:szCs w:val="18"/>
          <w:color w:val="auto"/>
        </w:rPr>
        <w:t xml:space="preserve">consolidated balance sheet of the Borrower and its Restricted Subsidiaries as of such date, but including cash and Permitted Investments restricted in favor of the Secured Obligations (which may also secure other Indebtedness secured by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lien on the Collateral along with the Secured Obligations).</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Senior Secured Indebtedness</w:t>
      </w:r>
      <w:r>
        <w:rPr>
          <w:rFonts w:ascii="Arial" w:cs="Arial" w:eastAsia="Arial" w:hAnsi="Arial"/>
          <w:sz w:val="16"/>
          <w:szCs w:val="16"/>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not subordinated in right of payment to the Second Lien Debt Document Obligations and that is secured by a Lien on any asset of the Borrower or any of the Restricted Subsidiaries (including, for the avoidance of doubt, the First Lien Loan Document Obligations and the Second Lien Debt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or a junior lien basis to, the Secured Obligations).</w:t>
      </w:r>
    </w:p>
    <w:p>
      <w:pPr>
        <w:spacing w:after="0" w:line="16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Net Indebtedness</w:t>
      </w:r>
      <w:r>
        <w:rPr>
          <w:rFonts w:ascii="Arial" w:cs="Arial" w:eastAsia="Arial" w:hAnsi="Arial"/>
          <w:sz w:val="17"/>
          <w:szCs w:val="17"/>
          <w:color w:val="auto"/>
        </w:rPr>
        <w:t xml:space="preserve">” 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or junior lien on the Collateral along with the Secured Obligations).</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all amounts that would, in conformity with GAAP, be set forth opposite the caption “total current liabilities” (or any like caption) on a consolidated balance sheet of the Borrower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w:t>
      </w:r>
    </w:p>
    <w:p>
      <w:pPr>
        <w:jc w:val="both"/>
        <w:ind w:firstLine="8"/>
        <w:spacing w:after="0" w:line="276" w:lineRule="auto"/>
        <w:tabs>
          <w:tab w:leader="none" w:pos="333"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current portion of current and deferred income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21" w:right="339" w:bottom="1440" w:gutter="0" w:footer="0" w:header="0"/>
        </w:sectPr>
      </w:pPr>
    </w:p>
    <w:bookmarkStart w:id="43" w:name="page44"/>
    <w:bookmarkEnd w:id="4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assigned to such term in the definition of “Excess Cash Flow.”</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has the meaning given such term in the definition of “Consolidated EBITDA.”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given such term in the definition of “Consolidated EBITDA.”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has the meaning assigned to such term in the First Lien Collateral Agreement.</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Refinancing Indebtedness</w:t>
      </w:r>
      <w:r>
        <w:rPr>
          <w:rFonts w:ascii="Arial" w:cs="Arial" w:eastAsia="Arial" w:hAnsi="Arial"/>
          <w:sz w:val="17"/>
          <w:szCs w:val="17"/>
          <w:color w:val="auto"/>
        </w:rPr>
        <w:t>” means Indebtedness issued, incurred or otherwise obtained by the Borrower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Arial" w:cs="Arial" w:eastAsia="Arial" w:hAnsi="Arial"/>
          <w:sz w:val="17"/>
          <w:szCs w:val="17"/>
          <w:u w:val="single" w:color="auto"/>
          <w:color w:val="auto"/>
        </w:rPr>
        <w:t>Refinanced 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(i) does not mature earlier than or, except in the case of Revolving Commitments, have a Weighted Average Life to Maturity shorter than the Refinanced Debt and (ii) if such Indebtedness is unsecured or secured by the Collateral on a junior lien basis to the Secured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or (y) the Revolving Lenders or the Lenders under the Term Loans, as applicable,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and/or (iii) only applicable after the Latest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21" w:right="339" w:bottom="1440" w:gutter="0" w:footer="0" w:header="0"/>
        </w:sectPr>
      </w:pPr>
    </w:p>
    <w:bookmarkStart w:id="44" w:name="page45"/>
    <w:bookmarkEnd w:id="44"/>
    <w:p>
      <w:pPr>
        <w:jc w:val="both"/>
        <w:spacing w:after="0" w:line="246" w:lineRule="auto"/>
        <w:rPr>
          <w:sz w:val="20"/>
          <w:szCs w:val="20"/>
          <w:color w:val="auto"/>
        </w:rPr>
      </w:pPr>
      <w:r>
        <w:rPr>
          <w:rFonts w:ascii="Arial" w:cs="Arial" w:eastAsia="Arial" w:hAnsi="Arial"/>
          <w:sz w:val="18"/>
          <w:szCs w:val="18"/>
          <w:color w:val="auto"/>
        </w:rPr>
        <w:t xml:space="preserve">Maturity Date at the time of such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conditions in clauses (b) and (e)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and (y) such Credit Agreement Refinancing Indebtedness. Notwithstanding anything to the contrary, no Credit Agreement Refinancing Indebtedness shall be subject to any “most favored nation” pricing adjustments set forth in this Agreement.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Suisse Letter of Credit Sublimit</w:t>
      </w:r>
      <w:r>
        <w:rPr>
          <w:rFonts w:ascii="Arial" w:cs="Arial" w:eastAsia="Arial" w:hAnsi="Arial"/>
          <w:sz w:val="16"/>
          <w:szCs w:val="16"/>
          <w:color w:val="auto"/>
        </w:rPr>
        <w:t>” means an amount equal to the amount listed on Schedule 2.01 as amended by Amendment No.</w:t>
      </w:r>
    </w:p>
    <w:p>
      <w:pPr>
        <w:spacing w:after="0" w:line="46" w:lineRule="exact"/>
        <w:rPr>
          <w:sz w:val="20"/>
          <w:szCs w:val="20"/>
          <w:color w:val="auto"/>
        </w:rPr>
      </w:pPr>
    </w:p>
    <w:p>
      <w:pPr>
        <w:ind w:firstLine="8"/>
        <w:spacing w:after="0" w:line="245" w:lineRule="auto"/>
        <w:tabs>
          <w:tab w:leader="none" w:pos="1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Letters of Credit issued pursuant to the Credit Suisse Letter of Credit Sublimit will be issued by Credit Suisse AG, New York Branch in its capacity as an “Issuing Bank”.</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has the meaning assigned to such term in Section 7.02(a).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has the meaning assigned to such term in Section 7.02(a).</w:t>
      </w:r>
    </w:p>
    <w:p>
      <w:pPr>
        <w:spacing w:after="0" w:line="21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Customary Intercreditor Agreement</w:t>
      </w:r>
      <w:r>
        <w:rPr>
          <w:rFonts w:ascii="Arial" w:cs="Arial" w:eastAsia="Arial" w:hAnsi="Arial"/>
          <w:sz w:val="17"/>
          <w:szCs w:val="17"/>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an interest rate per annum equal to, for any RFR Loan denominated in</w:t>
      </w:r>
    </w:p>
    <w:p>
      <w:pPr>
        <w:spacing w:after="0" w:line="46" w:lineRule="exact"/>
        <w:rPr>
          <w:sz w:val="20"/>
          <w:szCs w:val="20"/>
          <w:color w:val="auto"/>
        </w:rPr>
      </w:pPr>
    </w:p>
    <w:p>
      <w:pPr>
        <w:ind w:right="160" w:firstLine="8"/>
        <w:spacing w:after="0"/>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Sterling, Adjusted Daily Simple SONIA for the day that is 5 RFR Business Days prior to (A) if such RFR Interest Day is an RFR Business Day, such RFR Interest Day or (B) if such RFR Interest Day is not an RFR Business Day, the RFR Business Day immediately preceding such RFR, and (ii) Dollars, Adjusted Daily Simple SOFR.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w:t>
      </w:r>
      <w:r>
        <w:rPr>
          <w:rFonts w:ascii="Arial" w:cs="Arial" w:eastAsia="Arial" w:hAnsi="Arial"/>
          <w:sz w:val="18"/>
          <w:szCs w:val="18"/>
          <w:color w:val="FF0000"/>
          <w:strike w:val="1"/>
        </w:rPr>
        <w:t>:</w:t>
      </w:r>
    </w:p>
    <w:p>
      <w:pPr>
        <w:spacing w:after="0" w:line="212" w:lineRule="exact"/>
        <w:rPr>
          <w:sz w:val="20"/>
          <w:szCs w:val="20"/>
          <w:color w:val="auto"/>
        </w:rPr>
      </w:pPr>
    </w:p>
    <w:p>
      <w:pPr>
        <w:jc w:val="both"/>
        <w:ind w:left="660" w:firstLine="644"/>
        <w:spacing w:after="0" w:line="303" w:lineRule="auto"/>
        <w:tabs>
          <w:tab w:leader="none" w:pos="1565" w:val="left"/>
        </w:tabs>
        <w:numPr>
          <w:ilvl w:val="0"/>
          <w:numId w:val="44"/>
        </w:numPr>
        <w:rPr>
          <w:rFonts w:ascii="Arial" w:cs="Arial" w:eastAsia="Arial" w:hAnsi="Arial"/>
          <w:sz w:val="16"/>
          <w:szCs w:val="16"/>
          <w:color w:val="FF0000"/>
          <w:strike w:val="1"/>
        </w:rPr>
      </w:pPr>
      <w:r>
        <w:rPr>
          <w:rFonts w:ascii="Arial" w:cs="Arial" w:eastAsia="Arial" w:hAnsi="Arial"/>
          <w:sz w:val="16"/>
          <w:szCs w:val="16"/>
          <w:u w:val="single" w:color="auto"/>
          <w:color w:val="0000FF"/>
        </w:rPr>
        <w:t xml:space="preserve">, </w:t>
      </w:r>
      <w:r>
        <w:rPr>
          <w:rFonts w:ascii="Arial" w:cs="Arial" w:eastAsia="Arial" w:hAnsi="Arial"/>
          <w:sz w:val="16"/>
          <w:szCs w:val="16"/>
          <w:color w:val="FF0000"/>
          <w:strike w:val="1"/>
        </w:rPr>
        <w:t>for any day, with respect to a Term Loan, SOFR, with the conventions for this rate (which will include a lookback) being established</w:t>
      </w:r>
      <w:r>
        <w:rPr>
          <w:rFonts w:ascii="Arial" w:cs="Arial" w:eastAsia="Arial" w:hAnsi="Arial"/>
          <w:sz w:val="16"/>
          <w:szCs w:val="16"/>
          <w:u w:val="single" w:color="auto"/>
          <w:color w:val="0000FF"/>
        </w:rPr>
        <w:t xml:space="preserve"> </w:t>
      </w:r>
      <w:r>
        <w:rPr>
          <w:rFonts w:ascii="Arial" w:cs="Arial" w:eastAsia="Arial" w:hAnsi="Arial"/>
          <w:sz w:val="16"/>
          <w:szCs w:val="16"/>
          <w:color w:val="FF0000"/>
          <w:strike w:val="1"/>
        </w:rPr>
        <w:t>by the Administrative Agent in accordance with the conventions for this rate selected or recommended by the Relevant Governmental Body for determining “Daily Simple SOFR” for business loans; provided that, if the First Lien Administrative Agent decides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21" w:right="339" w:bottom="1440" w:gutter="0" w:footer="0" w:header="0"/>
        </w:sectPr>
      </w:pPr>
    </w:p>
    <w:bookmarkStart w:id="45" w:name="page46"/>
    <w:bookmarkEnd w:id="45"/>
    <w:p>
      <w:pPr>
        <w:ind w:left="660"/>
        <w:spacing w:after="0" w:line="261" w:lineRule="auto"/>
        <w:rPr>
          <w:sz w:val="20"/>
          <w:szCs w:val="20"/>
          <w:color w:val="auto"/>
        </w:rPr>
      </w:pPr>
      <w:r>
        <w:rPr>
          <w:rFonts w:ascii="Arial" w:cs="Arial" w:eastAsia="Arial" w:hAnsi="Arial"/>
          <w:sz w:val="18"/>
          <w:szCs w:val="18"/>
          <w:color w:val="FF0000"/>
          <w:strike w:val="1"/>
        </w:rPr>
        <w:t>convention is not administratively feasible for the First Lien Administrative Agent, then the First Lien Administrative Agent may establish another convention in its reasonable discretion.</w:t>
      </w:r>
    </w:p>
    <w:p>
      <w:pPr>
        <w:spacing w:after="0" w:line="184" w:lineRule="exact"/>
        <w:rPr>
          <w:sz w:val="20"/>
          <w:szCs w:val="20"/>
          <w:color w:val="auto"/>
        </w:rPr>
      </w:pPr>
    </w:p>
    <w:p>
      <w:pPr>
        <w:jc w:val="both"/>
        <w:ind w:firstLine="1304"/>
        <w:spacing w:after="0" w:line="249" w:lineRule="auto"/>
        <w:tabs>
          <w:tab w:leader="none" w:pos="1554" w:val="left"/>
        </w:tabs>
        <w:numPr>
          <w:ilvl w:val="0"/>
          <w:numId w:val="45"/>
        </w:numPr>
        <w:rPr>
          <w:rFonts w:ascii="Arial" w:cs="Arial" w:eastAsia="Arial" w:hAnsi="Arial"/>
          <w:sz w:val="18"/>
          <w:szCs w:val="18"/>
          <w:color w:val="FF0000"/>
          <w:strike w:val="1"/>
        </w:rPr>
      </w:pPr>
      <w:r>
        <w:rPr>
          <w:rFonts w:ascii="Arial" w:cs="Arial" w:eastAsia="Arial" w:hAnsi="Arial"/>
          <w:sz w:val="18"/>
          <w:szCs w:val="18"/>
          <w:color w:val="auto"/>
        </w:rPr>
        <w:t>for any day (a “</w:t>
      </w:r>
      <w:r>
        <w:rPr>
          <w:rFonts w:ascii="Arial" w:cs="Arial" w:eastAsia="Arial" w:hAnsi="Arial"/>
          <w:sz w:val="18"/>
          <w:szCs w:val="18"/>
          <w:u w:val="single" w:color="auto"/>
          <w:color w:val="auto"/>
        </w:rPr>
        <w:t>SOFR Rate Day</w:t>
      </w:r>
      <w:r>
        <w:rPr>
          <w:rFonts w:ascii="Arial" w:cs="Arial" w:eastAsia="Arial" w:hAnsi="Arial"/>
          <w:sz w:val="18"/>
          <w:szCs w:val="18"/>
          <w:color w:val="auto"/>
        </w:rPr>
        <w:t xml:space="preserve">”), </w:t>
      </w:r>
      <w:r>
        <w:rPr>
          <w:rFonts w:ascii="Arial" w:cs="Arial" w:eastAsia="Arial" w:hAnsi="Arial"/>
          <w:sz w:val="18"/>
          <w:szCs w:val="18"/>
          <w:color w:val="FF0000"/>
          <w:strike w:val="1"/>
        </w:rPr>
        <w:t>with respect to a Revolving Loan,</w:t>
      </w:r>
      <w:r>
        <w:rPr>
          <w:rFonts w:ascii="Arial" w:cs="Arial" w:eastAsia="Arial" w:hAnsi="Arial"/>
          <w:sz w:val="18"/>
          <w:szCs w:val="18"/>
          <w:color w:val="auto"/>
        </w:rPr>
        <w:t xml:space="preserve"> a rate per annum equal to SOFR for the day that is five (5) RFR Business Days prior to (i) if such SOFR Rate Day is a RFR Business Day, such SOFR Rate Day or (ii) if such SOFR Rate Day is not a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SONIA</w:t>
      </w:r>
      <w:r>
        <w:rPr>
          <w:rFonts w:ascii="Arial" w:cs="Arial" w:eastAsia="Arial" w:hAnsi="Arial"/>
          <w:sz w:val="18"/>
          <w:szCs w:val="18"/>
          <w:color w:val="auto"/>
        </w:rPr>
        <w:t>” means, for any day (a “</w:t>
      </w:r>
      <w:r>
        <w:rPr>
          <w:rFonts w:ascii="Arial" w:cs="Arial" w:eastAsia="Arial" w:hAnsi="Arial"/>
          <w:sz w:val="18"/>
          <w:szCs w:val="18"/>
          <w:u w:val="single" w:color="auto"/>
          <w:color w:val="auto"/>
        </w:rPr>
        <w:t>SONIA Interest Day</w:t>
      </w:r>
      <w:r>
        <w:rPr>
          <w:rFonts w:ascii="Arial" w:cs="Arial" w:eastAsia="Arial" w:hAnsi="Arial"/>
          <w:sz w:val="18"/>
          <w:szCs w:val="18"/>
          <w:color w:val="auto"/>
        </w:rPr>
        <w:t>”),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xml:space="preserve"> ”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9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w:t>
      </w:r>
    </w:p>
    <w:p>
      <w:pPr>
        <w:spacing w:after="0" w:line="7" w:lineRule="exact"/>
        <w:rPr>
          <w:sz w:val="20"/>
          <w:szCs w:val="20"/>
          <w:color w:val="auto"/>
        </w:rPr>
      </w:pPr>
    </w:p>
    <w:p>
      <w:pPr>
        <w:jc w:val="both"/>
        <w:ind w:firstLine="8"/>
        <w:spacing w:after="0" w:line="276" w:lineRule="auto"/>
        <w:tabs>
          <w:tab w:leader="none" w:pos="3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46" w:name="page47"/>
    <w:bookmarkEnd w:id="46"/>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 Fronting Exposure</w:t>
      </w:r>
      <w:r>
        <w:rPr>
          <w:rFonts w:ascii="Arial" w:cs="Arial" w:eastAsia="Arial" w:hAnsi="Arial"/>
          <w:sz w:val="18"/>
          <w:szCs w:val="18"/>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9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has the meaning assigned to such term in Section 2.11(a)(ii)(B)(2).</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w:t>
      </w:r>
      <w:r>
        <w:rPr>
          <w:rFonts w:ascii="Arial" w:cs="Arial" w:eastAsia="Arial" w:hAnsi="Arial"/>
          <w:sz w:val="18"/>
          <w:szCs w:val="18"/>
          <w:color w:val="auto"/>
        </w:rPr>
        <w:t>” has the meaning assigned to such term in Section 2.11(a)(ii)(C)(1).</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Amount</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Notice</w:t>
      </w:r>
      <w:r>
        <w:rPr>
          <w:rFonts w:ascii="Arial" w:cs="Arial" w:eastAsia="Arial" w:hAnsi="Arial"/>
          <w:sz w:val="18"/>
          <w:szCs w:val="18"/>
          <w:color w:val="auto"/>
        </w:rPr>
        <w:t>” means a written notice of a Borrower Solicitation of Discount Range Prepayment Offers made pursuant to Section 2.11(a)(ii)(C) substantially in the form of Exhibit I.</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Offer</w:t>
      </w:r>
      <w:r>
        <w:rPr>
          <w:rFonts w:ascii="Arial" w:cs="Arial" w:eastAsia="Arial" w:hAnsi="Arial"/>
          <w:sz w:val="18"/>
          <w:szCs w:val="18"/>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has the meaning assigned to such term in Section 2.11(a)(ii)(C)(1).</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has the meaning assigned to such term in Section 2.11(a)(ii)(C)(3).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Determination Date</w:t>
      </w:r>
      <w:r>
        <w:rPr>
          <w:rFonts w:ascii="Arial" w:cs="Arial" w:eastAsia="Arial" w:hAnsi="Arial"/>
          <w:sz w:val="18"/>
          <w:szCs w:val="18"/>
          <w:color w:val="auto"/>
        </w:rPr>
        <w:t>” has the meaning assigned to such term in Section 2.11(a)(ii)(D)(3).</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Effective Date</w:t>
      </w:r>
      <w:r>
        <w:rPr>
          <w:rFonts w:ascii="Arial" w:cs="Arial" w:eastAsia="Arial" w:hAnsi="Arial"/>
          <w:sz w:val="18"/>
          <w:szCs w:val="18"/>
          <w:color w:val="auto"/>
        </w:rPr>
        <w:t>” 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Term Loan Prepayment</w:t>
      </w:r>
      <w:r>
        <w:rPr>
          <w:rFonts w:ascii="Arial" w:cs="Arial" w:eastAsia="Arial" w:hAnsi="Arial"/>
          <w:sz w:val="18"/>
          <w:szCs w:val="18"/>
          <w:color w:val="auto"/>
        </w:rPr>
        <w:t>” has the meaning assigned to such term in Section 2.11(a)(ii)(A).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Disposition</w:t>
      </w:r>
      <w:r>
        <w:rPr>
          <w:rFonts w:ascii="Arial" w:cs="Arial" w:eastAsia="Arial" w:hAnsi="Arial"/>
          <w:sz w:val="18"/>
          <w:szCs w:val="18"/>
          <w:color w:val="auto"/>
        </w:rPr>
        <w:t>” each has the meaning assigned to such term in Section 6.05.</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21" w:right="33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8"/>
          <w:szCs w:val="18"/>
          <w:color w:val="auto"/>
        </w:rPr>
        <w:t>and its subsidiaries or to such Converted Unrestricted Subsidiary and its subsidiaries), all as determined on a consolidated basis for such Sold Entity or Business or Converted Unrestricted Subsidiary.</w:t>
      </w:r>
    </w:p>
    <w:p>
      <w:pPr>
        <w:spacing w:after="0" w:line="18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75" w:lineRule="exact"/>
        <w:rPr>
          <w:sz w:val="20"/>
          <w:szCs w:val="20"/>
          <w:color w:val="auto"/>
        </w:rPr>
      </w:pPr>
    </w:p>
    <w:p>
      <w:pPr>
        <w:ind w:left="660" w:firstLine="644"/>
        <w:spacing w:after="0" w:line="308" w:lineRule="auto"/>
        <w:tabs>
          <w:tab w:leader="none" w:pos="1781"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32" w:lineRule="exact"/>
        <w:rPr>
          <w:rFonts w:ascii="Arial" w:cs="Arial" w:eastAsia="Arial" w:hAnsi="Arial"/>
          <w:sz w:val="17"/>
          <w:szCs w:val="17"/>
          <w:color w:val="auto"/>
        </w:rPr>
      </w:pPr>
    </w:p>
    <w:p>
      <w:pPr>
        <w:jc w:val="both"/>
        <w:ind w:left="660" w:firstLine="644"/>
        <w:spacing w:after="0" w:line="256" w:lineRule="auto"/>
        <w:tabs>
          <w:tab w:leader="none" w:pos="17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88" w:lineRule="exact"/>
        <w:rPr>
          <w:rFonts w:ascii="Arial" w:cs="Arial" w:eastAsia="Arial" w:hAnsi="Arial"/>
          <w:sz w:val="18"/>
          <w:szCs w:val="18"/>
          <w:color w:val="auto"/>
        </w:rPr>
      </w:pPr>
    </w:p>
    <w:p>
      <w:pPr>
        <w:jc w:val="both"/>
        <w:ind w:left="660" w:firstLine="644"/>
        <w:spacing w:after="0" w:line="248" w:lineRule="auto"/>
        <w:tabs>
          <w:tab w:leader="none" w:pos="17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each case, on or prior to the date ninety-one (91) days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5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means (i) those Persons identified by the Borrower to the First Lien Administrative Agent in writing prior to November 21, 2019 as being “Disqualified Lenders”,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 (i) or (ii) above, any of their Affiliates that are either (x) identified in writing by the Sponsor or the Borrower to the First Lien Administrative Agent from time to time or (y) known or reasonably identifiable as an Affiliate of any such Person and (v) any Lender that has made an incorrect representation or warranty or deemed representation or warranty with respect to not being a Net Short Lender, in each case as provided in the final sentence of Section 9.02(h).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means, at any time:</w:t>
      </w:r>
    </w:p>
    <w:p>
      <w:pPr>
        <w:spacing w:after="0" w:line="212" w:lineRule="exact"/>
        <w:rPr>
          <w:sz w:val="20"/>
          <w:szCs w:val="20"/>
          <w:color w:val="auto"/>
        </w:rPr>
      </w:pPr>
    </w:p>
    <w:p>
      <w:pPr>
        <w:ind w:left="1680" w:hanging="376"/>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an amount denominated in Dollars, such amount;</w:t>
      </w:r>
    </w:p>
    <w:p>
      <w:pPr>
        <w:spacing w:after="0" w:line="225" w:lineRule="exact"/>
        <w:rPr>
          <w:rFonts w:ascii="Arial" w:cs="Arial" w:eastAsia="Arial" w:hAnsi="Arial"/>
          <w:sz w:val="18"/>
          <w:szCs w:val="18"/>
          <w:color w:val="auto"/>
        </w:rPr>
      </w:pPr>
    </w:p>
    <w:p>
      <w:pPr>
        <w:ind w:firstLine="1304"/>
        <w:spacing w:after="0" w:line="261" w:lineRule="auto"/>
        <w:tabs>
          <w:tab w:leader="none" w:pos="17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any amount denominated in a currency other than Dollars, where a determination of such amount is required to be made under any First Lien Loan Document by the First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48" w:name="page49"/>
    <w:bookmarkEnd w:id="48"/>
    <w:p>
      <w:pPr>
        <w:jc w:val="both"/>
        <w:spacing w:after="0" w:line="256" w:lineRule="auto"/>
        <w:rPr>
          <w:sz w:val="20"/>
          <w:szCs w:val="20"/>
          <w:color w:val="auto"/>
        </w:rPr>
      </w:pPr>
      <w:r>
        <w:rPr>
          <w:rFonts w:ascii="Arial" w:cs="Arial" w:eastAsia="Arial" w:hAnsi="Arial"/>
          <w:sz w:val="18"/>
          <w:szCs w:val="18"/>
          <w:color w:val="auto"/>
        </w:rPr>
        <w:t>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175" w:lineRule="exact"/>
        <w:rPr>
          <w:sz w:val="20"/>
          <w:szCs w:val="20"/>
          <w:color w:val="auto"/>
        </w:rPr>
      </w:pPr>
    </w:p>
    <w:p>
      <w:pPr>
        <w:jc w:val="both"/>
        <w:ind w:firstLine="1304"/>
        <w:spacing w:after="0" w:line="256" w:lineRule="auto"/>
        <w:tabs>
          <w:tab w:leader="none" w:pos="17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1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Foreign Holdco</w:t>
      </w:r>
      <w:r>
        <w:rPr>
          <w:rFonts w:ascii="Arial" w:cs="Arial" w:eastAsia="Arial" w:hAnsi="Arial"/>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Early Opt-in Election</w:t>
      </w:r>
      <w:r>
        <w:rPr>
          <w:rFonts w:ascii="Arial" w:cs="Arial" w:eastAsia="Arial" w:hAnsi="Arial"/>
          <w:sz w:val="18"/>
          <w:szCs w:val="18"/>
          <w:color w:val="FF0000"/>
          <w:strike w:val="1"/>
        </w:rPr>
        <w:t>” means, in the case of Term Loans denominated in Dollars, the occurrence of:</w:t>
      </w:r>
    </w:p>
    <w:p>
      <w:pPr>
        <w:spacing w:after="0" w:line="225" w:lineRule="exact"/>
        <w:rPr>
          <w:sz w:val="20"/>
          <w:szCs w:val="20"/>
          <w:color w:val="auto"/>
        </w:rPr>
      </w:pPr>
    </w:p>
    <w:p>
      <w:pPr>
        <w:jc w:val="both"/>
        <w:ind w:left="660" w:firstLine="1292"/>
        <w:spacing w:after="0" w:line="290" w:lineRule="auto"/>
        <w:tabs>
          <w:tab w:leader="none" w:pos="2399" w:val="left"/>
        </w:tabs>
        <w:numPr>
          <w:ilvl w:val="0"/>
          <w:numId w:val="50"/>
        </w:numPr>
        <w:rPr>
          <w:rFonts w:ascii="Arial" w:cs="Arial" w:eastAsia="Arial" w:hAnsi="Arial"/>
          <w:sz w:val="16"/>
          <w:szCs w:val="16"/>
          <w:color w:val="FF0000"/>
          <w:strike w:val="1"/>
        </w:rPr>
      </w:pPr>
      <w:r>
        <w:rPr>
          <w:rFonts w:ascii="Arial" w:cs="Arial" w:eastAsia="Arial" w:hAnsi="Arial"/>
          <w:sz w:val="16"/>
          <w:szCs w:val="16"/>
          <w:color w:val="FF0000"/>
          <w:strike w:val="1"/>
        </w:rPr>
        <w:t>a notification by the First Lien Administrative Agent to (or the request by the Borrower to the First Lien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50" w:lineRule="exact"/>
        <w:rPr>
          <w:rFonts w:ascii="Arial" w:cs="Arial" w:eastAsia="Arial" w:hAnsi="Arial"/>
          <w:sz w:val="16"/>
          <w:szCs w:val="16"/>
          <w:color w:val="FF0000"/>
          <w:strike w:val="1"/>
        </w:rPr>
      </w:pPr>
    </w:p>
    <w:p>
      <w:pPr>
        <w:ind w:left="660" w:firstLine="1292"/>
        <w:spacing w:after="0" w:line="277" w:lineRule="auto"/>
        <w:tabs>
          <w:tab w:leader="none" w:pos="2395" w:val="left"/>
        </w:tabs>
        <w:numPr>
          <w:ilvl w:val="0"/>
          <w:numId w:val="50"/>
        </w:numPr>
        <w:rPr>
          <w:rFonts w:ascii="Arial" w:cs="Arial" w:eastAsia="Arial" w:hAnsi="Arial"/>
          <w:sz w:val="18"/>
          <w:szCs w:val="18"/>
          <w:color w:val="FF0000"/>
          <w:strike w:val="1"/>
        </w:rPr>
      </w:pPr>
      <w:r>
        <w:rPr>
          <w:rFonts w:ascii="Arial" w:cs="Arial" w:eastAsia="Arial" w:hAnsi="Arial"/>
          <w:sz w:val="18"/>
          <w:szCs w:val="18"/>
          <w:color w:val="FF0000"/>
          <w:strike w:val="1"/>
        </w:rPr>
        <w:t>the joint election by the First Lien Administrative Agent and the Borrower to trigger a fallback from LIBO Rate and the provision by the First Lien Administrative Agent of written notice of such election to the Lenders.</w:t>
      </w:r>
    </w:p>
    <w:p>
      <w:pPr>
        <w:spacing w:after="0" w:line="15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spacing w:after="0" w:line="18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shall mean any of the member states of the European Union, Iceland, Liechtenstein, Norway and the United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Kingdom.</w:t>
      </w:r>
    </w:p>
    <w:p>
      <w:pPr>
        <w:spacing w:after="0" w:line="20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December 13, 2019.</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means, as to any Indebtedness, the effective yield on such Indebtedness in the reasonable determination of the First Lien Administrative Agent and the Borrower and consistent with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49" w:name="page50"/>
    <w:bookmarkEnd w:id="49"/>
    <w:p>
      <w:pPr>
        <w:jc w:val="both"/>
        <w:spacing w:after="0" w:line="258" w:lineRule="auto"/>
        <w:rPr>
          <w:sz w:val="20"/>
          <w:szCs w:val="20"/>
          <w:color w:val="auto"/>
        </w:rPr>
      </w:pPr>
      <w:r>
        <w:rPr>
          <w:rFonts w:ascii="Arial" w:cs="Arial" w:eastAsia="Arial" w:hAnsi="Arial"/>
          <w:sz w:val="17"/>
          <w:szCs w:val="17"/>
          <w:color w:val="auto"/>
        </w:rPr>
        <w:t xml:space="preserve">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Section 3(d) of Refinancing Amendment No. 1, any original issue discount, upfront fees or other fees payable in connection with the Refinancing Amendment No. 1 Term Loans issued on the Refinancing Amendment No. 1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Indebtedness that includes a “</w:t>
      </w:r>
      <w:r>
        <w:rPr>
          <w:rFonts w:ascii="Arial" w:cs="Arial" w:eastAsia="Arial" w:hAnsi="Arial"/>
          <w:sz w:val="17"/>
          <w:szCs w:val="17"/>
          <w:color w:val="FF0000"/>
          <w:strike w:val="1"/>
        </w:rPr>
        <w:t>LIBOR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floor” or “Base Rate floor,” (i) to the extent that the </w:t>
      </w:r>
      <w:r>
        <w:rPr>
          <w:rFonts w:ascii="Arial" w:cs="Arial" w:eastAsia="Arial" w:hAnsi="Arial"/>
          <w:sz w:val="17"/>
          <w:szCs w:val="17"/>
          <w:color w:val="FF0000"/>
          <w:strike w:val="1"/>
        </w:rPr>
        <w:t>LIBO</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 Reference Rate (with an Interest Period of three months), SOFR,</w:t>
      </w:r>
      <w:r>
        <w:rPr>
          <w:rFonts w:ascii="Arial" w:cs="Arial" w:eastAsia="Arial" w:hAnsi="Arial"/>
          <w:sz w:val="17"/>
          <w:szCs w:val="17"/>
          <w:color w:val="FF0000"/>
        </w:rPr>
        <w:t xml:space="preserve"> </w:t>
      </w:r>
      <w:r>
        <w:rPr>
          <w:rFonts w:ascii="Arial" w:cs="Arial" w:eastAsia="Arial" w:hAnsi="Arial"/>
          <w:sz w:val="17"/>
          <w:szCs w:val="17"/>
          <w:color w:val="000000"/>
        </w:rPr>
        <w:t>or Alternate Base Rate (without giving effect to any floors in such</w:t>
      </w:r>
      <w:r>
        <w:rPr>
          <w:rFonts w:ascii="Arial" w:cs="Arial" w:eastAsia="Arial" w:hAnsi="Arial"/>
          <w:sz w:val="17"/>
          <w:szCs w:val="17"/>
          <w:color w:val="FF0000"/>
        </w:rPr>
        <w:t xml:space="preserve"> </w:t>
      </w:r>
      <w:r>
        <w:rPr>
          <w:rFonts w:ascii="Arial" w:cs="Arial" w:eastAsia="Arial" w:hAnsi="Arial"/>
          <w:sz w:val="17"/>
          <w:szCs w:val="17"/>
          <w:color w:val="000000"/>
        </w:rPr>
        <w:t xml:space="preserve">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w:t>
      </w:r>
      <w:r>
        <w:rPr>
          <w:rFonts w:ascii="Arial" w:cs="Arial" w:eastAsia="Arial" w:hAnsi="Arial"/>
          <w:sz w:val="17"/>
          <w:szCs w:val="17"/>
          <w:color w:val="FF0000"/>
          <w:strike w:val="1"/>
        </w:rPr>
        <w:t>LIBO Rate or</w:t>
      </w:r>
      <w:r>
        <w:rPr>
          <w:rFonts w:ascii="Arial" w:cs="Arial" w:eastAsia="Arial" w:hAnsi="Arial"/>
          <w:sz w:val="17"/>
          <w:szCs w:val="17"/>
          <w:u w:val="single" w:color="auto"/>
          <w:color w:val="0000FF"/>
        </w:rPr>
        <w:t>Term</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SOFR Reference Rate (with an Interest Period of three months), SOFR or the</w:t>
      </w:r>
      <w:r>
        <w:rPr>
          <w:rFonts w:ascii="Arial" w:cs="Arial" w:eastAsia="Arial" w:hAnsi="Arial"/>
          <w:sz w:val="17"/>
          <w:szCs w:val="17"/>
          <w:color w:val="0000FF"/>
        </w:rPr>
        <w:t xml:space="preserve"> </w:t>
      </w:r>
      <w:r>
        <w:rPr>
          <w:rFonts w:ascii="Arial" w:cs="Arial" w:eastAsia="Arial" w:hAnsi="Arial"/>
          <w:sz w:val="17"/>
          <w:szCs w:val="17"/>
          <w:color w:val="000000"/>
        </w:rPr>
        <w:t>Alternate Base Rate (without giving effect to any floors in such definitions),</w:t>
      </w:r>
      <w:r>
        <w:rPr>
          <w:rFonts w:ascii="Arial" w:cs="Arial" w:eastAsia="Arial" w:hAnsi="Arial"/>
          <w:sz w:val="17"/>
          <w:szCs w:val="17"/>
          <w:color w:val="0000FF"/>
        </w:rPr>
        <w:t xml:space="preserve"> </w:t>
      </w:r>
      <w:r>
        <w:rPr>
          <w:rFonts w:ascii="Arial" w:cs="Arial" w:eastAsia="Arial" w:hAnsi="Arial"/>
          <w:sz w:val="17"/>
          <w:szCs w:val="17"/>
          <w:color w:val="000000"/>
        </w:rPr>
        <w:t>as applicable, on the date that the Effective Yield is being calculated is greater than such floor, then the floor shall be disregarded in calculating the Effective Yield.</w:t>
      </w:r>
    </w:p>
    <w:p>
      <w:pPr>
        <w:spacing w:after="0" w:line="19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 Lender, (b) an Affiliate of a Lender, (c) an Approved Fund and (d) any other Person (other than Holdings, any Intermediate Parent, the Borrower or any of their respective Affiliates), other than, in each case, (i) a natural person, (ii) a Defaulting Lender or (iii) 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w:t>
      </w:r>
    </w:p>
    <w:p>
      <w:pPr>
        <w:spacing w:after="0" w:line="2" w:lineRule="exact"/>
        <w:rPr>
          <w:sz w:val="20"/>
          <w:szCs w:val="20"/>
          <w:color w:val="auto"/>
        </w:rPr>
      </w:pPr>
    </w:p>
    <w:p>
      <w:pPr>
        <w:jc w:val="both"/>
        <w:ind w:firstLine="8"/>
        <w:spacing w:after="0" w:line="283" w:lineRule="auto"/>
        <w:tabs>
          <w:tab w:leader="none" w:pos="2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5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50" w:name="page51"/>
    <w:bookmarkEnd w:id="5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18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w:t>
      </w:r>
    </w:p>
    <w:p>
      <w:pPr>
        <w:spacing w:after="0" w:line="4" w:lineRule="exact"/>
        <w:rPr>
          <w:sz w:val="20"/>
          <w:szCs w:val="20"/>
          <w:color w:val="auto"/>
        </w:rPr>
      </w:pPr>
    </w:p>
    <w:p>
      <w:pPr>
        <w:jc w:val="both"/>
        <w:ind w:firstLine="8"/>
        <w:spacing w:after="0" w:line="243" w:lineRule="auto"/>
        <w:tabs>
          <w:tab w:leader="none" w:pos="2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9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5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EURIBOR Interpolated Rate</w:t>
      </w:r>
      <w:r>
        <w:rPr>
          <w:rFonts w:ascii="Arial" w:cs="Arial" w:eastAsia="Arial" w:hAnsi="Arial"/>
          <w:sz w:val="16"/>
          <w:szCs w:val="16"/>
          <w:color w:val="auto"/>
        </w:rPr>
        <w:t>” 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w:t>
      </w:r>
    </w:p>
    <w:p>
      <w:pPr>
        <w:spacing w:after="0" w:line="2" w:lineRule="exact"/>
        <w:rPr>
          <w:sz w:val="20"/>
          <w:szCs w:val="20"/>
          <w:color w:val="auto"/>
        </w:rPr>
      </w:pPr>
    </w:p>
    <w:p>
      <w:pPr>
        <w:jc w:val="both"/>
        <w:ind w:firstLine="8"/>
        <w:spacing w:after="0" w:line="248" w:lineRule="auto"/>
        <w:tabs>
          <w:tab w:leader="none" w:pos="2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the purposes of this Agreement.</w:t>
      </w:r>
    </w:p>
    <w:p>
      <w:pPr>
        <w:spacing w:after="0" w:line="18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with respect to Euros then EURIBOR shall be the EURIBOR Interpolated Rate.</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Screen Rate</w:t>
      </w:r>
      <w:r>
        <w:rPr>
          <w:rFonts w:ascii="Arial" w:cs="Arial" w:eastAsia="Arial" w:hAnsi="Arial"/>
          <w:sz w:val="18"/>
          <w:szCs w:val="18"/>
          <w:color w:val="auto"/>
        </w:rPr>
        <w:t>” means,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Borrower. If the EURIBOR Screen Rate shall be less than 0.00%, the EURIBOR Screen Rate shall be deemed to be 0.00% for purposes of this Agreement.</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single currency of the European Union.</w:t>
      </w:r>
    </w:p>
    <w:p>
      <w:pPr>
        <w:spacing w:after="0" w:line="225"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Eurodollar</w:t>
      </w:r>
      <w:r>
        <w:rPr>
          <w:rFonts w:ascii="Arial" w:cs="Arial" w:eastAsia="Arial" w:hAnsi="Arial"/>
          <w:sz w:val="18"/>
          <w:szCs w:val="18"/>
          <w:color w:val="FF0000"/>
          <w:strike w:val="1"/>
        </w:rPr>
        <w:t>” when used in reference to any Loan or Borrowing, refers to whether such Loan, or the Loans comprising such Borrowing, are bearing interest at a rate determined by reference to the Adjusted LIBO Rate.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equal to the excess of:</w:t>
      </w:r>
    </w:p>
    <w:p>
      <w:pPr>
        <w:spacing w:after="0" w:line="225" w:lineRule="exact"/>
        <w:rPr>
          <w:sz w:val="20"/>
          <w:szCs w:val="20"/>
          <w:color w:val="auto"/>
        </w:rPr>
      </w:pPr>
    </w:p>
    <w:p>
      <w:pPr>
        <w:ind w:left="1680" w:hanging="376"/>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11" w:lineRule="exact"/>
        <w:rPr>
          <w:rFonts w:ascii="Arial" w:cs="Arial" w:eastAsia="Arial" w:hAnsi="Arial"/>
          <w:sz w:val="18"/>
          <w:szCs w:val="18"/>
          <w:color w:val="auto"/>
        </w:rPr>
      </w:pPr>
    </w:p>
    <w:p>
      <w:pPr>
        <w:ind w:left="1840" w:hanging="356"/>
        <w:spacing w:after="0"/>
        <w:tabs>
          <w:tab w:leader="none" w:pos="1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225" w:lineRule="exact"/>
        <w:rPr>
          <w:rFonts w:ascii="Arial" w:cs="Arial" w:eastAsia="Arial" w:hAnsi="Arial"/>
          <w:sz w:val="18"/>
          <w:szCs w:val="18"/>
          <w:color w:val="auto"/>
        </w:rPr>
      </w:pPr>
    </w:p>
    <w:p>
      <w:pPr>
        <w:ind w:left="1880" w:hanging="396"/>
        <w:spacing w:after="0"/>
        <w:tabs>
          <w:tab w:leader="none" w:pos="18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 amount equal to the amount of all Non-Cash Charges to the extent deducted in arriving at such Consolidated Net Income,</w:t>
      </w:r>
    </w:p>
    <w:p>
      <w:pPr>
        <w:spacing w:after="0" w:line="234" w:lineRule="exact"/>
        <w:rPr>
          <w:rFonts w:ascii="Arial" w:cs="Arial" w:eastAsia="Arial" w:hAnsi="Arial"/>
          <w:sz w:val="16"/>
          <w:szCs w:val="16"/>
          <w:color w:val="auto"/>
        </w:rPr>
      </w:pPr>
    </w:p>
    <w:p>
      <w:pPr>
        <w:ind w:left="1300" w:firstLine="219"/>
        <w:spacing w:after="0" w:line="277" w:lineRule="auto"/>
        <w:tabs>
          <w:tab w:leader="none" w:pos="2000" w:val="left"/>
        </w:tabs>
        <w:numPr>
          <w:ilvl w:val="3"/>
          <w:numId w:val="54"/>
        </w:numPr>
        <w:rPr>
          <w:rFonts w:ascii="Arial" w:cs="Arial" w:eastAsia="Arial" w:hAnsi="Arial"/>
          <w:sz w:val="18"/>
          <w:szCs w:val="18"/>
          <w:color w:val="auto"/>
        </w:rPr>
      </w:pPr>
      <w:r>
        <w:rPr>
          <w:rFonts w:ascii="Arial" w:cs="Arial" w:eastAsia="Arial" w:hAnsi="Arial"/>
          <w:sz w:val="18"/>
          <w:szCs w:val="18"/>
          <w:color w:val="auto"/>
        </w:rPr>
        <w:t>decreases in Consolidated Working Capital and long-term account receivables for such period (other than decreases relating to Dispositions permitted pursuant to Section 6.05(h) or Section 6.05(o))</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156" w:lineRule="exact"/>
        <w:rPr>
          <w:rFonts w:ascii="Arial" w:cs="Arial" w:eastAsia="Arial" w:hAnsi="Arial"/>
          <w:sz w:val="18"/>
          <w:szCs w:val="18"/>
          <w:color w:val="auto"/>
        </w:rPr>
      </w:pPr>
    </w:p>
    <w:p>
      <w:pPr>
        <w:jc w:val="both"/>
        <w:ind w:left="1300" w:firstLine="212"/>
        <w:spacing w:after="0" w:line="256" w:lineRule="auto"/>
        <w:tabs>
          <w:tab w:leader="none" w:pos="1975" w:val="left"/>
        </w:tabs>
        <w:numPr>
          <w:ilvl w:val="3"/>
          <w:numId w:val="54"/>
        </w:numPr>
        <w:rPr>
          <w:rFonts w:ascii="Arial" w:cs="Arial" w:eastAsia="Arial" w:hAnsi="Arial"/>
          <w:sz w:val="18"/>
          <w:szCs w:val="18"/>
          <w:color w:val="auto"/>
        </w:rPr>
      </w:pPr>
      <w:r>
        <w:rPr>
          <w:rFonts w:ascii="Arial" w:cs="Arial" w:eastAsia="Arial" w:hAnsi="Arial"/>
          <w:sz w:val="18"/>
          <w:szCs w:val="18"/>
          <w:color w:val="auto"/>
        </w:rPr>
        <w:t xml:space="preserve">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Arial" w:cs="Arial" w:eastAsia="Arial" w:hAnsi="Arial"/>
          <w:sz w:val="18"/>
          <w:szCs w:val="18"/>
          <w:u w:val="single" w:color="auto"/>
          <w:color w:val="auto"/>
        </w:rPr>
        <w:t>less</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1700" w:hanging="396"/>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5" w:lineRule="exact"/>
        <w:rPr>
          <w:rFonts w:ascii="Arial" w:cs="Arial" w:eastAsia="Arial" w:hAnsi="Arial"/>
          <w:sz w:val="18"/>
          <w:szCs w:val="18"/>
          <w:color w:val="auto"/>
        </w:rPr>
      </w:pPr>
    </w:p>
    <w:p>
      <w:pPr>
        <w:jc w:val="both"/>
        <w:ind w:left="1300" w:firstLine="266"/>
        <w:spacing w:after="0" w:line="264" w:lineRule="auto"/>
        <w:tabs>
          <w:tab w:leader="none" w:pos="1995" w:val="left"/>
        </w:tabs>
        <w:numPr>
          <w:ilvl w:val="4"/>
          <w:numId w:val="54"/>
        </w:numPr>
        <w:rPr>
          <w:rFonts w:ascii="Arial" w:cs="Arial" w:eastAsia="Arial" w:hAnsi="Arial"/>
          <w:sz w:val="17"/>
          <w:szCs w:val="17"/>
          <w:color w:val="auto"/>
        </w:rPr>
      </w:pPr>
      <w:r>
        <w:rPr>
          <w:rFonts w:ascii="Arial" w:cs="Arial" w:eastAsia="Arial" w:hAnsi="Arial"/>
          <w:sz w:val="17"/>
          <w:szCs w:val="17"/>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spacing w:after="0" w:line="168" w:lineRule="exact"/>
        <w:rPr>
          <w:rFonts w:ascii="Arial" w:cs="Arial" w:eastAsia="Arial" w:hAnsi="Arial"/>
          <w:sz w:val="17"/>
          <w:szCs w:val="17"/>
          <w:color w:val="auto"/>
        </w:rPr>
      </w:pPr>
    </w:p>
    <w:p>
      <w:pPr>
        <w:jc w:val="both"/>
        <w:ind w:left="1300" w:firstLine="198"/>
        <w:spacing w:after="0" w:line="280" w:lineRule="auto"/>
        <w:tabs>
          <w:tab w:leader="none" w:pos="1908"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52" w:name="page53"/>
    <w:bookmarkEnd w:id="52"/>
    <w:p>
      <w:pPr>
        <w:ind w:left="1300" w:firstLine="206"/>
        <w:spacing w:after="0" w:line="324" w:lineRule="auto"/>
        <w:tabs>
          <w:tab w:leader="none" w:pos="1973"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137" w:lineRule="exact"/>
        <w:rPr>
          <w:rFonts w:ascii="Arial" w:cs="Arial" w:eastAsia="Arial" w:hAnsi="Arial"/>
          <w:sz w:val="16"/>
          <w:szCs w:val="16"/>
          <w:color w:val="auto"/>
        </w:rPr>
      </w:pPr>
    </w:p>
    <w:p>
      <w:pPr>
        <w:ind w:left="1920" w:hanging="436"/>
        <w:spacing w:after="0"/>
        <w:tabs>
          <w:tab w:leader="none" w:pos="1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increases in Consolidated Working Capital and long-term account receivables for such period,</w:t>
      </w:r>
    </w:p>
    <w:p>
      <w:pPr>
        <w:spacing w:after="0" w:line="211" w:lineRule="exact"/>
        <w:rPr>
          <w:rFonts w:ascii="Arial" w:cs="Arial" w:eastAsia="Arial" w:hAnsi="Arial"/>
          <w:sz w:val="18"/>
          <w:szCs w:val="18"/>
          <w:color w:val="auto"/>
        </w:rPr>
      </w:pPr>
    </w:p>
    <w:p>
      <w:pPr>
        <w:ind w:left="1300" w:firstLine="278"/>
        <w:spacing w:after="0" w:line="277" w:lineRule="auto"/>
        <w:tabs>
          <w:tab w:leader="none" w:pos="2058" w:val="left"/>
        </w:tabs>
        <w:numPr>
          <w:ilvl w:val="3"/>
          <w:numId w:val="56"/>
        </w:numPr>
        <w:rPr>
          <w:rFonts w:ascii="Arial" w:cs="Arial" w:eastAsia="Arial" w:hAnsi="Arial"/>
          <w:sz w:val="18"/>
          <w:szCs w:val="18"/>
          <w:color w:val="auto"/>
        </w:rPr>
      </w:pPr>
      <w:r>
        <w:rPr>
          <w:rFonts w:ascii="Arial" w:cs="Arial" w:eastAsia="Arial" w:hAnsi="Arial"/>
          <w:sz w:val="18"/>
          <w:szCs w:val="18"/>
          <w:color w:val="auto"/>
        </w:rPr>
        <w:t>cash payments by the Borrower and its Restricted Subsidiaries during such period in respect of long-term liabilities of the Borrower and its Restricted Subsidiaries other than Indebtedness,</w:t>
      </w:r>
    </w:p>
    <w:p>
      <w:pPr>
        <w:spacing w:after="0" w:line="156" w:lineRule="exact"/>
        <w:rPr>
          <w:rFonts w:ascii="Arial" w:cs="Arial" w:eastAsia="Arial" w:hAnsi="Arial"/>
          <w:sz w:val="18"/>
          <w:szCs w:val="18"/>
          <w:color w:val="auto"/>
        </w:rPr>
      </w:pPr>
    </w:p>
    <w:p>
      <w:pPr>
        <w:jc w:val="both"/>
        <w:ind w:left="1300" w:firstLine="186"/>
        <w:spacing w:after="0" w:line="256" w:lineRule="auto"/>
        <w:tabs>
          <w:tab w:leader="none" w:pos="1923"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spacing w:after="0" w:line="188" w:lineRule="exact"/>
        <w:rPr>
          <w:rFonts w:ascii="Arial" w:cs="Arial" w:eastAsia="Arial" w:hAnsi="Arial"/>
          <w:sz w:val="18"/>
          <w:szCs w:val="18"/>
          <w:color w:val="auto"/>
        </w:rPr>
      </w:pPr>
    </w:p>
    <w:p>
      <w:pPr>
        <w:ind w:left="1300" w:firstLine="212"/>
        <w:spacing w:after="0" w:line="261" w:lineRule="auto"/>
        <w:tabs>
          <w:tab w:leader="none" w:pos="2027" w:val="left"/>
        </w:tabs>
        <w:numPr>
          <w:ilvl w:val="2"/>
          <w:numId w:val="57"/>
        </w:numPr>
        <w:rPr>
          <w:rFonts w:ascii="Arial" w:cs="Arial" w:eastAsia="Arial" w:hAnsi="Arial"/>
          <w:sz w:val="18"/>
          <w:szCs w:val="18"/>
          <w:color w:val="auto"/>
        </w:rPr>
      </w:pPr>
      <w:r>
        <w:rPr>
          <w:rFonts w:ascii="Arial" w:cs="Arial" w:eastAsia="Arial" w:hAnsi="Arial"/>
          <w:sz w:val="18"/>
          <w:szCs w:val="18"/>
          <w:color w:val="auto"/>
        </w:rPr>
        <w:t>cash payments by the Borrower and its Restricted Subsidiaries during such period in respect of Non-Cash Charges included in the calculation of Consolidated Net Income in any prior period,</w:t>
      </w:r>
    </w:p>
    <w:p>
      <w:pPr>
        <w:spacing w:after="0" w:line="184" w:lineRule="exact"/>
        <w:rPr>
          <w:rFonts w:ascii="Arial" w:cs="Arial" w:eastAsia="Arial" w:hAnsi="Arial"/>
          <w:sz w:val="18"/>
          <w:szCs w:val="18"/>
          <w:color w:val="auto"/>
        </w:rPr>
      </w:pPr>
    </w:p>
    <w:p>
      <w:pPr>
        <w:ind w:left="1300" w:firstLine="296"/>
        <w:spacing w:after="0" w:line="291" w:lineRule="auto"/>
        <w:tabs>
          <w:tab w:leader="none" w:pos="2243" w:val="left"/>
        </w:tabs>
        <w:numPr>
          <w:ilvl w:val="4"/>
          <w:numId w:val="57"/>
        </w:numPr>
        <w:rPr>
          <w:rFonts w:ascii="Arial" w:cs="Arial" w:eastAsia="Arial" w:hAnsi="Arial"/>
          <w:sz w:val="17"/>
          <w:szCs w:val="17"/>
          <w:color w:val="auto"/>
        </w:rPr>
      </w:pPr>
      <w:r>
        <w:rPr>
          <w:rFonts w:ascii="Arial" w:cs="Arial" w:eastAsia="Arial" w:hAnsi="Arial"/>
          <w:sz w:val="17"/>
          <w:szCs w:val="17"/>
          <w:color w:val="auto"/>
        </w:rPr>
        <w:t>the aggregate amount of any premium, make-whole or penalty payments actually paid in cash by the Borrower and its Restricted Subsidiaries during such period that are required to be made in connection with any prepayment of Indebtedness, and</w:t>
      </w:r>
    </w:p>
    <w:p>
      <w:pPr>
        <w:spacing w:after="0" w:line="147" w:lineRule="exact"/>
        <w:rPr>
          <w:sz w:val="20"/>
          <w:szCs w:val="20"/>
          <w:color w:val="auto"/>
        </w:rPr>
      </w:pPr>
    </w:p>
    <w:p>
      <w:pPr>
        <w:ind w:left="1300" w:firstLine="207"/>
        <w:spacing w:after="0" w:line="342" w:lineRule="auto"/>
        <w:tabs>
          <w:tab w:leader="none" w:pos="19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Affiliates</w:t>
      </w:r>
      <w:r>
        <w:rPr>
          <w:rFonts w:ascii="Arial" w:cs="Arial" w:eastAsia="Arial" w:hAnsi="Arial"/>
          <w:sz w:val="18"/>
          <w:szCs w:val="18"/>
          <w:color w:val="auto"/>
        </w:rPr>
        <w:t>”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 policies and procedures, to act in a supervisory capacity or (z) such Joint Lead Arranger’s (or its Affiliate’s) internal legal, compliance, risk management, credit or investment committee members).</w:t>
      </w:r>
    </w:p>
    <w:p>
      <w:pPr>
        <w:spacing w:after="0" w:line="18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in the First Lien Collateral Agreement) with a value of less than $20,000,000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 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53" w:name="page54"/>
    <w:bookmarkEnd w:id="53"/>
    <w:p>
      <w:pPr>
        <w:jc w:val="both"/>
        <w:spacing w:after="0" w:line="274" w:lineRule="auto"/>
        <w:rPr>
          <w:sz w:val="20"/>
          <w:szCs w:val="20"/>
          <w:color w:val="auto"/>
        </w:rPr>
      </w:pPr>
      <w:r>
        <w:rPr>
          <w:rFonts w:ascii="Arial" w:cs="Arial" w:eastAsia="Arial" w:hAnsi="Arial"/>
          <w:sz w:val="16"/>
          <w:szCs w:val="16"/>
          <w:color w:val="auto"/>
        </w:rPr>
        <w:t>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spacing w:after="0" w:line="393"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Equity Interests</w:t>
      </w:r>
      <w:r>
        <w:rPr>
          <w:rFonts w:ascii="Arial" w:cs="Arial" w:eastAsia="Arial" w:hAnsi="Arial"/>
          <w:sz w:val="16"/>
          <w:szCs w:val="16"/>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has the meaning assigned to such term in Section 2.11(a)(ii)(A).</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6"/>
          <w:szCs w:val="16"/>
          <w:color w:val="auto"/>
        </w:rPr>
        <w:t xml:space="preserve">license or authorization has been obtained, (d) any Immaterial Subsidiary, (e) any direct or indirect Subsidiary with respect to which, in the reasonable judgment of the First Lien Administrative Agent and the Borrower (as agreed in writing), the cost or other consequences (including any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382"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6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55" w:name="page56"/>
    <w:bookmarkEnd w:id="55"/>
    <w:p>
      <w:pPr>
        <w:jc w:val="both"/>
        <w:spacing w:after="0" w:line="303" w:lineRule="auto"/>
        <w:rPr>
          <w:sz w:val="20"/>
          <w:szCs w:val="20"/>
          <w:color w:val="auto"/>
        </w:rPr>
      </w:pPr>
      <w:r>
        <w:rPr>
          <w:rFonts w:ascii="Arial" w:cs="Arial" w:eastAsia="Arial" w:hAnsi="Arial"/>
          <w:sz w:val="16"/>
          <w:szCs w:val="16"/>
          <w:color w:val="auto"/>
        </w:rPr>
        <w:t>hereto, any U.S. federal withholding Taxes 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w:t>
      </w:r>
    </w:p>
    <w:p>
      <w:pPr>
        <w:spacing w:after="0" w:line="14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each of the letters of credit described by customer, letter of credit number, outstanding amount, and expiration date on Schedule 2.05 hereto.</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Notes</w:t>
      </w:r>
      <w:r>
        <w:rPr>
          <w:rFonts w:ascii="Arial" w:cs="Arial" w:eastAsia="Arial" w:hAnsi="Arial"/>
          <w:sz w:val="18"/>
          <w:szCs w:val="18"/>
          <w:color w:val="auto"/>
        </w:rPr>
        <w:t>” means the PIK Toggle Notes and the Senior Notes.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Commitment</w:t>
      </w:r>
      <w:r>
        <w:rPr>
          <w:rFonts w:ascii="Arial" w:cs="Arial" w:eastAsia="Arial" w:hAnsi="Arial"/>
          <w:sz w:val="17"/>
          <w:szCs w:val="17"/>
          <w:color w:val="auto"/>
        </w:rPr>
        <w:t>” means the Revolving Commitments extended on the Revolving Facilities Amendment Effective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w:t>
      </w:r>
      <w:r>
        <w:rPr>
          <w:rFonts w:ascii="Arial" w:cs="Arial" w:eastAsia="Arial" w:hAnsi="Arial"/>
          <w:sz w:val="18"/>
          <w:szCs w:val="18"/>
          <w:color w:val="auto"/>
        </w:rPr>
        <w:t>” means a Revolving Loan made with respect to an Extended Revolving Commitment.</w:t>
      </w:r>
    </w:p>
    <w:p>
      <w:pPr>
        <w:spacing w:after="0" w:line="212"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means each Revolving Lender that voted in favor of the Revolving Facilities Amendment by delivering an executed counterpart thereof to the First Lien Administrative Agent on or prior to March 26, 2021.</w:t>
      </w:r>
    </w:p>
    <w:p>
      <w:pPr>
        <w:spacing w:after="0" w:line="15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or “</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spacing w:after="0" w:line="16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has the meaning specified in Section 3.17(b).</w:t>
      </w:r>
    </w:p>
    <w:p>
      <w:pPr>
        <w:spacing w:after="0" w:line="21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corporate controller of Holdings or the Borrower, as applicable.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Performance Covenant</w:t>
      </w:r>
      <w:r>
        <w:rPr>
          <w:rFonts w:ascii="Arial" w:cs="Arial" w:eastAsia="Arial" w:hAnsi="Arial"/>
          <w:sz w:val="18"/>
          <w:szCs w:val="18"/>
          <w:color w:val="auto"/>
        </w:rPr>
        <w:t>” means the covenant set forth in Section 6.11.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Financial Institutions Reform, Recovery and Enforcement Act of 1989,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56" w:name="page57"/>
    <w:bookmarkEnd w:id="56"/>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Administrative Agent</w:t>
      </w:r>
      <w:r>
        <w:rPr>
          <w:rFonts w:ascii="Arial" w:cs="Arial" w:eastAsia="Arial" w:hAnsi="Arial"/>
          <w:sz w:val="18"/>
          <w:szCs w:val="18"/>
          <w:color w:val="auto"/>
        </w:rPr>
        <w:t>” means JPMorgan (formerly Jefferies Finance LLC), in its capacity as first lien administrative agent hereunder and under the other First Lien Loan Documents, and its successors in such capacity as provided in Article VIII.</w:t>
      </w:r>
    </w:p>
    <w:p>
      <w:pPr>
        <w:spacing w:after="0" w:line="184"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Administrative Agent’s Office</w:t>
      </w:r>
      <w:r>
        <w:rPr>
          <w:rFonts w:ascii="Arial" w:cs="Arial" w:eastAsia="Arial" w:hAnsi="Arial"/>
          <w:sz w:val="16"/>
          <w:szCs w:val="16"/>
          <w:color w:val="auto"/>
        </w:rPr>
        <w:t>” means the First Lien Administrative Agent’s address and, as appropriate, account as set forth on Schedule 9.01, or such other address or account as the First Lien Administrative Agent may from time to time notify the Borrower and the Lenders.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Collateral Agent</w:t>
      </w:r>
      <w:r>
        <w:rPr>
          <w:rFonts w:ascii="Arial" w:cs="Arial" w:eastAsia="Arial" w:hAnsi="Arial"/>
          <w:sz w:val="16"/>
          <w:szCs w:val="16"/>
          <w:color w:val="auto"/>
        </w:rPr>
        <w:t>” has the meaning given to such term in Section 8.01(b) and its successors in such capacity as provided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0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Collateral Agreement</w:t>
      </w:r>
      <w:r>
        <w:rPr>
          <w:rFonts w:ascii="Arial" w:cs="Arial" w:eastAsia="Arial" w:hAnsi="Arial"/>
          <w:sz w:val="18"/>
          <w:szCs w:val="18"/>
          <w:color w:val="auto"/>
        </w:rPr>
        <w:t>” means the First Lien Collateral Agreement among the Loan Parties party thereto and the First Lien Collateral Agent, substantially in the form of Exhibit D.</w:t>
      </w:r>
    </w:p>
    <w:p>
      <w:pPr>
        <w:spacing w:after="0" w:line="18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Financing Transactions</w:t>
      </w:r>
      <w:r>
        <w:rPr>
          <w:rFonts w:ascii="Arial" w:cs="Arial" w:eastAsia="Arial" w:hAnsi="Arial"/>
          <w:sz w:val="18"/>
          <w:szCs w:val="18"/>
          <w:color w:val="auto"/>
        </w:rPr>
        <w:t>”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spacing w:after="0" w:line="17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Guarantee Agreement</w:t>
      </w:r>
      <w:r>
        <w:rPr>
          <w:rFonts w:ascii="Arial" w:cs="Arial" w:eastAsia="Arial" w:hAnsi="Arial"/>
          <w:sz w:val="18"/>
          <w:szCs w:val="18"/>
          <w:color w:val="auto"/>
        </w:rPr>
        <w:t>” means the First Lien Guarantee Agreement among the Loan Parties and the First Lien Collateral Agent, substantially in the form of Exhibit B.</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Equivalent Debt</w:t>
      </w:r>
      <w:r>
        <w:rPr>
          <w:rFonts w:ascii="Arial" w:cs="Arial" w:eastAsia="Arial" w:hAnsi="Arial"/>
          <w:sz w:val="18"/>
          <w:szCs w:val="18"/>
          <w:color w:val="auto"/>
        </w:rPr>
        <w:t>” has the meaning assigned to such term in Section 6.01(a)(xx).</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Facilities</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Facility</w:t>
      </w:r>
      <w:r>
        <w:rPr>
          <w:rFonts w:ascii="Arial" w:cs="Arial" w:eastAsia="Arial" w:hAnsi="Arial"/>
          <w:sz w:val="18"/>
          <w:szCs w:val="18"/>
          <w:color w:val="auto"/>
        </w:rPr>
        <w:t>” has the meaning assigned to such term in Section 2.20(a).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Increase</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Loan</w:t>
      </w:r>
      <w:r>
        <w:rPr>
          <w:rFonts w:ascii="Arial" w:cs="Arial" w:eastAsia="Arial" w:hAnsi="Arial"/>
          <w:sz w:val="18"/>
          <w:szCs w:val="18"/>
          <w:color w:val="auto"/>
        </w:rPr>
        <w:t>” means any Term Loan provided under any First Lien Incremental Facility.</w:t>
      </w:r>
    </w:p>
    <w:p>
      <w:pPr>
        <w:spacing w:after="0" w:line="21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Loan Document Obligations</w:t>
      </w:r>
      <w:r>
        <w:rPr>
          <w:rFonts w:ascii="Arial" w:cs="Arial" w:eastAsia="Arial" w:hAnsi="Arial"/>
          <w:sz w:val="17"/>
          <w:szCs w:val="17"/>
          <w:color w:val="auto"/>
        </w:rPr>
        <w:t>”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spacing w:after="0" w:line="18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Loan Documents</w:t>
      </w:r>
      <w:r>
        <w:rPr>
          <w:rFonts w:ascii="Arial" w:cs="Arial" w:eastAsia="Arial" w:hAnsi="Arial"/>
          <w:sz w:val="18"/>
          <w:szCs w:val="18"/>
          <w:color w:val="auto"/>
        </w:rPr>
        <w:t>” means this Agreement, any Refinancing Amendment, any Loan Modification Agreement, any Incremental Facility Amendment, the First Lien Guarantee Agreement, the First Lien Collateral Agreement, the First/Second Lien Intercreditor Agreement, the other Security Documents, any Customary Intercreditor Agreement and any Note delivered pursuant to Section 2.09(e).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57" w:name="page58"/>
    <w:bookmarkEnd w:id="57"/>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Pari Passu Intercreditor Agreement</w:t>
      </w:r>
      <w:r>
        <w:rPr>
          <w:rFonts w:ascii="Arial" w:cs="Arial" w:eastAsia="Arial" w:hAnsi="Arial"/>
          <w:sz w:val="16"/>
          <w:szCs w:val="16"/>
          <w:color w:val="auto"/>
        </w:rPr>
        <w:t xml:space="preserve">” means the First Lien Intercreditor Agreement substantially in the form of Exhibit E-1 among the First Lien Administrative Agent and one or more Senior Representatives for holders of Indebtedness permitted by this Agreement to be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such modifications thereto as the First Lien Administrative Agent and the Borrower may reasonably agree.</w:t>
      </w:r>
      <w:r>
        <w:rPr>
          <w:rFonts w:ascii="Arial" w:cs="Arial" w:eastAsia="Arial" w:hAnsi="Arial"/>
          <w:sz w:val="25"/>
          <w:szCs w:val="25"/>
          <w:color w:val="auto"/>
          <w:vertAlign w:val="superscript"/>
        </w:rPr>
        <w:t>2</w:t>
      </w:r>
    </w:p>
    <w:p>
      <w:pPr>
        <w:spacing w:after="0" w:line="6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First/Second Lien Intercreditor Agreement</w:t>
      </w:r>
      <w:r>
        <w:rPr>
          <w:rFonts w:ascii="Arial" w:cs="Arial" w:eastAsia="Arial" w:hAnsi="Arial"/>
          <w:sz w:val="18"/>
          <w:szCs w:val="18"/>
          <w:color w:val="auto"/>
        </w:rPr>
        <w:t>” means the First/Second Lien Intercreditor Agreement substantially in the form of Exhibit E-2 among the First Lien Administrative Agent and one or more Senior Representatives for holders of Indebtedness permitted by this Agreement to be secured by the Collateral. On the Effective Date, the First Lien Administrative Agent entered into a First/Second Lien Intercreditor Agreement with the Second Lien Trustee and the other parties party thereto.</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has the meaning assigned to such term in 1.07.(b).</w:t>
      </w:r>
    </w:p>
    <w:p>
      <w:pPr>
        <w:spacing w:after="0" w:line="22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9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Floor</w:t>
      </w:r>
      <w:r>
        <w:rPr>
          <w:rFonts w:ascii="Arial" w:cs="Arial" w:eastAsia="Arial" w:hAnsi="Arial"/>
          <w:sz w:val="17"/>
          <w:szCs w:val="17"/>
          <w:color w:val="auto"/>
        </w:rPr>
        <w:t xml:space="preserve">” means the benchmark rate floor, if any, provided in this Agreement initially (as of the execution of this Agreement, the modification, amendment or renewal of this Agreement or otherwise) with respect to the </w:t>
      </w:r>
      <w:r>
        <w:rPr>
          <w:rFonts w:ascii="Arial" w:cs="Arial" w:eastAsia="Arial" w:hAnsi="Arial"/>
          <w:sz w:val="17"/>
          <w:szCs w:val="17"/>
          <w:color w:val="FF0000"/>
          <w:strike w:val="1"/>
        </w:rPr>
        <w:t>LIBO Rate,</w:t>
      </w:r>
      <w:r>
        <w:rPr>
          <w:rFonts w:ascii="Arial" w:cs="Arial" w:eastAsia="Arial" w:hAnsi="Arial"/>
          <w:sz w:val="17"/>
          <w:szCs w:val="17"/>
          <w:color w:val="auto"/>
        </w:rPr>
        <w:t xml:space="preserve"> EURIBOR, Adjusted Daily Simple SONIA, Adjusted Term SOFR Rate or </w:t>
      </w:r>
      <w:r>
        <w:rPr>
          <w:rFonts w:ascii="Arial" w:cs="Arial" w:eastAsia="Arial" w:hAnsi="Arial"/>
          <w:sz w:val="17"/>
          <w:szCs w:val="17"/>
          <w:u w:val="single" w:color="auto"/>
          <w:color w:val="0000FF"/>
        </w:rPr>
        <w:t>Adjusted</w:t>
      </w:r>
      <w:r>
        <w:rPr>
          <w:rFonts w:ascii="Arial" w:cs="Arial" w:eastAsia="Arial" w:hAnsi="Arial"/>
          <w:sz w:val="17"/>
          <w:szCs w:val="17"/>
          <w:color w:val="auto"/>
        </w:rPr>
        <w:t xml:space="preserve"> Daily Simple SOFR as applicable. The initial Floor for each of the Adjusted Term SOFR Rate and Adjusted Daily Simple SOFR </w:t>
      </w:r>
      <w:r>
        <w:rPr>
          <w:rFonts w:ascii="Arial" w:cs="Arial" w:eastAsia="Arial" w:hAnsi="Arial"/>
          <w:sz w:val="17"/>
          <w:szCs w:val="17"/>
          <w:u w:val="single" w:color="auto"/>
          <w:color w:val="0000FF"/>
        </w:rPr>
        <w:t>(i) with respect to Revolving Loans only,</w:t>
      </w:r>
      <w:r>
        <w:rPr>
          <w:rFonts w:ascii="Arial" w:cs="Arial" w:eastAsia="Arial" w:hAnsi="Arial"/>
          <w:sz w:val="17"/>
          <w:szCs w:val="17"/>
          <w:color w:val="auto"/>
        </w:rPr>
        <w:t xml:space="preserve"> shall be 0% </w:t>
      </w:r>
      <w:r>
        <w:rPr>
          <w:rFonts w:ascii="Arial" w:cs="Arial" w:eastAsia="Arial" w:hAnsi="Arial"/>
          <w:sz w:val="17"/>
          <w:szCs w:val="17"/>
          <w:color w:val="0000FF"/>
        </w:rPr>
        <w:t>and (ii) with respect to Term Loans only, shall be 0.50%</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-38735</wp:posOffset>
            </wp:positionV>
            <wp:extent cx="2593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3975" cy="8255"/>
                    </a:xfrm>
                    <a:prstGeom prst="rect">
                      <a:avLst/>
                    </a:prstGeom>
                    <a:noFill/>
                  </pic:spPr>
                </pic:pic>
              </a:graphicData>
            </a:graphic>
          </wp:anchor>
        </w:drawing>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United States Person (as defined in Section 7701(a)(30) of the Code).</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Intercreditor Agreements</w:t>
      </w:r>
      <w:r>
        <w:rPr>
          <w:rFonts w:ascii="Arial" w:cs="Arial" w:eastAsia="Arial" w:hAnsi="Arial"/>
          <w:sz w:val="18"/>
          <w:szCs w:val="18"/>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18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Funded Debt</w:t>
      </w:r>
      <w:r>
        <w:rPr>
          <w:rFonts w:ascii="Arial" w:cs="Arial" w:eastAsia="Arial" w:hAnsi="Arial"/>
          <w:sz w:val="18"/>
          <w:szCs w:val="18"/>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means generally accepted accounting principles in the United States of America,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7" w:lineRule="exact"/>
        <w:rPr>
          <w:sz w:val="20"/>
          <w:szCs w:val="20"/>
          <w:color w:val="auto"/>
        </w:rPr>
      </w:pPr>
    </w:p>
    <w:p>
      <w:pPr>
        <w:ind w:left="340" w:hanging="332"/>
        <w:spacing w:after="0" w:line="211" w:lineRule="auto"/>
        <w:tabs>
          <w:tab w:leader="none" w:pos="121" w:val="left"/>
        </w:tabs>
        <w:numPr>
          <w:ilvl w:val="0"/>
          <w:numId w:val="59"/>
        </w:numPr>
        <w:rPr>
          <w:rFonts w:ascii="Arial" w:cs="Arial" w:eastAsia="Arial" w:hAnsi="Arial"/>
          <w:sz w:val="28"/>
          <w:szCs w:val="28"/>
          <w:color w:val="auto"/>
          <w:vertAlign w:val="superscript"/>
        </w:rPr>
      </w:pPr>
      <w:r>
        <w:rPr>
          <w:rFonts w:ascii="Arial" w:cs="Arial" w:eastAsia="Arial" w:hAnsi="Arial"/>
          <w:sz w:val="18"/>
          <w:szCs w:val="18"/>
          <w:color w:val="auto"/>
        </w:rPr>
        <w:t>A First Lien Pari Passu Intercreditor Agreement was entered into on February 23, 2023, between the First Lien Administrative Agent and JPMorgan Chase Bank, N.A., as administrative agent and collateral agent under that certain Credit Agreement dated as of February 23, 2023, by and among Holdings, the Borrower and the other parties thereto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58" w:name="page59"/>
    <w:bookmarkEnd w:id="58"/>
    <w:p>
      <w:pPr>
        <w:jc w:val="both"/>
        <w:spacing w:after="0" w:line="290" w:lineRule="auto"/>
        <w:rPr>
          <w:sz w:val="20"/>
          <w:szCs w:val="20"/>
          <w:color w:val="auto"/>
        </w:rPr>
      </w:pPr>
      <w:r>
        <w:rPr>
          <w:rFonts w:ascii="Arial" w:cs="Arial" w:eastAsia="Arial" w:hAnsi="Arial"/>
          <w:sz w:val="16"/>
          <w:szCs w:val="16"/>
          <w:color w:val="auto"/>
        </w:rPr>
        <w:t>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6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Restricted Payment Reallocated Amount</w:t>
      </w:r>
      <w:r>
        <w:rPr>
          <w:rFonts w:ascii="Arial" w:cs="Arial" w:eastAsia="Arial" w:hAnsi="Arial"/>
          <w:sz w:val="18"/>
          <w:szCs w:val="18"/>
          <w:color w:val="auto"/>
        </w:rPr>
        <w:t>” means any amount that, at the option of Holdings or the Borrower, has been reallocated from Section 6.07(a)(viii) to clause (C) of the proviso in Section 6.04(m), which shall be deemed to be a utilization of the basket set forth in Section 6.07(a)(viii).</w:t>
      </w:r>
    </w:p>
    <w:p>
      <w:pPr>
        <w:spacing w:after="0" w:line="17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Sachs Letter of Credit Sublimit</w:t>
      </w:r>
      <w:r>
        <w:rPr>
          <w:rFonts w:ascii="Arial" w:cs="Arial" w:eastAsia="Arial" w:hAnsi="Arial"/>
          <w:sz w:val="18"/>
          <w:szCs w:val="18"/>
          <w:color w:val="auto"/>
        </w:rPr>
        <w:t>” means an amount equal to the amount listed on Schedule 2.01 as amended by Amendment No. 2. Letters of Credit issued pursuant to the Goldman Sachs Letter of Credit Sublimit will be issued by Goldman Sachs Bank USA in its capacity as an “Issuing Bank”.</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Governmental Authorities.</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9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Participating Lenders</w:t>
      </w:r>
      <w:r>
        <w:rPr>
          <w:rFonts w:ascii="Arial" w:cs="Arial" w:eastAsia="Arial" w:hAnsi="Arial"/>
          <w:sz w:val="18"/>
          <w:szCs w:val="18"/>
          <w:color w:val="auto"/>
        </w:rPr>
        <w:t>” has the meaning assigned to such term in Section 2.11(a)(ii)(C)(3).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Qualifying Lenders</w:t>
      </w:r>
      <w:r>
        <w:rPr>
          <w:rFonts w:ascii="Arial" w:cs="Arial" w:eastAsia="Arial" w:hAnsi="Arial"/>
          <w:sz w:val="18"/>
          <w:szCs w:val="18"/>
          <w:color w:val="auto"/>
        </w:rPr>
        <w:t>” has the meaning specified in Section 2.11(a)(ii)(D)(3).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59" w:name="page60"/>
    <w:bookmarkEnd w:id="5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other than a Material Subsidiary.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has the meaning assigned to such term in the definition of “EURIBOR.”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Impacted LIBO Rate Interest Period</w:t>
      </w:r>
      <w:r>
        <w:rPr>
          <w:rFonts w:ascii="Arial" w:cs="Arial" w:eastAsia="Arial" w:hAnsi="Arial"/>
          <w:sz w:val="18"/>
          <w:szCs w:val="18"/>
          <w:color w:val="FF0000"/>
          <w:strike w:val="1"/>
        </w:rPr>
        <w:t>” has the meaning assigned to such term in the definition of “LIBO Rate.”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has the meaning assigned to such term in Section 2.14(b).</w:t>
      </w:r>
    </w:p>
    <w:p>
      <w:pPr>
        <w:spacing w:after="0" w:line="22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Cap</w:t>
      </w:r>
      <w:r>
        <w:rPr>
          <w:rFonts w:ascii="Arial" w:cs="Arial" w:eastAsia="Arial" w:hAnsi="Arial"/>
          <w:sz w:val="16"/>
          <w:szCs w:val="16"/>
          <w:color w:val="auto"/>
        </w:rPr>
        <w:t xml:space="preserve">” means, as of any date of determination, the sum of (I)(a) the greater of (i) $288,000,000 and (ii) 75% of Consolidated EBITDA for the most recently ended Test Period as of such date, calculated on a Pro 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w:t>
      </w:r>
    </w:p>
    <w:p>
      <w:pPr>
        <w:spacing w:after="0" w:line="4" w:lineRule="exact"/>
        <w:rPr>
          <w:sz w:val="20"/>
          <w:szCs w:val="20"/>
          <w:color w:val="auto"/>
        </w:rPr>
      </w:pPr>
    </w:p>
    <w:p>
      <w:pPr>
        <w:jc w:val="both"/>
        <w:ind w:firstLine="8"/>
        <w:spacing w:after="0" w:line="273" w:lineRule="auto"/>
        <w:tabs>
          <w:tab w:leader="none" w:pos="2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 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means First Lien Incremental Equivalent Debt and/or Second Lien Incremental Equivalent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60" w:name="page61"/>
    <w:bookmarkEnd w:id="6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has the meaning assigned to such term in Section 2.20(d).</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 Increase</w:t>
      </w:r>
      <w:r>
        <w:rPr>
          <w:rFonts w:ascii="Arial" w:cs="Arial" w:eastAsia="Arial" w:hAnsi="Arial"/>
          <w:sz w:val="18"/>
          <w:szCs w:val="18"/>
          <w:color w:val="auto"/>
        </w:rPr>
        <w:t>” has the meaning assigned to such term in Section 2.20(a), including Amendment No. 1 Revolving Commitment Increase and Amendment No. 2 Revolving Commitment Increase.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 Based Amounts</w:t>
      </w:r>
      <w:r>
        <w:rPr>
          <w:rFonts w:ascii="Arial" w:cs="Arial" w:eastAsia="Arial" w:hAnsi="Arial"/>
          <w:sz w:val="18"/>
          <w:szCs w:val="18"/>
          <w:color w:val="auto"/>
        </w:rPr>
        <w:t>” has the meaning assigned to such term in Section 1.07(b).</w:t>
      </w:r>
    </w:p>
    <w:p>
      <w:pPr>
        <w:spacing w:after="0" w:line="22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deferred or prepaid revenue, (ii) 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Holdings</w:t>
      </w:r>
      <w:r>
        <w:rPr>
          <w:rFonts w:ascii="Arial" w:cs="Arial" w:eastAsia="Arial" w:hAnsi="Arial"/>
          <w:sz w:val="18"/>
          <w:szCs w:val="18"/>
          <w:color w:val="auto"/>
        </w:rPr>
        <w:t>” has the meaning given to such term in the preliminary statements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means the Loans made pursuant to Section 2.01(a) on the Effective Date.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First Lien Collateral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21" w:right="339" w:bottom="1440" w:gutter="0" w:footer="0" w:header="0"/>
        </w:sectPr>
      </w:pPr>
    </w:p>
    <w:bookmarkStart w:id="61" w:name="page62"/>
    <w:bookmarkEnd w:id="61"/>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the First Lien Pari Passu Intercreditor Agreement, the First/Second Lien Intercreditor Agreement and the ABL Intercreditor Agreement.</w:t>
      </w:r>
    </w:p>
    <w:p>
      <w:pPr>
        <w:spacing w:after="0" w:line="15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Ratio</w:t>
      </w:r>
      <w:r>
        <w:rPr>
          <w:rFonts w:ascii="Arial" w:cs="Arial" w:eastAsia="Arial" w:hAnsi="Arial"/>
          <w:sz w:val="17"/>
          <w:szCs w:val="17"/>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13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to convert or continue a Revolving Borrowing or Term Borrowing in accordance with Section 2.07.</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(including a Swingline Loan), the last Business Day of each March,</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June, September and December to occur during any period in which such Loan is outstanding and the maturity date applicable to such ABR Loan, (b) with respect to </w:t>
      </w:r>
      <w:r>
        <w:rPr>
          <w:rFonts w:ascii="Arial" w:cs="Arial" w:eastAsia="Arial" w:hAnsi="Arial"/>
          <w:sz w:val="16"/>
          <w:szCs w:val="16"/>
          <w:color w:val="FF0000"/>
          <w:strike w:val="1"/>
        </w:rPr>
        <w:t>any Eurodollar Loan, the last Business Day of the Interest Period applicable to the Borrowing of which such Loan is a part and, in the case of a</w:t>
      </w:r>
      <w:r>
        <w:rPr>
          <w:rFonts w:ascii="Arial" w:cs="Arial" w:eastAsia="Arial" w:hAnsi="Arial"/>
          <w:sz w:val="16"/>
          <w:szCs w:val="16"/>
          <w:color w:val="auto"/>
        </w:rPr>
        <w:t xml:space="preserve"> </w:t>
      </w:r>
      <w:r>
        <w:rPr>
          <w:rFonts w:ascii="Arial" w:cs="Arial" w:eastAsia="Arial" w:hAnsi="Arial"/>
          <w:sz w:val="16"/>
          <w:szCs w:val="16"/>
          <w:color w:val="FF0000"/>
          <w:strike w:val="1"/>
        </w:rPr>
        <w:t>Eurodollar Borrowing with an Interest Period of more than three months’ duration, each day prior to the last day of such Interest Period that occurs at</w:t>
      </w:r>
    </w:p>
    <w:p>
      <w:pPr>
        <w:jc w:val="both"/>
        <w:spacing w:after="0" w:line="260" w:lineRule="auto"/>
        <w:rPr>
          <w:sz w:val="20"/>
          <w:szCs w:val="20"/>
          <w:color w:val="auto"/>
        </w:rPr>
      </w:pPr>
      <w:r>
        <w:rPr>
          <w:rFonts w:ascii="Arial" w:cs="Arial" w:eastAsia="Arial" w:hAnsi="Arial"/>
          <w:sz w:val="17"/>
          <w:szCs w:val="17"/>
          <w:color w:val="FF0000"/>
          <w:strike w:val="1"/>
        </w:rPr>
        <w:t>intervals of three months’ duration after the first day of such Interest Period, (c) with respect to</w:t>
      </w:r>
      <w:r>
        <w:rPr>
          <w:rFonts w:ascii="Arial" w:cs="Arial" w:eastAsia="Arial" w:hAnsi="Arial"/>
          <w:sz w:val="17"/>
          <w:szCs w:val="17"/>
          <w:color w:val="FF0000"/>
        </w:rPr>
        <w:t xml:space="preserve"> </w:t>
      </w:r>
      <w:r>
        <w:rPr>
          <w:rFonts w:ascii="Arial" w:cs="Arial" w:eastAsia="Arial" w:hAnsi="Arial"/>
          <w:sz w:val="17"/>
          <w:szCs w:val="17"/>
          <w:color w:val="000000"/>
        </w:rPr>
        <w:t>any RFR Loan, each date that is on the numerically</w:t>
      </w:r>
      <w:r>
        <w:rPr>
          <w:rFonts w:ascii="Arial" w:cs="Arial" w:eastAsia="Arial" w:hAnsi="Arial"/>
          <w:sz w:val="17"/>
          <w:szCs w:val="17"/>
          <w:color w:val="FF0000"/>
        </w:rPr>
        <w:t xml:space="preserve"> </w:t>
      </w:r>
      <w:r>
        <w:rPr>
          <w:rFonts w:ascii="Arial" w:cs="Arial" w:eastAsia="Arial" w:hAnsi="Arial"/>
          <w:sz w:val="17"/>
          <w:szCs w:val="17"/>
          <w:color w:val="000000"/>
        </w:rPr>
        <w:t xml:space="preserve">corresponding day in each calendar month that is one month after the Borrowing of such RFR Loan (or, if there is no such numerically corresponding day in such month, then the last day of such month) and the maturity date applicable to such RFR Loan, and ( </w:t>
      </w:r>
      <w:r>
        <w:rPr>
          <w:rFonts w:ascii="Arial" w:cs="Arial" w:eastAsia="Arial" w:hAnsi="Arial"/>
          <w:sz w:val="17"/>
          <w:szCs w:val="17"/>
          <w:color w:val="FF0000"/>
          <w:strike w:val="1"/>
        </w:rPr>
        <w:t>d</w:t>
      </w:r>
      <w:r>
        <w:rPr>
          <w:rFonts w:ascii="Arial" w:cs="Arial" w:eastAsia="Arial" w:hAnsi="Arial"/>
          <w:sz w:val="17"/>
          <w:szCs w:val="17"/>
          <w:u w:val="single" w:color="auto"/>
          <w:color w:val="0000FF"/>
        </w:rPr>
        <w:t>c</w:t>
      </w:r>
      <w:r>
        <w:rPr>
          <w:rFonts w:ascii="Arial" w:cs="Arial" w:eastAsia="Arial" w:hAnsi="Arial"/>
          <w:sz w:val="17"/>
          <w:szCs w:val="17"/>
          <w:color w:val="000000"/>
        </w:rPr>
        <w:t xml:space="preserve"> ) with respect to any Term Benchmark Loan, the last Business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w:t>
      </w:r>
    </w:p>
    <w:p>
      <w:pPr>
        <w:spacing w:after="0" w:line="18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 means, (a) </w:t>
      </w:r>
      <w:r>
        <w:rPr>
          <w:rFonts w:ascii="Arial" w:cs="Arial" w:eastAsia="Arial" w:hAnsi="Arial"/>
          <w:sz w:val="16"/>
          <w:szCs w:val="16"/>
          <w:color w:val="FF0000"/>
          <w:strike w:val="1"/>
        </w:rPr>
        <w:t>with respect to any Eurodollar Borrowing, the period commencing on the date such Borrowing is disbursed</w:t>
      </w:r>
      <w:r>
        <w:rPr>
          <w:rFonts w:ascii="Arial" w:cs="Arial" w:eastAsia="Arial" w:hAnsi="Arial"/>
          <w:sz w:val="16"/>
          <w:szCs w:val="16"/>
          <w:color w:val="auto"/>
        </w:rPr>
        <w:t xml:space="preserve"> </w:t>
      </w:r>
      <w:r>
        <w:rPr>
          <w:rFonts w:ascii="Arial" w:cs="Arial" w:eastAsia="Arial" w:hAnsi="Arial"/>
          <w:sz w:val="16"/>
          <w:szCs w:val="16"/>
          <w:color w:val="FF0000"/>
          <w:strike w:val="1"/>
        </w:rPr>
        <w:t>or converted to or continued as a Eurodollar Borrowing and ending on the date that is one, two, three or six months thereafter as selected by the Borrower</w:t>
      </w:r>
    </w:p>
    <w:p>
      <w:pPr>
        <w:jc w:val="both"/>
        <w:spacing w:after="0" w:line="257" w:lineRule="auto"/>
        <w:rPr>
          <w:sz w:val="20"/>
          <w:szCs w:val="20"/>
          <w:color w:val="auto"/>
        </w:rPr>
      </w:pPr>
      <w:r>
        <w:rPr>
          <w:rFonts w:ascii="Arial" w:cs="Arial" w:eastAsia="Arial" w:hAnsi="Arial"/>
          <w:sz w:val="17"/>
          <w:szCs w:val="17"/>
          <w:color w:val="FF0000"/>
          <w:strike w:val="1"/>
        </w:rPr>
        <w:t xml:space="preserve">in its Borrowing Request (or, if consented to by each Lender participating therein, twelve months or such shorter period as the Borrower may elect) and (b) </w:t>
      </w:r>
      <w:r>
        <w:rPr>
          <w:rFonts w:ascii="Arial" w:cs="Arial" w:eastAsia="Arial" w:hAnsi="Arial"/>
          <w:sz w:val="17"/>
          <w:szCs w:val="17"/>
          <w:color w:val="000000"/>
          <w:strike w:val="1"/>
        </w:rPr>
        <w:t xml:space="preserve">with respect to any Term Benchmark Loan, the period commencing on the date of such Borrowing and ending on the numerically corresponding day in the calendar month that is one, three or, except with respect to any Term Benchmark Loan denominated in Canadian Dollars, six months thereafter, as the Borrower may elect or, with the consent of the First Lien Administrative Agent and each Lender, any other period ending on a Business Day that is within three months of the date of such Borrowing, as the Borrower may elect; </w:t>
      </w:r>
      <w:r>
        <w:rPr>
          <w:rFonts w:ascii="Arial" w:cs="Arial" w:eastAsia="Arial" w:hAnsi="Arial"/>
          <w:sz w:val="17"/>
          <w:szCs w:val="17"/>
          <w:u w:val="single" w:color="auto"/>
          <w:color w:val="000000"/>
          <w:strike w:val="1"/>
        </w:rPr>
        <w:t>provided</w:t>
      </w:r>
      <w:r>
        <w:rPr>
          <w:rFonts w:ascii="Arial" w:cs="Arial" w:eastAsia="Arial" w:hAnsi="Arial"/>
          <w:sz w:val="17"/>
          <w:szCs w:val="17"/>
          <w:color w:val="000000"/>
          <w:strike w:val="1"/>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w:t>
      </w:r>
      <w:r>
        <w:rPr>
          <w:rFonts w:ascii="Arial" w:cs="Arial" w:eastAsia="Arial" w:hAnsi="Arial"/>
          <w:sz w:val="17"/>
          <w:szCs w:val="17"/>
          <w:color w:val="FF0000"/>
          <w:strike w:val="1"/>
        </w:rPr>
        <w:t>and</w:t>
      </w:r>
      <w:r>
        <w:rPr>
          <w:rFonts w:ascii="Arial" w:cs="Arial" w:eastAsia="Arial" w:hAnsi="Arial"/>
          <w:sz w:val="17"/>
          <w:szCs w:val="17"/>
          <w:u w:val="single" w:color="auto"/>
          <w:color w:val="0000FF"/>
          <w:strike w:val="1"/>
        </w:rPr>
        <w:t>,</w:t>
      </w:r>
      <w:r>
        <w:rPr>
          <w:rFonts w:ascii="Arial" w:cs="Arial" w:eastAsia="Arial" w:hAnsi="Arial"/>
          <w:sz w:val="17"/>
          <w:szCs w:val="17"/>
          <w:color w:val="000000"/>
          <w:strike w:val="1"/>
        </w:rPr>
        <w:t xml:space="preserve"> (c) no Interest Period shall extend beyond (i) in the case of Term Loans, the Term Maturity Date and (ii) in the case of Revolving Loans, the Revolving Maturity Date </w:t>
      </w:r>
      <w:r>
        <w:rPr>
          <w:rFonts w:ascii="Arial" w:cs="Arial" w:eastAsia="Arial" w:hAnsi="Arial"/>
          <w:sz w:val="17"/>
          <w:szCs w:val="17"/>
          <w:color w:val="0000FF"/>
          <w:strike w:val="1"/>
        </w:rPr>
        <w:t>and (d) no tenor that has been removed from this definition pursuant to</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Section 2.14(e) shall be available for specification in such Borrowing Request or Interest Election Request</w:t>
      </w:r>
      <w:r>
        <w:rPr>
          <w:rFonts w:ascii="Arial" w:cs="Arial" w:eastAsia="Arial" w:hAnsi="Arial"/>
          <w:sz w:val="17"/>
          <w:szCs w:val="17"/>
          <w:color w:val="000000"/>
          <w:strike w:val="1"/>
        </w:rPr>
        <w:t>. For purposes hereof, the date of a Borrowing</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-612775</wp:posOffset>
            </wp:positionV>
            <wp:extent cx="203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3200" cy="889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-424180</wp:posOffset>
            </wp:positionV>
            <wp:extent cx="3288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88665" cy="8255"/>
                    </a:xfrm>
                    <a:prstGeom prst="rect">
                      <a:avLst/>
                    </a:prstGeom>
                    <a:noFill/>
                  </pic:spPr>
                </pic:pic>
              </a:graphicData>
            </a:graphic>
          </wp:anchor>
        </w:drawing>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Parent</w:t>
      </w:r>
      <w:r>
        <w:rPr>
          <w:rFonts w:ascii="Arial" w:cs="Arial" w:eastAsia="Arial" w:hAnsi="Arial"/>
          <w:sz w:val="18"/>
          <w:szCs w:val="18"/>
          <w:color w:val="auto"/>
        </w:rPr>
        <w:t>” means any Subsidiary of Holdings of which the Borrower is a subsidiary.</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21" w:right="339" w:bottom="1440" w:gutter="0" w:footer="0" w:header="0"/>
        </w:sectPr>
      </w:pPr>
    </w:p>
    <w:bookmarkStart w:id="62" w:name="page63"/>
    <w:bookmarkEnd w:id="62"/>
    <w:p>
      <w:pPr>
        <w:jc w:val="both"/>
        <w:ind w:firstLine="8"/>
        <w:spacing w:after="0" w:line="274" w:lineRule="auto"/>
        <w:tabs>
          <w:tab w:leader="none" w:pos="23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the cost of all additions thereto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a holder of Equity Interests in Holdings (or any direct or indirect parent thereof).</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 Entity</w:t>
      </w:r>
      <w:r>
        <w:rPr>
          <w:rFonts w:ascii="Arial" w:cs="Arial" w:eastAsia="Arial" w:hAnsi="Arial"/>
          <w:sz w:val="17"/>
          <w:szCs w:val="17"/>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21" w:right="339" w:bottom="1440" w:gutter="0" w:footer="0" w:header="0"/>
        </w:sectPr>
      </w:pPr>
    </w:p>
    <w:bookmarkStart w:id="63" w:name="page64"/>
    <w:bookmarkEnd w:id="63"/>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17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means each of (a) Citibank, N.A., (b) Citizens Bank, N.A., (c) Credit Suisse AG, New York Branch (provided that Credit Suisse AG, New York Branch shall only be required to issue standby Letters of Credit), (d) Goldman Sachs Bank USA (provided that Goldman Sachs Bank USA shall only be required to issue standby Letters of Credit), (e) Jefferies Finance LLC (provided that Jefferies Finance LLC shall only be required to issue standby Letters of Credit denominated in U.S. Dollars and will cause any Letters of Credit issued pursuant to the Jefferies Letter of Credit Sublimit to be issued by unaffiliated financial institutions and such Letters of Credit shall be treated as issued by Jefferies Finance LLC for all purposes under the Loan Documents), (f) JPMorgan Chase Bank, N.A., (g) KeyBank National Association, (h) Royal Bank of Canada (provided that Royal Bank of Canada shall only be required to issue standby Letters of Credit), (i) Barclays Bank PLC (provided that Barclays Bank PLC shall only be required to issue standby Letters of Credit), (j) BNP Paribas and (k)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Jefferies Letter of Credit Sublimit</w:t>
      </w:r>
      <w:r>
        <w:rPr>
          <w:rFonts w:ascii="Arial" w:cs="Arial" w:eastAsia="Arial" w:hAnsi="Arial"/>
          <w:sz w:val="16"/>
          <w:szCs w:val="16"/>
          <w:color w:val="auto"/>
        </w:rPr>
        <w:t>” means an amount equal to the amount listed on Schedule 2.01 as amended by Amendment No. 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issued pursuant to the Jefferies Letter of Credit Sublimit will be issued by Jefferies Finance LLC in its capacity as na “Issuing Bank”.</w:t>
      </w:r>
    </w:p>
    <w:p>
      <w:pPr>
        <w:spacing w:after="0" w:line="20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Lead Arranger</w:t>
      </w:r>
      <w:r>
        <w:rPr>
          <w:rFonts w:ascii="Arial" w:cs="Arial" w:eastAsia="Arial" w:hAnsi="Arial"/>
          <w:sz w:val="17"/>
          <w:szCs w:val="17"/>
          <w:color w:val="auto"/>
        </w:rPr>
        <w:t>” means (x)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 and (y) in connection with Amendment No. 2, each of JPMorgan Chase Bank, N.A., Jefferies Finance LLC, Credit Suisse Loan Funding LLC, Goldman Sachs Bank USA, BNP Paribas Securities Corp., Citigroup Global Markets Inc., RBC Capital Markets and Barclays Bank PLC, each in their capacity as joint lead arranger and joint bookrunner, and any permitted successors and assigns of the foregoing.</w:t>
      </w:r>
    </w:p>
    <w:p>
      <w:pPr>
        <w:spacing w:after="0" w:line="167"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JPM Letter of Credit Sublimit</w:t>
      </w:r>
      <w:r>
        <w:rPr>
          <w:rFonts w:ascii="Arial" w:cs="Arial" w:eastAsia="Arial" w:hAnsi="Arial"/>
          <w:sz w:val="16"/>
          <w:szCs w:val="16"/>
          <w:color w:val="auto"/>
        </w:rPr>
        <w:t>” means an amount equal to the amount listed on Schedule 2.01 as amended by Amendment No. 2. Letters of Credit issued pursuant to the JPM Letter of Credit Sublimit will be issued by JPMorgan Chase Bank, N.A. in its capacity as an “Issuing Bank”.</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9.17.</w:t>
      </w:r>
    </w:p>
    <w:p>
      <w:pPr>
        <w:spacing w:after="0" w:line="212"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Debt Payment Reallocated Amount</w:t>
      </w:r>
      <w:r>
        <w:rPr>
          <w:rFonts w:ascii="Arial" w:cs="Arial" w:eastAsia="Arial" w:hAnsi="Arial"/>
          <w:sz w:val="16"/>
          <w:szCs w:val="16"/>
          <w:color w:val="auto"/>
        </w:rPr>
        <w:t>” means any amount that, at the option of Holdings or the Borrower, has been reallocated from Section 6.07(b)(iv) to clause (D) of the proviso in Section 6.04(m), which shall be deemed to be a utilization of the basket set forth in Section 6.07(b)(iv).</w:t>
      </w:r>
    </w:p>
    <w:p>
      <w:pPr>
        <w:spacing w:after="0" w:line="11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 (b) any Permitted Refinancing in respect of the foregoing.</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Keybank Letter of Credit Sublimit</w:t>
      </w:r>
      <w:r>
        <w:rPr>
          <w:rFonts w:ascii="Arial" w:cs="Arial" w:eastAsia="Arial" w:hAnsi="Arial"/>
          <w:sz w:val="18"/>
          <w:szCs w:val="18"/>
          <w:color w:val="auto"/>
        </w:rPr>
        <w:t>” means an amount equal to the amount listed on Schedule 2.01 as amended by Amendment No. 2. Letters of Credit issued pursuant to the Keybank Letter of Credit Sublimit will be issued by Keybank National Association in its capacity as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64" w:name="page65"/>
    <w:bookmarkEnd w:id="64"/>
    <w:p>
      <w:pPr>
        <w:jc w:val="both"/>
        <w:ind w:firstLine="129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an honoring of a drawing by an Issuing Bank pursuant to a Letter of Credit.</w:t>
      </w:r>
    </w:p>
    <w:p>
      <w:pPr>
        <w:spacing w:after="0" w:line="2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Revaluation Date</w:t>
      </w:r>
      <w:r>
        <w:rPr>
          <w:rFonts w:ascii="Arial" w:cs="Arial" w:eastAsia="Arial" w:hAnsi="Arial"/>
          <w:sz w:val="16"/>
          <w:szCs w:val="16"/>
          <w:color w:val="auto"/>
        </w:rPr>
        <w:t>” means (a) the date of delivery of each request for Revolving Borrowings, (b)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w:t>
      </w:r>
    </w:p>
    <w:p>
      <w:pPr>
        <w:ind w:left="1300" w:right="4800" w:hanging="1292"/>
        <w:spacing w:after="0" w:line="545" w:lineRule="auto"/>
        <w:tabs>
          <w:tab w:leader="none" w:pos="259"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such additional dates as the First Lien Administrative Agent may reasonably specify. “</w:t>
      </w:r>
      <w:r>
        <w:rPr>
          <w:rFonts w:ascii="Arial" w:cs="Arial" w:eastAsia="Arial" w:hAnsi="Arial"/>
          <w:sz w:val="16"/>
          <w:szCs w:val="16"/>
          <w:u w:val="single" w:color="auto"/>
          <w:color w:val="auto"/>
        </w:rPr>
        <w:t>LCT Election</w:t>
      </w:r>
      <w:r>
        <w:rPr>
          <w:rFonts w:ascii="Arial" w:cs="Arial" w:eastAsia="Arial" w:hAnsi="Arial"/>
          <w:sz w:val="16"/>
          <w:szCs w:val="16"/>
          <w:color w:val="auto"/>
        </w:rPr>
        <w:t>” has the meaning assigned to such term in Section 1.06.</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has the meaning assigned to such term in Section 1.06.</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spacing w:after="0" w:line="19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has the meaning assigned to such term in Section 2.05(b).</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Sublimit</w:t>
      </w:r>
      <w:r>
        <w:rPr>
          <w:rFonts w:ascii="Arial" w:cs="Arial" w:eastAsia="Arial" w:hAnsi="Arial"/>
          <w:sz w:val="17"/>
          <w:szCs w:val="17"/>
          <w:color w:val="auto"/>
        </w:rPr>
        <w:t>” means $361,250,000, which is the sum of the Barclays Letter of Credit Sublimit, the BNP Paribas Letter of Credit Sublimit, the Citigroup Letter of Credit Sublimit, the Citizens Letter of Credit Sublimit, the Credit Suisse Letter of Credit Sublimit, the Goldman Sachs Letter of Credit Sublimit, the Jefferies Letter of Credit Sublimit, the JPM Letter of Credit Sublimit, the KeyBank Letter of Credit Sublimit and the RBC Letter of Credit Sublimit. The Letter of Credit Sublimit is part of and not in addition to the aggregate Revolving Commitments.</w:t>
      </w:r>
    </w:p>
    <w:p>
      <w:pPr>
        <w:spacing w:after="0" w:line="18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LIBO Interpolated Rate</w:t>
      </w:r>
      <w:r>
        <w:rPr>
          <w:rFonts w:ascii="Arial" w:cs="Arial" w:eastAsia="Arial" w:hAnsi="Arial"/>
          <w:sz w:val="16"/>
          <w:szCs w:val="16"/>
          <w:color w:val="FF0000"/>
          <w:strike w:val="1"/>
        </w:rPr>
        <w:t>” means, at any time, with respect to any Eurodollar Borrowing and for any Interest Period, the rate per annum (rounded to the same number of decimal places as the LIBO Screen Rate) determined by the First Lien Administrative Agent (which determination shall be conclusive and binding absent manifest error) to be equal to the rate that results from interpolating on a linear basis between: (a) the LIBO Screen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21" w:right="339" w:bottom="1440" w:gutter="0" w:footer="0" w:header="0"/>
        </w:sectPr>
      </w:pPr>
    </w:p>
    <w:bookmarkStart w:id="65" w:name="page66"/>
    <w:bookmarkEnd w:id="65"/>
    <w:p>
      <w:pPr>
        <w:jc w:val="both"/>
        <w:spacing w:after="0" w:line="256" w:lineRule="auto"/>
        <w:rPr>
          <w:sz w:val="20"/>
          <w:szCs w:val="20"/>
          <w:color w:val="auto"/>
        </w:rPr>
      </w:pPr>
      <w:r>
        <w:rPr>
          <w:rFonts w:ascii="Arial" w:cs="Arial" w:eastAsia="Arial" w:hAnsi="Arial"/>
          <w:sz w:val="18"/>
          <w:szCs w:val="18"/>
          <w:color w:val="FF0000"/>
          <w:strike w:val="1"/>
        </w:rPr>
        <w:t>Rate for the longest period (for which the LIBO Screen Rate is available for Dollars) that is shorter than the Impacted LIBO Rate Interest Period; and (b) the LIBO Screen Rate for the shortest period (for which the LIBO Screen Rate is available for Dollars) that exceeds the Impacted LIBO Rate Interest Period, in each case, at such time.</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 Rate</w:t>
      </w:r>
      <w:r>
        <w:rPr>
          <w:rFonts w:ascii="Arial" w:cs="Arial" w:eastAsia="Arial" w:hAnsi="Arial"/>
          <w:sz w:val="18"/>
          <w:szCs w:val="18"/>
          <w:color w:val="FF0000"/>
          <w:strike w:val="1"/>
        </w:rPr>
        <w:t>” means, with respect to any Eurodollar Borrowing and for any Interest Period, the LIBO Screen Rate at approximately 11:00 a.m., London time, two Business Days prior to the commencement of such Interest Period; provided that if the LIBO Screen Rate shall not be available at such time for such Interest Period (an “</w:t>
      </w:r>
      <w:r>
        <w:rPr>
          <w:rFonts w:ascii="Arial" w:cs="Arial" w:eastAsia="Arial" w:hAnsi="Arial"/>
          <w:sz w:val="18"/>
          <w:szCs w:val="18"/>
          <w:u w:val="single" w:color="auto"/>
          <w:color w:val="FF0000"/>
          <w:strike w:val="1"/>
        </w:rPr>
        <w:t>Impacted LIBO Rate Interest Period</w:t>
      </w:r>
      <w:r>
        <w:rPr>
          <w:rFonts w:ascii="Arial" w:cs="Arial" w:eastAsia="Arial" w:hAnsi="Arial"/>
          <w:sz w:val="18"/>
          <w:szCs w:val="18"/>
          <w:color w:val="FF0000"/>
          <w:strike w:val="1"/>
        </w:rPr>
        <w:t>”) with respect to Dollars then the LIBO Rate shall be the LIBO Interpolated Rate.</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 Screen Rate</w:t>
      </w:r>
      <w:r>
        <w:rPr>
          <w:rFonts w:ascii="Arial" w:cs="Arial" w:eastAsia="Arial" w:hAnsi="Arial"/>
          <w:sz w:val="18"/>
          <w:szCs w:val="18"/>
          <w:color w:val="FF0000"/>
          <w:strike w:val="1"/>
        </w:rPr>
        <w:t>” means, for any day and time, with respect to any Eurodollar Borrowing and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First Lien Administrative Agent in its reasonable discretion).</w:t>
      </w:r>
    </w:p>
    <w:p>
      <w:pPr>
        <w:spacing w:after="0" w:line="199"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Guarantors</w:t>
      </w:r>
      <w:r>
        <w:rPr>
          <w:rFonts w:ascii="Arial" w:cs="Arial" w:eastAsia="Arial" w:hAnsi="Arial"/>
          <w:sz w:val="18"/>
          <w:szCs w:val="18"/>
          <w:color w:val="auto"/>
        </w:rPr>
        <w:t>” means Holdings, any Intermediate Parent and the Subsidiary Loan Parties.</w:t>
      </w:r>
    </w:p>
    <w:p>
      <w:pPr>
        <w:spacing w:after="0" w:line="21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Modification Agreement</w:t>
      </w:r>
      <w:r>
        <w:rPr>
          <w:rFonts w:ascii="Arial" w:cs="Arial" w:eastAsia="Arial" w:hAnsi="Arial"/>
          <w:sz w:val="17"/>
          <w:szCs w:val="17"/>
          <w:color w:val="auto"/>
        </w:rPr>
        <w:t>” means a Loan Modification Agreement, in form reasonably 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has the meaning specified in Section 2.24(a).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any Intermediate Parent, the Borrower and the Subsidiary Loan Parties.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London Banking Day</w:t>
      </w:r>
      <w:r>
        <w:rPr>
          <w:rFonts w:ascii="Arial" w:cs="Arial" w:eastAsia="Arial" w:hAnsi="Arial"/>
          <w:sz w:val="18"/>
          <w:szCs w:val="18"/>
          <w:color w:val="FF0000"/>
          <w:strike w:val="1"/>
        </w:rPr>
        <w:t>” means any day on which dealings in Dollar deposits are conducted by and between banks in the London interbank eurodollar market.</w:t>
      </w:r>
    </w:p>
    <w:p>
      <w:pPr>
        <w:spacing w:after="0" w:line="15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in Interest</w:t>
      </w:r>
      <w:r>
        <w:rPr>
          <w:rFonts w:ascii="Arial" w:cs="Arial" w:eastAsia="Arial" w:hAnsi="Arial"/>
          <w:sz w:val="17"/>
          <w:szCs w:val="17"/>
          <w:color w:val="auto"/>
        </w:rPr>
        <w:t>”,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21" w:right="3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18"/>
          <w:szCs w:val="18"/>
          <w:color w:val="auto"/>
        </w:rPr>
        <w:t xml:space="preserve">Term Commitments of such Class outstanding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17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means the members of the Board of Directors, officers and employees of Holdings, the Borrower and/or their respective Subsidiaries who are (directly or indirectly through one or more investment vehicles) investors in Holdings (or any direct or indirect parent thereof).</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w:t>
      </w:r>
    </w:p>
    <w:p>
      <w:pPr>
        <w:spacing w:after="0" w:line="18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$100,000,000.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6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w:t>
      </w:r>
    </w:p>
    <w:p>
      <w:pPr>
        <w:spacing w:after="0" w:line="14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any real property with a Fair Market Value, as reasonably determined by the Borrower in good faith, greater than or equal to $30,000,000.</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Immaterial Subsidiaries, taken together, had as of the last day of the fiscal quarter of the Borrower’s most recently ended net revenues or total assets in excess of 10.0 %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may re-designate Material Subsidiaries as Immaterial Subsidiaries so long as the Borrower is in compliance with the foregoing.</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2.16.</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21" w:right="339" w:bottom="1440" w:gutter="0" w:footer="0" w:header="0"/>
        </w:sectPr>
      </w:pPr>
    </w:p>
    <w:bookmarkStart w:id="67" w:name="page68"/>
    <w:bookmarkEnd w:id="67"/>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Model</w:t>
      </w:r>
      <w:r>
        <w:rPr>
          <w:rFonts w:ascii="Arial" w:cs="Arial" w:eastAsia="Arial" w:hAnsi="Arial"/>
          <w:sz w:val="18"/>
          <w:szCs w:val="18"/>
          <w:color w:val="auto"/>
        </w:rPr>
        <w:t>” means that certain financial model delivered by the Borrower to the First Lien Administrative Agent on November 7, 2019 (together with any updates or modifications thereto reasonably agreed between the Borrower and the First Lien Administrative Agent).</w:t>
      </w:r>
    </w:p>
    <w:p>
      <w:pPr>
        <w:spacing w:after="0" w:line="18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xml:space="preserve"> ”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19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each parcel of Material Real Property with respect to which a Mortgage is granted pursuant to the Collateral and Guarantee Requirement, Section 5.11, Section 5.12 or Section 5.14 (if any).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1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w:t>
      </w:r>
    </w:p>
    <w:p>
      <w:pPr>
        <w:spacing w:after="0" w:line="2" w:lineRule="exact"/>
        <w:rPr>
          <w:sz w:val="20"/>
          <w:szCs w:val="20"/>
          <w:color w:val="auto"/>
        </w:rPr>
      </w:pPr>
    </w:p>
    <w:p>
      <w:pPr>
        <w:jc w:val="both"/>
        <w:ind w:firstLine="8"/>
        <w:spacing w:after="0" w:line="272" w:lineRule="auto"/>
        <w:tabs>
          <w:tab w:leader="none" w:pos="29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w:t>
      </w:r>
    </w:p>
    <w:p>
      <w:pPr>
        <w:spacing w:after="0" w:line="2" w:lineRule="exact"/>
        <w:rPr>
          <w:rFonts w:ascii="Arial" w:cs="Arial" w:eastAsia="Arial" w:hAnsi="Arial"/>
          <w:sz w:val="16"/>
          <w:szCs w:val="16"/>
          <w:color w:val="auto"/>
        </w:rPr>
      </w:pPr>
    </w:p>
    <w:p>
      <w:pPr>
        <w:jc w:val="both"/>
        <w:ind w:firstLine="8"/>
        <w:spacing w:after="0" w:line="279" w:lineRule="auto"/>
        <w:tabs>
          <w:tab w:leader="none" w:pos="25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7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Project</w:t>
      </w:r>
      <w:r>
        <w:rPr>
          <w:rFonts w:ascii="Arial" w:cs="Arial" w:eastAsia="Arial" w:hAnsi="Arial"/>
          <w:sz w:val="18"/>
          <w:szCs w:val="18"/>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Short Lender</w:t>
      </w:r>
      <w:r>
        <w:rPr>
          <w:rFonts w:ascii="Arial" w:cs="Arial" w:eastAsia="Arial" w:hAnsi="Arial"/>
          <w:sz w:val="18"/>
          <w:szCs w:val="18"/>
          <w:color w:val="auto"/>
        </w:rPr>
        <w:t>” has the meaning assigned to such term in Section 9.02(h).</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has the meaning assigned to such term in Section 2.24(c).</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Charges</w:t>
      </w:r>
      <w:r>
        <w:rPr>
          <w:rFonts w:ascii="Arial" w:cs="Arial" w:eastAsia="Arial" w:hAnsi="Arial"/>
          <w:sz w:val="18"/>
          <w:szCs w:val="18"/>
          <w:color w:val="auto"/>
        </w:rPr>
        <w:t>” means (a) any impairment charge or asset write-off or write-down related to intangible assets (including goodwill), long-lived assets, and Investments in debt and equity securities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21"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7"/>
          <w:szCs w:val="17"/>
          <w:color w:val="auto"/>
        </w:rPr>
        <w:t>GAAP, (b) all losses from Investments recorded using the equity method, (c) 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8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Non-Wholly Owned Subsidiary</w:t>
      </w:r>
      <w:r>
        <w:rPr>
          <w:rFonts w:ascii="Arial" w:cs="Arial" w:eastAsia="Arial" w:hAnsi="Arial"/>
          <w:sz w:val="18"/>
          <w:szCs w:val="18"/>
          <w:color w:val="auto"/>
        </w:rPr>
        <w:t>” of any Person means any subsidiary of such Person other than a Wholly Owned Subsidiary.</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means, with reference to the Available Amount or the Available Equity Amount, as applicable, that such amount was not previously applied pursuant to Sections 6.04(m), 6.07(a)(viii) and 6.07(b)(iv).</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First Lien Administrative Agent from a federal funds broker of recognized standing selected by it; provided, further, that if any of the aforesaid rates as so determined would be less than 0%, then such rate shall be deemed to be 0% for purposes of this Agreement.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specified in Section 3.17(b).</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Amount</w:t>
      </w:r>
      <w:r>
        <w:rPr>
          <w:rFonts w:ascii="Arial" w:cs="Arial" w:eastAsia="Arial" w:hAnsi="Arial"/>
          <w:sz w:val="18"/>
          <w:szCs w:val="18"/>
          <w:color w:val="auto"/>
        </w:rPr>
        <w:t>” has the meaning assigned to such term in Section 2.11(a)(ii)(D)(1).</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Discount</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Commitments</w:t>
      </w:r>
      <w:r>
        <w:rPr>
          <w:rFonts w:ascii="Arial" w:cs="Arial" w:eastAsia="Arial" w:hAnsi="Arial"/>
          <w:sz w:val="18"/>
          <w:szCs w:val="18"/>
          <w:color w:val="auto"/>
        </w:rPr>
        <w:t>” means one or more Classes of term loan commitments hereunder that result from a Refinancing Amendment or a Loan Modification Agreement.</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Loans</w:t>
      </w:r>
      <w:r>
        <w:rPr>
          <w:rFonts w:ascii="Arial" w:cs="Arial" w:eastAsia="Arial" w:hAnsi="Arial"/>
          <w:sz w:val="18"/>
          <w:szCs w:val="18"/>
          <w:color w:val="auto"/>
        </w:rPr>
        <w:t>” means one or more Classes of Term Loans that result from a Refinancing Amendment or a Loan Modification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69" w:name="page70"/>
    <w:bookmarkEnd w:id="69"/>
    <w:p>
      <w:pPr>
        <w:jc w:val="both"/>
        <w:ind w:firstLine="1296"/>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Commitments hereunder or extended Revolving Commitments that result from a Refinancing Amendment or a Loan Modification Agreement.</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one or more classes of Revolving Loans made pursuant to any Other Revolving Commitment or a Loan Modification Agreement.</w:t>
      </w:r>
    </w:p>
    <w:p>
      <w:pPr>
        <w:spacing w:after="0" w:line="18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w:t>
      </w:r>
      <w:r>
        <w:rPr>
          <w:rFonts w:ascii="Arial" w:cs="Arial" w:eastAsia="Arial" w:hAnsi="Arial"/>
          <w:sz w:val="18"/>
          <w:szCs w:val="18"/>
          <w:color w:val="FF0000"/>
          <w:strike w:val="1"/>
        </w:rPr>
        <w:t>E</w:t>
      </w:r>
      <w:r>
        <w:rPr>
          <w:rFonts w:ascii="Arial" w:cs="Arial" w:eastAsia="Arial" w:hAnsi="Arial"/>
          <w:sz w:val="18"/>
          <w:szCs w:val="18"/>
          <w:u w:val="single" w:color="auto"/>
          <w:color w:val="0000FF"/>
        </w:rPr>
        <w:t>e</w:t>
      </w:r>
      <w:r>
        <w:rPr>
          <w:rFonts w:ascii="Arial" w:cs="Arial" w:eastAsia="Arial" w:hAnsi="Arial"/>
          <w:sz w:val="18"/>
          <w:szCs w:val="18"/>
          <w:color w:val="auto"/>
        </w:rPr>
        <w:t xml:space="preserve">urodollar </w:t>
      </w:r>
      <w:r>
        <w:rPr>
          <w:rFonts w:ascii="Arial" w:cs="Arial" w:eastAsia="Arial" w:hAnsi="Arial"/>
          <w:sz w:val="18"/>
          <w:szCs w:val="18"/>
          <w:color w:val="FF0000"/>
          <w:strike w:val="1"/>
        </w:rPr>
        <w:t>borrowings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transactions denominated in Dollars</w:t>
      </w:r>
      <w:r>
        <w:rPr>
          <w:rFonts w:ascii="Arial" w:cs="Arial" w:eastAsia="Arial" w:hAnsi="Arial"/>
          <w:sz w:val="18"/>
          <w:szCs w:val="18"/>
          <w:color w:val="FF0000"/>
        </w:rPr>
        <w:t xml:space="preserve"> </w:t>
      </w:r>
      <w:r>
        <w:rPr>
          <w:rFonts w:ascii="Arial" w:cs="Arial" w:eastAsia="Arial" w:hAnsi="Arial"/>
          <w:sz w:val="18"/>
          <w:szCs w:val="18"/>
          <w:color w:val="000000"/>
        </w:rPr>
        <w:t>by U.S.-managed banking offices of depository institutions, as such composite rate shall be determined by</w:t>
      </w:r>
      <w:r>
        <w:rPr>
          <w:rFonts w:ascii="Arial" w:cs="Arial" w:eastAsia="Arial" w:hAnsi="Arial"/>
          <w:sz w:val="18"/>
          <w:szCs w:val="18"/>
          <w:color w:val="FF0000"/>
        </w:rPr>
        <w:t xml:space="preserve"> </w:t>
      </w:r>
      <w:r>
        <w:rPr>
          <w:rFonts w:ascii="Arial" w:cs="Arial" w:eastAsia="Arial" w:hAnsi="Arial"/>
          <w:sz w:val="18"/>
          <w:szCs w:val="18"/>
          <w:color w:val="000000"/>
        </w:rPr>
        <w:t>the Federal Reserve Bank of New York as set forth on the NYFRB’s Website from time to time, and published on the next succeeding Business Day by the Federal Reserve Bank of New York as an overnight bank funding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9.04(c)(i).</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has the meaning assigned to such term in Section 2.11(a)(ii)(C)(2).</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certificate substantially in the form of Exhibit C.</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21" w:right="339" w:bottom="1440" w:gutter="0" w:footer="0" w:header="0"/>
        </w:sectPr>
      </w:pPr>
    </w:p>
    <w:bookmarkStart w:id="70" w:name="page71"/>
    <w:bookmarkEnd w:id="70"/>
    <w:p>
      <w:pPr>
        <w:jc w:val="both"/>
        <w:ind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Permitted Amendment</w:t>
      </w:r>
      <w:r>
        <w:rPr>
          <w:rFonts w:ascii="Arial" w:cs="Arial" w:eastAsia="Arial" w:hAnsi="Arial"/>
          <w:sz w:val="16"/>
          <w:szCs w:val="16"/>
          <w:color w:val="auto"/>
        </w:rPr>
        <w:t>”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w:t>
      </w:r>
    </w:p>
    <w:p>
      <w:pPr>
        <w:spacing w:after="0" w:line="6" w:lineRule="exact"/>
        <w:rPr>
          <w:sz w:val="20"/>
          <w:szCs w:val="20"/>
          <w:color w:val="auto"/>
        </w:rPr>
      </w:pPr>
    </w:p>
    <w:p>
      <w:pPr>
        <w:ind w:firstLine="8"/>
        <w:spacing w:after="0" w:line="305" w:lineRule="auto"/>
        <w:tabs>
          <w:tab w:leader="none" w:pos="2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4"/>
        <w:spacing w:after="0" w:line="249" w:lineRule="auto"/>
        <w:tabs>
          <w:tab w:leader="none" w:pos="17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194" w:lineRule="exact"/>
        <w:rPr>
          <w:rFonts w:ascii="Arial" w:cs="Arial" w:eastAsia="Arial" w:hAnsi="Arial"/>
          <w:sz w:val="18"/>
          <w:szCs w:val="18"/>
          <w:color w:val="auto"/>
        </w:rPr>
      </w:pPr>
    </w:p>
    <w:p>
      <w:pPr>
        <w:jc w:val="both"/>
        <w:ind w:left="660" w:firstLine="644"/>
        <w:spacing w:after="0" w:line="246" w:lineRule="auto"/>
        <w:tabs>
          <w:tab w:leader="none" w:pos="1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185" w:lineRule="exact"/>
        <w:rPr>
          <w:rFonts w:ascii="Arial" w:cs="Arial" w:eastAsia="Arial" w:hAnsi="Arial"/>
          <w:sz w:val="18"/>
          <w:szCs w:val="18"/>
          <w:color w:val="auto"/>
        </w:rPr>
      </w:pPr>
    </w:p>
    <w:p>
      <w:pPr>
        <w:jc w:val="both"/>
        <w:ind w:left="660" w:firstLine="644"/>
        <w:spacing w:after="0" w:line="267" w:lineRule="auto"/>
        <w:tabs>
          <w:tab w:leader="none" w:pos="1744" w:val="left"/>
        </w:tabs>
        <w:numPr>
          <w:ilvl w:val="0"/>
          <w:numId w:val="66"/>
        </w:numPr>
        <w:rPr>
          <w:rFonts w:ascii="Arial" w:cs="Arial" w:eastAsia="Arial" w:hAnsi="Arial"/>
          <w:sz w:val="17"/>
          <w:szCs w:val="17"/>
          <w:color w:val="auto"/>
        </w:rPr>
      </w:pPr>
      <w:r>
        <w:rPr>
          <w:rFonts w:ascii="Arial" w:cs="Arial" w:eastAsia="Arial" w:hAnsi="Arial"/>
          <w:sz w:val="17"/>
          <w:szCs w:val="17"/>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spacing w:after="0" w:line="181" w:lineRule="exact"/>
        <w:rPr>
          <w:rFonts w:ascii="Arial" w:cs="Arial" w:eastAsia="Arial" w:hAnsi="Arial"/>
          <w:sz w:val="17"/>
          <w:szCs w:val="17"/>
          <w:color w:val="auto"/>
        </w:rPr>
      </w:pPr>
    </w:p>
    <w:p>
      <w:pPr>
        <w:jc w:val="both"/>
        <w:ind w:left="660" w:firstLine="644"/>
        <w:spacing w:after="0" w:line="267" w:lineRule="auto"/>
        <w:tabs>
          <w:tab w:leader="none" w:pos="1769" w:val="left"/>
        </w:tabs>
        <w:numPr>
          <w:ilvl w:val="0"/>
          <w:numId w:val="66"/>
        </w:numPr>
        <w:rPr>
          <w:rFonts w:ascii="Arial" w:cs="Arial" w:eastAsia="Arial" w:hAnsi="Arial"/>
          <w:sz w:val="17"/>
          <w:szCs w:val="17"/>
          <w:color w:val="auto"/>
        </w:rPr>
      </w:pPr>
      <w:r>
        <w:rPr>
          <w:rFonts w:ascii="Arial" w:cs="Arial" w:eastAsia="Arial" w:hAnsi="Arial"/>
          <w:sz w:val="17"/>
          <w:szCs w:val="17"/>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168" w:lineRule="exact"/>
        <w:rPr>
          <w:rFonts w:ascii="Arial" w:cs="Arial" w:eastAsia="Arial" w:hAnsi="Arial"/>
          <w:sz w:val="17"/>
          <w:szCs w:val="17"/>
          <w:color w:val="auto"/>
        </w:rPr>
      </w:pPr>
    </w:p>
    <w:p>
      <w:pPr>
        <w:jc w:val="both"/>
        <w:ind w:left="660" w:firstLine="644"/>
        <w:spacing w:after="0" w:line="303" w:lineRule="auto"/>
        <w:tabs>
          <w:tab w:leader="none" w:pos="1846" w:val="left"/>
        </w:tabs>
        <w:numPr>
          <w:ilvl w:val="0"/>
          <w:numId w:val="66"/>
        </w:numPr>
        <w:rPr>
          <w:rFonts w:ascii="Arial" w:cs="Arial" w:eastAsia="Arial" w:hAnsi="Arial"/>
          <w:sz w:val="16"/>
          <w:szCs w:val="16"/>
          <w:color w:val="auto"/>
        </w:rPr>
      </w:pPr>
      <w:r>
        <w:rPr>
          <w:rFonts w:ascii="Arial" w:cs="Arial" w:eastAsia="Arial" w:hAnsi="Arial"/>
          <w:sz w:val="16"/>
          <w:szCs w:val="16"/>
          <w:color w:val="auto"/>
        </w:rPr>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21" w:right="339" w:bottom="1440" w:gutter="0" w:footer="0" w:header="0"/>
        </w:sectPr>
      </w:pPr>
    </w:p>
    <w:bookmarkStart w:id="71" w:name="page72"/>
    <w:bookmarkEnd w:id="71"/>
    <w:p>
      <w:pPr>
        <w:jc w:val="both"/>
        <w:spacing w:after="0" w:line="256" w:lineRule="auto"/>
        <w:rPr>
          <w:sz w:val="20"/>
          <w:szCs w:val="20"/>
          <w:color w:val="auto"/>
        </w:rPr>
      </w:pPr>
      <w:r>
        <w:rPr>
          <w:rFonts w:ascii="Arial" w:cs="Arial" w:eastAsia="Arial" w:hAnsi="Arial"/>
          <w:sz w:val="18"/>
          <w:szCs w:val="18"/>
          <w:color w:val="auto"/>
        </w:rPr>
        <w:t>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spacing w:after="0" w:line="175" w:lineRule="exact"/>
        <w:rPr>
          <w:sz w:val="20"/>
          <w:szCs w:val="20"/>
          <w:color w:val="auto"/>
        </w:rPr>
      </w:pPr>
    </w:p>
    <w:p>
      <w:pPr>
        <w:ind w:left="1000" w:hanging="356"/>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securing, or otherwise arising from, judgments not constituting an Event of Default under Section 7.01(j);</w:t>
      </w:r>
    </w:p>
    <w:p>
      <w:pPr>
        <w:spacing w:after="0" w:line="225" w:lineRule="exact"/>
        <w:rPr>
          <w:rFonts w:ascii="Arial" w:cs="Arial" w:eastAsia="Arial" w:hAnsi="Arial"/>
          <w:sz w:val="18"/>
          <w:szCs w:val="18"/>
          <w:color w:val="auto"/>
        </w:rPr>
      </w:pPr>
    </w:p>
    <w:p>
      <w:pPr>
        <w:jc w:val="both"/>
        <w:ind w:firstLine="644"/>
        <w:spacing w:after="0" w:line="290" w:lineRule="auto"/>
        <w:tabs>
          <w:tab w:leader="none" w:pos="1064"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 secures only the obligations of the Borrower or such Subsidiaries in respect of such letter of credit to the extent such obligations are permitted by Section 6.01;</w:t>
      </w:r>
    </w:p>
    <w:p>
      <w:pPr>
        <w:spacing w:after="0" w:line="163" w:lineRule="exact"/>
        <w:rPr>
          <w:rFonts w:ascii="Arial" w:cs="Arial" w:eastAsia="Arial" w:hAnsi="Arial"/>
          <w:sz w:val="16"/>
          <w:szCs w:val="16"/>
          <w:color w:val="auto"/>
        </w:rPr>
      </w:pPr>
    </w:p>
    <w:p>
      <w:pPr>
        <w:ind w:firstLine="644"/>
        <w:spacing w:after="0" w:line="261" w:lineRule="auto"/>
        <w:tabs>
          <w:tab w:leader="none" w:pos="10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similar filings made in respect of operating leases entered into by the Borrower or any of its Subsidiaries;</w:t>
      </w:r>
    </w:p>
    <w:p>
      <w:pPr>
        <w:spacing w:after="0" w:line="184" w:lineRule="exact"/>
        <w:rPr>
          <w:rFonts w:ascii="Arial" w:cs="Arial" w:eastAsia="Arial" w:hAnsi="Arial"/>
          <w:sz w:val="18"/>
          <w:szCs w:val="18"/>
          <w:color w:val="auto"/>
        </w:rPr>
      </w:pPr>
    </w:p>
    <w:p>
      <w:pPr>
        <w:ind w:firstLine="644"/>
        <w:spacing w:after="0" w:line="261" w:lineRule="auto"/>
        <w:tabs>
          <w:tab w:leader="none" w:pos="10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70" w:lineRule="exact"/>
        <w:rPr>
          <w:rFonts w:ascii="Arial" w:cs="Arial" w:eastAsia="Arial" w:hAnsi="Arial"/>
          <w:sz w:val="18"/>
          <w:szCs w:val="18"/>
          <w:color w:val="auto"/>
        </w:rPr>
      </w:pPr>
    </w:p>
    <w:p>
      <w:pPr>
        <w:ind w:firstLine="644"/>
        <w:spacing w:after="0" w:line="277"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156" w:lineRule="exact"/>
        <w:rPr>
          <w:rFonts w:ascii="Arial" w:cs="Arial" w:eastAsia="Arial" w:hAnsi="Arial"/>
          <w:sz w:val="18"/>
          <w:szCs w:val="18"/>
          <w:color w:val="auto"/>
        </w:rPr>
      </w:pPr>
    </w:p>
    <w:p>
      <w:pPr>
        <w:jc w:val="both"/>
        <w:ind w:firstLine="644"/>
        <w:spacing w:after="0" w:line="27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171" w:lineRule="exact"/>
        <w:rPr>
          <w:rFonts w:ascii="Arial" w:cs="Arial" w:eastAsia="Arial" w:hAnsi="Arial"/>
          <w:sz w:val="17"/>
          <w:szCs w:val="17"/>
          <w:color w:val="auto"/>
        </w:rPr>
      </w:pPr>
    </w:p>
    <w:p>
      <w:pPr>
        <w:ind w:left="1000" w:hanging="356"/>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Liens arising from grants of non-exclusive licenses or sublicenses of Intellectual Property made in the ordinary course of business;</w:t>
      </w:r>
    </w:p>
    <w:p>
      <w:pPr>
        <w:spacing w:after="0" w:line="234" w:lineRule="exact"/>
        <w:rPr>
          <w:rFonts w:ascii="Arial" w:cs="Arial" w:eastAsia="Arial" w:hAnsi="Arial"/>
          <w:sz w:val="16"/>
          <w:szCs w:val="16"/>
          <w:color w:val="auto"/>
        </w:rPr>
      </w:pPr>
    </w:p>
    <w:p>
      <w:pPr>
        <w:jc w:val="both"/>
        <w:ind w:firstLine="644"/>
        <w:spacing w:after="0" w:line="278" w:lineRule="auto"/>
        <w:tabs>
          <w:tab w:leader="none" w:pos="1131" w:val="left"/>
        </w:tabs>
        <w:numPr>
          <w:ilvl w:val="0"/>
          <w:numId w:val="67"/>
        </w:numPr>
        <w:rPr>
          <w:rFonts w:ascii="Arial" w:cs="Arial" w:eastAsia="Arial" w:hAnsi="Arial"/>
          <w:sz w:val="17"/>
          <w:szCs w:val="17"/>
          <w:color w:val="auto"/>
        </w:rPr>
      </w:pPr>
      <w:r>
        <w:rPr>
          <w:rFonts w:ascii="Arial" w:cs="Arial" w:eastAsia="Arial" w:hAnsi="Arial"/>
          <w:sz w:val="17"/>
          <w:szCs w:val="17"/>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171" w:lineRule="exact"/>
        <w:rPr>
          <w:rFonts w:ascii="Arial" w:cs="Arial" w:eastAsia="Arial" w:hAnsi="Arial"/>
          <w:sz w:val="17"/>
          <w:szCs w:val="17"/>
          <w:color w:val="auto"/>
        </w:rPr>
      </w:pPr>
    </w:p>
    <w:p>
      <w:pPr>
        <w:ind w:firstLine="644"/>
        <w:spacing w:after="0" w:line="324" w:lineRule="auto"/>
        <w:tabs>
          <w:tab w:leader="none" w:pos="1137" w:val="left"/>
        </w:tabs>
        <w:numPr>
          <w:ilvl w:val="0"/>
          <w:numId w:val="67"/>
        </w:numPr>
        <w:rPr>
          <w:rFonts w:ascii="Arial" w:cs="Arial" w:eastAsia="Arial" w:hAnsi="Arial"/>
          <w:sz w:val="16"/>
          <w:szCs w:val="16"/>
          <w:color w:val="auto"/>
        </w:rPr>
      </w:pPr>
      <w:r>
        <w:rPr>
          <w:rFonts w:ascii="Arial" w:cs="Arial" w:eastAsia="Arial" w:hAnsi="Arial"/>
          <w:sz w:val="16"/>
          <w:szCs w:val="16"/>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151" w:lineRule="exact"/>
        <w:rPr>
          <w:rFonts w:ascii="Arial" w:cs="Arial" w:eastAsia="Arial" w:hAnsi="Arial"/>
          <w:sz w:val="16"/>
          <w:szCs w:val="16"/>
          <w:color w:val="auto"/>
        </w:rPr>
      </w:pPr>
    </w:p>
    <w:p>
      <w:pPr>
        <w:ind w:firstLine="644"/>
        <w:spacing w:after="0" w:line="277" w:lineRule="auto"/>
        <w:tabs>
          <w:tab w:leader="none" w:pos="10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to public utilities or to any Governmental Authority when required by the utility or other authority in connection with the supply of services or utilities to the Borrower and any Restricted Subsidiaries;</w:t>
      </w:r>
    </w:p>
    <w:p>
      <w:pPr>
        <w:spacing w:after="0" w:line="156" w:lineRule="exact"/>
        <w:rPr>
          <w:rFonts w:ascii="Arial" w:cs="Arial" w:eastAsia="Arial" w:hAnsi="Arial"/>
          <w:sz w:val="18"/>
          <w:szCs w:val="18"/>
          <w:color w:val="auto"/>
        </w:rPr>
      </w:pPr>
    </w:p>
    <w:p>
      <w:pPr>
        <w:jc w:val="both"/>
        <w:ind w:firstLine="644"/>
        <w:spacing w:after="0" w:line="254"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176" w:lineRule="exact"/>
        <w:rPr>
          <w:rFonts w:ascii="Arial" w:cs="Arial" w:eastAsia="Arial" w:hAnsi="Arial"/>
          <w:sz w:val="18"/>
          <w:szCs w:val="18"/>
          <w:color w:val="auto"/>
        </w:rPr>
      </w:pPr>
    </w:p>
    <w:p>
      <w:pPr>
        <w:ind w:left="1080" w:hanging="436"/>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leases of vehicles or equipment which are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80"/>
          </w:cols>
          <w:pgMar w:left="980" w:top="1421" w:right="339" w:bottom="1440" w:gutter="0" w:footer="0" w:header="0"/>
        </w:sectPr>
      </w:pPr>
    </w:p>
    <w:bookmarkStart w:id="72" w:name="page73"/>
    <w:bookmarkEnd w:id="72"/>
    <w:p>
      <w:pPr>
        <w:ind w:left="1660" w:hanging="356"/>
        <w:spacing w:after="0"/>
        <w:tabs>
          <w:tab w:leader="none" w:pos="1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securing Priority Obligations;</w:t>
      </w:r>
    </w:p>
    <w:p>
      <w:pPr>
        <w:spacing w:after="0" w:line="211" w:lineRule="exact"/>
        <w:rPr>
          <w:rFonts w:ascii="Arial" w:cs="Arial" w:eastAsia="Arial" w:hAnsi="Arial"/>
          <w:sz w:val="18"/>
          <w:szCs w:val="18"/>
          <w:color w:val="auto"/>
        </w:rPr>
      </w:pPr>
    </w:p>
    <w:p>
      <w:pPr>
        <w:ind w:left="660" w:firstLine="644"/>
        <w:spacing w:after="0" w:line="277" w:lineRule="auto"/>
        <w:tabs>
          <w:tab w:leader="none" w:pos="17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156" w:lineRule="exact"/>
        <w:rPr>
          <w:rFonts w:ascii="Arial" w:cs="Arial" w:eastAsia="Arial" w:hAnsi="Arial"/>
          <w:sz w:val="18"/>
          <w:szCs w:val="18"/>
          <w:color w:val="auto"/>
        </w:rPr>
      </w:pPr>
    </w:p>
    <w:p>
      <w:pPr>
        <w:ind w:left="660" w:firstLine="644"/>
        <w:spacing w:after="0" w:line="277" w:lineRule="auto"/>
        <w:tabs>
          <w:tab w:leader="none" w:pos="17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zoning, building or similar law or right reserved to or vested in any Governmental Authority to control or regulate the use of any real property; and</w:t>
      </w:r>
    </w:p>
    <w:p>
      <w:pPr>
        <w:spacing w:after="0" w:line="156" w:lineRule="exact"/>
        <w:rPr>
          <w:rFonts w:ascii="Arial" w:cs="Arial" w:eastAsia="Arial" w:hAnsi="Arial"/>
          <w:sz w:val="18"/>
          <w:szCs w:val="18"/>
          <w:color w:val="auto"/>
        </w:rPr>
      </w:pPr>
    </w:p>
    <w:p>
      <w:pPr>
        <w:ind w:left="660" w:firstLine="644"/>
        <w:spacing w:after="0" w:line="277" w:lineRule="auto"/>
        <w:tabs>
          <w:tab w:leader="none" w:pos="17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that do not (A) interfere in any material respect with the business of the Borrower and its Restricted Subsidiaries, taken as a whole, or (B) secure any Indebtedness;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188"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First Priority Refinancing Debt</w:t>
      </w:r>
      <w:r>
        <w:rPr>
          <w:rFonts w:ascii="Arial" w:cs="Arial" w:eastAsia="Arial" w:hAnsi="Arial"/>
          <w:sz w:val="16"/>
          <w:szCs w:val="16"/>
          <w:color w:val="auto"/>
        </w:rPr>
        <w:t xml:space="preserve">” means any secured Indebtedness incurred by the Borrower and/or any Subsidiary Loan Party (and any Guarantee thereof by Holdings or any Intermediate Parent) in the form of one or more series of senior secured notes or senior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Holders</w:t>
      </w:r>
      <w:r>
        <w:rPr>
          <w:rFonts w:ascii="Arial" w:cs="Arial" w:eastAsia="Arial" w:hAnsi="Arial"/>
          <w:sz w:val="17"/>
          <w:szCs w:val="17"/>
          <w:color w:val="auto"/>
        </w:rPr>
        <w:t>” means (a) the Sponsor, (b) the Management Investors, (c) any Person who is acting solely as an underwriter in 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 any of the following, to the extent owned by the Borrower or any Restricted Subsidiary:</w:t>
      </w:r>
    </w:p>
    <w:p>
      <w:pPr>
        <w:spacing w:after="0" w:line="212" w:lineRule="exact"/>
        <w:rPr>
          <w:sz w:val="20"/>
          <w:szCs w:val="20"/>
          <w:color w:val="auto"/>
        </w:rPr>
      </w:pPr>
    </w:p>
    <w:p>
      <w:pPr>
        <w:ind w:left="1740" w:hanging="436"/>
        <w:spacing w:after="0"/>
        <w:tabs>
          <w:tab w:leader="none" w:pos="1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Dollars, Euros, Canadian Dollars, pounds sterling or such other currencies held by it from time to time in the ordinary course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97" w:lineRule="exact"/>
        <w:rPr>
          <w:rFonts w:ascii="Arial" w:cs="Arial" w:eastAsia="Arial" w:hAnsi="Arial"/>
          <w:sz w:val="17"/>
          <w:szCs w:val="17"/>
          <w:color w:val="auto"/>
        </w:rPr>
      </w:pPr>
    </w:p>
    <w:p>
      <w:pPr>
        <w:jc w:val="both"/>
        <w:ind w:left="660" w:firstLine="644"/>
        <w:spacing w:after="0" w:line="249" w:lineRule="auto"/>
        <w:tabs>
          <w:tab w:leader="none" w:pos="16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government or any agency or instrumentality of (i) 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such country or such member nation of the European Union is pledged in support thereof;</w:t>
      </w:r>
    </w:p>
    <w:p>
      <w:pPr>
        <w:spacing w:after="0" w:line="195" w:lineRule="exact"/>
        <w:rPr>
          <w:rFonts w:ascii="Arial" w:cs="Arial" w:eastAsia="Arial" w:hAnsi="Arial"/>
          <w:sz w:val="18"/>
          <w:szCs w:val="18"/>
          <w:color w:val="auto"/>
        </w:rPr>
      </w:pPr>
    </w:p>
    <w:p>
      <w:pPr>
        <w:jc w:val="both"/>
        <w:ind w:left="660" w:firstLine="644"/>
        <w:spacing w:after="0" w:line="248" w:lineRule="auto"/>
        <w:tabs>
          <w:tab w:leader="none" w:pos="170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is a Lender or (ii) has combined capital and surplus of at least (x) $250,000,000 in the case of U.S. banks or (y) $100,000,000 in the case of non-U.S. banks, or the U.S. dollar equivalent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21" w:right="339" w:bottom="1440" w:gutter="0" w:footer="0" w:header="0"/>
        </w:sectPr>
      </w:pPr>
    </w:p>
    <w:bookmarkStart w:id="73" w:name="page74"/>
    <w:bookmarkEnd w:id="73"/>
    <w:p>
      <w:pPr>
        <w:spacing w:after="0" w:line="261" w:lineRule="auto"/>
        <w:rPr>
          <w:sz w:val="20"/>
          <w:szCs w:val="20"/>
          <w:color w:val="auto"/>
        </w:rPr>
      </w:pPr>
      <w:r>
        <w:rPr>
          <w:rFonts w:ascii="Arial" w:cs="Arial" w:eastAsia="Arial" w:hAnsi="Arial"/>
          <w:sz w:val="18"/>
          <w:szCs w:val="18"/>
          <w:color w:val="auto"/>
        </w:rPr>
        <w:t>such bank in the foregoing clauses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12 months from the date of acquisition thereof;</w:t>
      </w:r>
    </w:p>
    <w:p>
      <w:pPr>
        <w:spacing w:after="0" w:line="184" w:lineRule="exact"/>
        <w:rPr>
          <w:sz w:val="20"/>
          <w:szCs w:val="20"/>
          <w:color w:val="auto"/>
        </w:rPr>
      </w:pPr>
    </w:p>
    <w:p>
      <w:pPr>
        <w:jc w:val="both"/>
        <w:ind w:firstLine="644"/>
        <w:spacing w:after="0" w:line="303" w:lineRule="auto"/>
        <w:tabs>
          <w:tab w:leader="none" w:pos="10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40" w:lineRule="exact"/>
        <w:rPr>
          <w:rFonts w:ascii="Arial" w:cs="Arial" w:eastAsia="Arial" w:hAnsi="Arial"/>
          <w:sz w:val="16"/>
          <w:szCs w:val="16"/>
          <w:color w:val="auto"/>
        </w:rPr>
      </w:pPr>
    </w:p>
    <w:p>
      <w:pPr>
        <w:jc w:val="both"/>
        <w:ind w:firstLine="644"/>
        <w:spacing w:after="0" w:line="247" w:lineRule="auto"/>
        <w:tabs>
          <w:tab w:leader="none" w:pos="10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182" w:lineRule="exact"/>
        <w:rPr>
          <w:rFonts w:ascii="Arial" w:cs="Arial" w:eastAsia="Arial" w:hAnsi="Arial"/>
          <w:sz w:val="18"/>
          <w:szCs w:val="18"/>
          <w:color w:val="auto"/>
        </w:rPr>
      </w:pPr>
    </w:p>
    <w:p>
      <w:pPr>
        <w:jc w:val="both"/>
        <w:ind w:firstLine="644"/>
        <w:spacing w:after="0" w:line="256" w:lineRule="auto"/>
        <w:tabs>
          <w:tab w:leader="none" w:pos="11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188" w:lineRule="exact"/>
        <w:rPr>
          <w:rFonts w:ascii="Arial" w:cs="Arial" w:eastAsia="Arial" w:hAnsi="Arial"/>
          <w:sz w:val="18"/>
          <w:szCs w:val="18"/>
          <w:color w:val="auto"/>
        </w:rPr>
      </w:pPr>
    </w:p>
    <w:p>
      <w:pPr>
        <w:jc w:val="both"/>
        <w:ind w:firstLine="644"/>
        <w:spacing w:after="0" w:line="249" w:lineRule="auto"/>
        <w:tabs>
          <w:tab w:leader="none" w:pos="11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194" w:lineRule="exact"/>
        <w:rPr>
          <w:rFonts w:ascii="Arial" w:cs="Arial" w:eastAsia="Arial" w:hAnsi="Arial"/>
          <w:sz w:val="18"/>
          <w:szCs w:val="18"/>
          <w:color w:val="auto"/>
        </w:rPr>
      </w:pPr>
    </w:p>
    <w:p>
      <w:pPr>
        <w:ind w:firstLine="644"/>
        <w:spacing w:after="0" w:line="261" w:lineRule="auto"/>
        <w:tabs>
          <w:tab w:leader="none" w:pos="10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184" w:lineRule="exact"/>
        <w:rPr>
          <w:rFonts w:ascii="Arial" w:cs="Arial" w:eastAsia="Arial" w:hAnsi="Arial"/>
          <w:sz w:val="18"/>
          <w:szCs w:val="18"/>
          <w:color w:val="auto"/>
        </w:rPr>
      </w:pPr>
    </w:p>
    <w:p>
      <w:pPr>
        <w:jc w:val="both"/>
        <w:ind w:firstLine="644"/>
        <w:spacing w:after="0" w:line="249" w:lineRule="auto"/>
        <w:tabs>
          <w:tab w:leader="none" w:pos="10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80" w:lineRule="exact"/>
        <w:rPr>
          <w:rFonts w:ascii="Arial" w:cs="Arial" w:eastAsia="Arial" w:hAnsi="Arial"/>
          <w:sz w:val="18"/>
          <w:szCs w:val="18"/>
          <w:color w:val="auto"/>
        </w:rPr>
      </w:pPr>
    </w:p>
    <w:p>
      <w:pPr>
        <w:jc w:val="both"/>
        <w:ind w:firstLine="644"/>
        <w:spacing w:after="0" w:line="254" w:lineRule="auto"/>
        <w:tabs>
          <w:tab w:leader="none" w:pos="1029"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176" w:lineRule="exact"/>
        <w:rPr>
          <w:rFonts w:ascii="Arial" w:cs="Arial" w:eastAsia="Arial" w:hAnsi="Arial"/>
          <w:sz w:val="18"/>
          <w:szCs w:val="18"/>
          <w:color w:val="auto"/>
        </w:rPr>
      </w:pPr>
    </w:p>
    <w:p>
      <w:pPr>
        <w:jc w:val="both"/>
        <w:ind w:firstLine="644"/>
        <w:spacing w:after="0" w:line="245" w:lineRule="auto"/>
        <w:tabs>
          <w:tab w:leader="none" w:pos="10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80"/>
          </w:cols>
          <w:pgMar w:left="980" w:top="1421" w:right="339" w:bottom="1440" w:gutter="0" w:footer="0" w:header="0"/>
        </w:sectPr>
      </w:pPr>
    </w:p>
    <w:bookmarkStart w:id="74" w:name="page75"/>
    <w:bookmarkEnd w:id="74"/>
    <w:p>
      <w:pPr>
        <w:ind w:left="660"/>
        <w:spacing w:after="0" w:line="291" w:lineRule="auto"/>
        <w:rPr>
          <w:sz w:val="20"/>
          <w:szCs w:val="20"/>
          <w:color w:val="auto"/>
        </w:rPr>
      </w:pPr>
      <w:r>
        <w:rPr>
          <w:rFonts w:ascii="Arial" w:cs="Arial" w:eastAsia="Arial" w:hAnsi="Arial"/>
          <w:sz w:val="17"/>
          <w:szCs w:val="17"/>
          <w:color w:val="auto"/>
        </w:rPr>
        <w:t>equivalent thereof (any such bank being an “</w:t>
      </w:r>
      <w:r>
        <w:rPr>
          <w:rFonts w:ascii="Arial" w:cs="Arial" w:eastAsia="Arial" w:hAnsi="Arial"/>
          <w:sz w:val="17"/>
          <w:szCs w:val="17"/>
          <w:u w:val="single" w:color="auto"/>
          <w:color w:val="auto"/>
        </w:rPr>
        <w:t>Approved Foreign Bank</w:t>
      </w:r>
      <w:r>
        <w:rPr>
          <w:rFonts w:ascii="Arial" w:cs="Arial" w:eastAsia="Arial" w:hAnsi="Arial"/>
          <w:sz w:val="17"/>
          <w:szCs w:val="17"/>
          <w:color w:val="auto"/>
        </w:rPr>
        <w:t>”), and in each case with maturities of not more than 24 months from the date of acquisition and (iii) the equivalent of demand deposit accounts which are maintained with an Approved Foreign Bank; and</w:t>
      </w:r>
    </w:p>
    <w:p>
      <w:pPr>
        <w:spacing w:after="0" w:line="160" w:lineRule="exact"/>
        <w:rPr>
          <w:sz w:val="20"/>
          <w:szCs w:val="20"/>
          <w:color w:val="auto"/>
        </w:rPr>
      </w:pPr>
    </w:p>
    <w:p>
      <w:pPr>
        <w:ind w:left="1660" w:hanging="356"/>
        <w:spacing w:after="0"/>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investment funds investing at least 90% of their assets in securities of the types described in clauses (a) through (k) above.</w:t>
      </w:r>
    </w:p>
    <w:p>
      <w:pPr>
        <w:spacing w:after="0" w:line="22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to the First Lien Loan Document Obligations, Indebtedness resulting from such modification, refinancing, refunding, renewal or extension is subordinated in right of payment to the First Lien Loan Document Obligations on terms at least as favorable to the Lenders as those contained in the documentation governing the Indebtedness being modified, refinanced, refunded, renewed or extended, (e) if the Indebtedness being modified, refinanced, refunded, renewed or extended is permitted pursuant to Section 6.01(a)(xxi) or (a)(xxii), such Indebtedness complies with the 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(except for covenants or other provisions applicable to periods after the Latest Maturity Date at the time such Indebtedness is incurred) (together with, at the election of the Borrower,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corresponding Loans remaining outstanding after the issuance or incurrence of such Permitted Refinancing or (B) only applicable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21" w:right="339" w:bottom="1440" w:gutter="0" w:footer="0" w:header="0"/>
        </w:sectPr>
      </w:pPr>
    </w:p>
    <w:bookmarkStart w:id="75" w:name="page76"/>
    <w:bookmarkEnd w:id="75"/>
    <w:p>
      <w:pPr>
        <w:jc w:val="both"/>
        <w:spacing w:after="0" w:line="283" w:lineRule="auto"/>
        <w:rPr>
          <w:sz w:val="20"/>
          <w:szCs w:val="20"/>
          <w:color w:val="auto"/>
        </w:rPr>
      </w:pPr>
      <w:r>
        <w:rPr>
          <w:rFonts w:ascii="Arial" w:cs="Arial" w:eastAsia="Arial" w:hAnsi="Arial"/>
          <w:sz w:val="16"/>
          <w:szCs w:val="16"/>
          <w:color w:val="auto"/>
        </w:rPr>
        <w:t xml:space="preserve">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excess includes successive Permitted Refinancings of the same Indebtedness.</w:t>
      </w:r>
    </w:p>
    <w:p>
      <w:pPr>
        <w:spacing w:after="0" w:line="17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Second Priority Debt</w:t>
      </w:r>
      <w:r>
        <w:rPr>
          <w:rFonts w:ascii="Arial" w:cs="Arial" w:eastAsia="Arial" w:hAnsi="Arial"/>
          <w:sz w:val="18"/>
          <w:szCs w:val="18"/>
          <w:color w:val="auto"/>
        </w:rPr>
        <w:t>” means (a) the Second Lien Facilities and (b) any Second Lien Incremental Equivalent Debt, in each case, permitted to be incurred pursuant to the terms of the Second Lien Indenture as in effect on the Effective Date (as it may be amended in accordance with the express terms of the First/Second Lien Intercreditor Agreement) and any Permitted Refinancing thereof. For the avoidance of doubt, the aggregate principal amount of Second Lien Facilities on the Effective Date shall not exceed $770,000,000.</w:t>
      </w:r>
    </w:p>
    <w:p>
      <w:pPr>
        <w:spacing w:after="0" w:line="19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Second Priority Refinancing Debt</w:t>
      </w:r>
      <w:r>
        <w:rPr>
          <w:rFonts w:ascii="Arial" w:cs="Arial" w:eastAsia="Arial" w:hAnsi="Arial"/>
          <w:sz w:val="16"/>
          <w:szCs w:val="16"/>
          <w:color w:val="auto"/>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the Collateral on a junior lien, subordinated basis to the Secured Obligations and the obligations in respect of any Permitted First Priority Refinancing Debt, (ii) such Indebtedness constitutes Credit Agreement Refinancing Indebtedness,</w:t>
      </w:r>
    </w:p>
    <w:p>
      <w:pPr>
        <w:spacing w:after="0" w:line="2" w:lineRule="exact"/>
        <w:rPr>
          <w:sz w:val="20"/>
          <w:szCs w:val="20"/>
          <w:color w:val="auto"/>
        </w:rPr>
      </w:pPr>
    </w:p>
    <w:p>
      <w:pPr>
        <w:jc w:val="both"/>
        <w:ind w:firstLine="8"/>
        <w:spacing w:after="0" w:line="244" w:lineRule="auto"/>
        <w:tabs>
          <w:tab w:leader="none" w:pos="3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 (vi) 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19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Refinancing Debt</w:t>
      </w:r>
      <w:r>
        <w:rPr>
          <w:rFonts w:ascii="Arial" w:cs="Arial" w:eastAsia="Arial" w:hAnsi="Arial"/>
          <w:sz w:val="17"/>
          <w:szCs w:val="17"/>
          <w:color w:val="auto"/>
        </w:rPr>
        <w:t xml:space="preserve"> ” means any unsecured Indebtedness incurred by the Borrower and/or any Loan Party in the form of one or more series of senior unsecured notes or senior unsecured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w:t>
      </w:r>
    </w:p>
    <w:p>
      <w:pPr>
        <w:spacing w:after="0" w:line="18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84"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PIK Toggle Notes</w:t>
      </w:r>
      <w:r>
        <w:rPr>
          <w:rFonts w:ascii="Arial" w:cs="Arial" w:eastAsia="Arial" w:hAnsi="Arial"/>
          <w:sz w:val="16"/>
          <w:szCs w:val="16"/>
          <w:color w:val="auto"/>
        </w:rPr>
        <w:t>” means the $425,000,000 aggregate principal amount of 8.125% / 8.875% Senior PIK Toggle Notes due 2021 issued by Sotera Health Topco, Inc. (formerly Sterigenics-Nordion Topco, LLC) (“Topco”) pursuant to the indenture dated as of November 1, 2016, as supplemented by the first supplemental indenture dated as of November 24, 2017, between Topco and Wilmington Trust, National Association, as trustee.</w:t>
      </w:r>
    </w:p>
    <w:p>
      <w:pPr>
        <w:spacing w:after="0" w:line="14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has the meaning assigned to such term in Section 2.11(d)(v).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21" w:right="339" w:bottom="1440" w:gutter="0" w:footer="0" w:header="0"/>
        </w:sectPr>
      </w:pPr>
    </w:p>
    <w:bookmarkStart w:id="76" w:name="page77"/>
    <w:bookmarkEnd w:id="7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assigned to such term in Section 5.01.</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Post-Transaction Period</w:t>
      </w:r>
      <w:r>
        <w:rPr>
          <w:rFonts w:ascii="Arial" w:cs="Arial" w:eastAsia="Arial" w:hAnsi="Arial"/>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212" w:lineRule="exact"/>
        <w:rPr>
          <w:sz w:val="20"/>
          <w:szCs w:val="20"/>
          <w:color w:val="auto"/>
        </w:rPr>
      </w:pPr>
    </w:p>
    <w:p>
      <w:pPr>
        <w:jc w:val="both"/>
        <w:ind w:left="660" w:firstLine="644"/>
        <w:spacing w:after="0" w:line="303" w:lineRule="auto"/>
        <w:tabs>
          <w:tab w:leader="none" w:pos="18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non-ordinary course sale, transfer or other disposition of any property or asset of the Borrower or any of its Restricted Subsidiaries permitted by Section 6.05(k) other than dispositions resulting in aggregate Net Proceeds not exceeding (A) $25,000,000 in the case of any single transaction or series of related transactions and (B) $50,000,000 for all such transactions during any fiscal year of the Borrower; or</w:t>
      </w:r>
    </w:p>
    <w:p>
      <w:pPr>
        <w:spacing w:after="0" w:line="153" w:lineRule="exact"/>
        <w:rPr>
          <w:rFonts w:ascii="Arial" w:cs="Arial" w:eastAsia="Arial" w:hAnsi="Arial"/>
          <w:sz w:val="16"/>
          <w:szCs w:val="16"/>
          <w:color w:val="auto"/>
        </w:rPr>
      </w:pPr>
    </w:p>
    <w:p>
      <w:pPr>
        <w:jc w:val="both"/>
        <w:ind w:left="660" w:firstLine="644"/>
        <w:spacing w:after="0" w:line="278" w:lineRule="auto"/>
        <w:tabs>
          <w:tab w:leader="none" w:pos="17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spacing w:after="0" w:line="158"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per annum announced from time to time by JPMorgan (or any successor to JPMorgan in its capacity as First Lien Administrative Agent) as its prime commercial lending rate in effect at its principal office in New York City and notified to the Borrower. The Prime Rate is a reference rate and does not necessarily represent the lowest or best rate actually charged to any customer.</w:t>
      </w:r>
    </w:p>
    <w:p>
      <w:pPr>
        <w:spacing w:after="0" w:line="15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Obligation</w:t>
      </w:r>
      <w:r>
        <w:rPr>
          <w:rFonts w:ascii="Arial" w:cs="Arial" w:eastAsia="Arial" w:hAnsi="Arial"/>
          <w:sz w:val="18"/>
          <w:szCs w:val="18"/>
          <w:color w:val="auto"/>
        </w:rPr>
        <w:t xml:space="preserve">” means any obligation that is secured by a Lien on any Collateral in favor of a Governmental Authority, which Lien ranks or is capable of ranking prior to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Adjustment</w:t>
      </w:r>
      <w:r>
        <w:rPr>
          <w:rFonts w:ascii="Arial" w:cs="Arial" w:eastAsia="Arial" w:hAnsi="Arial"/>
          <w:sz w:val="16"/>
          <w:szCs w:val="16"/>
          <w:color w:val="auto"/>
        </w:rPr>
        <w:t xml:space="preserve">”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7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xml:space="preserve"> ”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w:t>
      </w:r>
    </w:p>
    <w:p>
      <w:pPr>
        <w:spacing w:after="0" w:line="4" w:lineRule="exact"/>
        <w:rPr>
          <w:sz w:val="20"/>
          <w:szCs w:val="20"/>
          <w:color w:val="auto"/>
        </w:rPr>
      </w:pPr>
    </w:p>
    <w:p>
      <w:pPr>
        <w:ind w:firstLine="8"/>
        <w:spacing w:after="0" w:line="245" w:lineRule="auto"/>
        <w:tabs>
          <w:tab w:leader="none" w:pos="2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income statement items (whether positive or negative) attributable to the property or Person subject to such Specified Transaction, (A) in the case of a Disposition of all or substantially all Equity Interests in any subsidiary of Holdings or any division,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21" w:right="339" w:bottom="1440" w:gutter="0" w:footer="0" w:header="0"/>
        </w:sectPr>
      </w:pPr>
    </w:p>
    <w:bookmarkStart w:id="77" w:name="page78"/>
    <w:bookmarkEnd w:id="77"/>
    <w:p>
      <w:pPr>
        <w:jc w:val="both"/>
        <w:spacing w:after="0" w:line="260" w:lineRule="auto"/>
        <w:rPr>
          <w:sz w:val="20"/>
          <w:szCs w:val="20"/>
          <w:color w:val="auto"/>
        </w:rPr>
      </w:pPr>
      <w:r>
        <w:rPr>
          <w:rFonts w:ascii="Arial" w:cs="Arial" w:eastAsia="Arial" w:hAnsi="Arial"/>
          <w:sz w:val="17"/>
          <w:szCs w:val="17"/>
          <w:color w:val="auto"/>
        </w:rPr>
        <w:t xml:space="preserve">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17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Disposal Adjustment</w:t>
      </w:r>
      <w:r>
        <w:rPr>
          <w:rFonts w:ascii="Arial" w:cs="Arial" w:eastAsia="Arial" w:hAnsi="Arial"/>
          <w:sz w:val="17"/>
          <w:szCs w:val="17"/>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Entity</w:t>
      </w:r>
      <w:r>
        <w:rPr>
          <w:rFonts w:ascii="Arial" w:cs="Arial" w:eastAsia="Arial" w:hAnsi="Arial"/>
          <w:sz w:val="18"/>
          <w:szCs w:val="18"/>
          <w:color w:val="auto"/>
        </w:rPr>
        <w:t>” has the meaning given to such term in the definition of “Acquired EBITDA.”</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PSP</w:t>
      </w:r>
      <w:r>
        <w:rPr>
          <w:rFonts w:ascii="Arial" w:cs="Arial" w:eastAsia="Arial" w:hAnsi="Arial"/>
          <w:sz w:val="18"/>
          <w:szCs w:val="18"/>
          <w:color w:val="auto"/>
        </w:rPr>
        <w:t>” means PSP Investments Credit USA LLC and any of its Affiliates who are from time to time a Lender hereunder.</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Company Costs</w:t>
      </w:r>
      <w:r>
        <w:rPr>
          <w:rFonts w:ascii="Arial" w:cs="Arial" w:eastAsia="Arial" w:hAnsi="Arial"/>
          <w:sz w:val="17"/>
          <w:szCs w:val="17"/>
          <w:color w:val="auto"/>
        </w:rPr>
        <w:t>” 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to such term in Section 5.01.</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Holdings or the Borrower other than Disqualified Equity Interests.</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Securitization Facility</w:t>
      </w:r>
      <w:r>
        <w:rPr>
          <w:rFonts w:ascii="Arial" w:cs="Arial" w:eastAsia="Arial" w:hAnsi="Arial"/>
          <w:sz w:val="17"/>
          <w:szCs w:val="17"/>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21" w:right="339" w:bottom="1440" w:gutter="0" w:footer="0" w:header="0"/>
        </w:sectPr>
      </w:pPr>
    </w:p>
    <w:bookmarkStart w:id="78" w:name="page79"/>
    <w:bookmarkEnd w:id="7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has the meaning assigned to such term in Section 2.11(a)(ii)(D)(3).</w:t>
      </w:r>
    </w:p>
    <w:p>
      <w:pPr>
        <w:spacing w:after="0" w:line="212"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RBC Letter of Credit Sublimit</w:t>
      </w:r>
      <w:r>
        <w:rPr>
          <w:rFonts w:ascii="Arial" w:cs="Arial" w:eastAsia="Arial" w:hAnsi="Arial"/>
          <w:sz w:val="17"/>
          <w:szCs w:val="17"/>
          <w:color w:val="auto"/>
        </w:rPr>
        <w:t>” means an amount equal to the amount listed on Schedule 2.01 as amended by Amendment No. 2. Letters of Credit issued pursuant to the RBC Letter of Credit Sublimit will be issued by Royal Bank of Canada in its capacity as an “Issuing Bank”.</w:t>
      </w:r>
    </w:p>
    <w:p>
      <w:pPr>
        <w:spacing w:after="0" w:line="13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(i</w:t>
      </w:r>
      <w:r>
        <w:rPr>
          <w:rFonts w:ascii="Arial" w:cs="Arial" w:eastAsia="Arial" w:hAnsi="Arial"/>
          <w:sz w:val="16"/>
          <w:szCs w:val="16"/>
          <w:color w:val="FF0000"/>
          <w:strike w:val="1"/>
        </w:rPr>
        <w:t>) if such Benchmark is the LIBO Rate, 11:00 a.m.</w:t>
      </w:r>
      <w:r>
        <w:rPr>
          <w:rFonts w:ascii="Arial" w:cs="Arial" w:eastAsia="Arial" w:hAnsi="Arial"/>
          <w:sz w:val="16"/>
          <w:szCs w:val="16"/>
          <w:color w:val="auto"/>
        </w:rPr>
        <w:t xml:space="preserve"> </w:t>
      </w:r>
      <w:r>
        <w:rPr>
          <w:rFonts w:ascii="Arial" w:cs="Arial" w:eastAsia="Arial" w:hAnsi="Arial"/>
          <w:sz w:val="16"/>
          <w:szCs w:val="16"/>
          <w:color w:val="FF0000"/>
          <w:strike w:val="1"/>
        </w:rPr>
        <w:t>(London time) on the day that is two London banking days preceding the date of such setting, (ii</w:t>
      </w:r>
      <w:r>
        <w:rPr>
          <w:rFonts w:ascii="Arial" w:cs="Arial" w:eastAsia="Arial" w:hAnsi="Arial"/>
          <w:sz w:val="16"/>
          <w:szCs w:val="16"/>
          <w:color w:val="000000"/>
        </w:rPr>
        <w:t>) if such Benchmark is SONIA, 11:00 a.m. (London time)</w:t>
      </w:r>
      <w:r>
        <w:rPr>
          <w:rFonts w:ascii="Arial" w:cs="Arial" w:eastAsia="Arial" w:hAnsi="Arial"/>
          <w:sz w:val="16"/>
          <w:szCs w:val="16"/>
          <w:color w:val="FF0000"/>
        </w:rPr>
        <w:t xml:space="preserve"> </w:t>
      </w:r>
      <w:r>
        <w:rPr>
          <w:rFonts w:ascii="Arial" w:cs="Arial" w:eastAsia="Arial" w:hAnsi="Arial"/>
          <w:sz w:val="16"/>
          <w:szCs w:val="16"/>
          <w:color w:val="000000"/>
        </w:rPr>
        <w:t>on the day that is four Business Days prior to such setting, (ii</w:t>
      </w:r>
      <w:r>
        <w:rPr>
          <w:rFonts w:ascii="Arial" w:cs="Arial" w:eastAsia="Arial" w:hAnsi="Arial"/>
          <w:sz w:val="16"/>
          <w:szCs w:val="16"/>
          <w:color w:val="FF0000"/>
          <w:strike w:val="1"/>
        </w:rPr>
        <w:t>i</w:t>
      </w:r>
      <w:r>
        <w:rPr>
          <w:rFonts w:ascii="Arial" w:cs="Arial" w:eastAsia="Arial" w:hAnsi="Arial"/>
          <w:sz w:val="16"/>
          <w:szCs w:val="16"/>
          <w:color w:val="000000"/>
        </w:rPr>
        <w:t>) if such Benchmark is the Term SOFR Rate, 5:00 a.m., Chicago time, on the day that is two</w:t>
      </w:r>
    </w:p>
    <w:p>
      <w:pPr>
        <w:jc w:val="both"/>
        <w:ind w:firstLine="8"/>
        <w:spacing w:after="0" w:line="247" w:lineRule="auto"/>
        <w:tabs>
          <w:tab w:leader="none" w:pos="2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U.S. Government Securities Business Days preceding the date of such setting, (</w:t>
      </w:r>
      <w:r>
        <w:rPr>
          <w:rFonts w:ascii="Arial" w:cs="Arial" w:eastAsia="Arial" w:hAnsi="Arial"/>
          <w:sz w:val="18"/>
          <w:szCs w:val="18"/>
          <w:color w:val="FF0000"/>
          <w:strike w:val="1"/>
        </w:rPr>
        <w:t>iv</w:t>
      </w:r>
      <w:r>
        <w:rPr>
          <w:rFonts w:ascii="Arial" w:cs="Arial" w:eastAsia="Arial" w:hAnsi="Arial"/>
          <w:sz w:val="18"/>
          <w:szCs w:val="18"/>
          <w:u w:val="single" w:color="auto"/>
          <w:color w:val="0000FF"/>
        </w:rPr>
        <w:t>iii</w:t>
      </w:r>
      <w:r>
        <w:rPr>
          <w:rFonts w:ascii="Arial" w:cs="Arial" w:eastAsia="Arial" w:hAnsi="Arial"/>
          <w:sz w:val="18"/>
          <w:szCs w:val="18"/>
          <w:color w:val="auto"/>
        </w:rPr>
        <w:t>) if such Benchmark is Daily Simple SOFR, then four (4) RFR Business Days prior to such setting and (</w:t>
      </w:r>
      <w:r>
        <w:rPr>
          <w:rFonts w:ascii="Arial" w:cs="Arial" w:eastAsia="Arial" w:hAnsi="Arial"/>
          <w:sz w:val="18"/>
          <w:szCs w:val="18"/>
          <w:color w:val="FF0000"/>
          <w:strike w:val="1"/>
        </w:rPr>
        <w:t>v</w:t>
      </w:r>
      <w:r>
        <w:rPr>
          <w:rFonts w:ascii="Arial" w:cs="Arial" w:eastAsia="Arial" w:hAnsi="Arial"/>
          <w:sz w:val="18"/>
          <w:szCs w:val="18"/>
          <w:u w:val="single" w:color="auto"/>
          <w:color w:val="0000FF"/>
        </w:rPr>
        <w:t>iv</w:t>
      </w:r>
      <w:r>
        <w:rPr>
          <w:rFonts w:ascii="Arial" w:cs="Arial" w:eastAsia="Arial" w:hAnsi="Arial"/>
          <w:sz w:val="18"/>
          <w:szCs w:val="18"/>
          <w:color w:val="auto"/>
        </w:rPr>
        <w:t xml:space="preserve">) if such Benchmark is none of the </w:t>
      </w:r>
      <w:r>
        <w:rPr>
          <w:rFonts w:ascii="Arial" w:cs="Arial" w:eastAsia="Arial" w:hAnsi="Arial"/>
          <w:sz w:val="18"/>
          <w:szCs w:val="18"/>
          <w:color w:val="FF0000"/>
          <w:strike w:val="1"/>
        </w:rPr>
        <w:t>LIBO Rate,</w:t>
      </w:r>
      <w:r>
        <w:rPr>
          <w:rFonts w:ascii="Arial" w:cs="Arial" w:eastAsia="Arial" w:hAnsi="Arial"/>
          <w:sz w:val="18"/>
          <w:szCs w:val="18"/>
          <w:color w:val="auto"/>
        </w:rPr>
        <w:t xml:space="preserve"> SONIA Rate, Term SOFR Rate, or Daily Simple SOFR, the time determined by the First Lien Administrative Agent in its reasonable discretion.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Debt</w:t>
      </w:r>
      <w:r>
        <w:rPr>
          <w:rFonts w:ascii="Arial" w:cs="Arial" w:eastAsia="Arial" w:hAnsi="Arial"/>
          <w:sz w:val="18"/>
          <w:szCs w:val="18"/>
          <w:color w:val="auto"/>
        </w:rPr>
        <w:t>” has the meaning assigned to such term in the definition of “Credit Agreement Refinancing Indebtedness.”</w:t>
      </w:r>
    </w:p>
    <w:p>
      <w:pPr>
        <w:spacing w:after="0" w:line="22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means (a) the refinancing of all indebtedness of the Borrower under the Credit Agreement dated as of May 15, 2015, as amended as of August 18, 2015, April 4, 2017, June 30, 2017, October 31, 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 (c) redemption of the Existing Notes; it being agreed that the delivery of customary duly executed payoff and release letters to the First Lien Administrative Agent shall be satisfactory evidence.</w:t>
      </w:r>
    </w:p>
    <w:p>
      <w:pPr>
        <w:spacing w:after="0" w:line="20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Amendment No. 1</w:t>
      </w:r>
      <w:r>
        <w:rPr>
          <w:rFonts w:ascii="Arial" w:cs="Arial" w:eastAsia="Arial" w:hAnsi="Arial"/>
          <w:sz w:val="17"/>
          <w:szCs w:val="17"/>
          <w:color w:val="auto"/>
        </w:rPr>
        <w:t>” means the Refinancing Amendment to First Lien Credit Agreement dated as of January 20, 2021.</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 No. 1 Effective Date</w:t>
      </w:r>
      <w:r>
        <w:rPr>
          <w:rFonts w:ascii="Arial" w:cs="Arial" w:eastAsia="Arial" w:hAnsi="Arial"/>
          <w:sz w:val="16"/>
          <w:szCs w:val="16"/>
          <w:color w:val="auto"/>
        </w:rPr>
        <w:t>” means January 20, 2021, the date of effectiveness of Refinancing Amendment No. 1.</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 No. 1 Term Loans</w:t>
      </w:r>
      <w:r>
        <w:rPr>
          <w:rFonts w:ascii="Arial" w:cs="Arial" w:eastAsia="Arial" w:hAnsi="Arial"/>
          <w:sz w:val="18"/>
          <w:szCs w:val="18"/>
          <w:color w:val="auto"/>
        </w:rPr>
        <w:t>” means the “Refinancing Loans” as defined in Refinancing Amendment No. 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9.04(b)(iv).</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Regulated Bank</w:t>
      </w:r>
      <w:r>
        <w:rPr>
          <w:rFonts w:ascii="Arial" w:cs="Arial" w:eastAsia="Arial" w:hAnsi="Arial"/>
          <w:sz w:val="17"/>
          <w:szCs w:val="17"/>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non-U.S. depository institution or any branch, agency or similar office thereof supervised by a bank regulatory authority in any jurisdiction.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2.05(f).</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Related Funds</w:t>
      </w:r>
      <w:r>
        <w:rPr>
          <w:rFonts w:ascii="Arial" w:cs="Arial" w:eastAsia="Arial" w:hAnsi="Arial"/>
          <w:sz w:val="18"/>
          <w:szCs w:val="18"/>
          <w:color w:val="auto"/>
        </w:rPr>
        <w:t>” means with respect to any Lender that is an Approved Fund, any other Approved Fund that is managed by the same investment advisor as such Lender or by an Affiliate of such investment advisor.</w:t>
      </w:r>
    </w:p>
    <w:p>
      <w:pPr>
        <w:spacing w:after="0" w:line="18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17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88"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5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Rate</w:t>
      </w:r>
      <w:r>
        <w:rPr>
          <w:rFonts w:ascii="Arial" w:cs="Arial" w:eastAsia="Arial" w:hAnsi="Arial"/>
          <w:sz w:val="16"/>
          <w:szCs w:val="16"/>
          <w:color w:val="auto"/>
        </w:rPr>
        <w:t xml:space="preserve">” means (i) with respect to any Term Benchmark Revolving Borrowing denominated in Dollars, the Adjusted Term SOFR Rate, (ii) with respect to any Term Benchmark Revolving Borrowing denominated in Euros, EURIBOR, (iii) with respect to any Term Benchmark Revolving Borrowing denominated in Canadian Dollars, the BA Rate, (iv) with respect to any RFR Revolving Borrowing denominated in Sterling, the Daily Simple SONIA and (v) with respect to any </w:t>
      </w:r>
      <w:r>
        <w:rPr>
          <w:rFonts w:ascii="Arial" w:cs="Arial" w:eastAsia="Arial" w:hAnsi="Arial"/>
          <w:sz w:val="16"/>
          <w:szCs w:val="16"/>
          <w:color w:val="FF0000"/>
          <w:strike w:val="1"/>
        </w:rPr>
        <w:t>Eurodollar Term</w:t>
      </w:r>
      <w:r>
        <w:rPr>
          <w:rFonts w:ascii="Arial" w:cs="Arial" w:eastAsia="Arial" w:hAnsi="Arial"/>
          <w:sz w:val="16"/>
          <w:szCs w:val="16"/>
          <w:u w:val="single" w:color="auto"/>
          <w:color w:val="0000FF"/>
        </w:rPr>
        <w:t>RFR</w:t>
      </w:r>
      <w:r>
        <w:rPr>
          <w:rFonts w:ascii="Arial" w:cs="Arial" w:eastAsia="Arial" w:hAnsi="Arial"/>
          <w:sz w:val="16"/>
          <w:szCs w:val="16"/>
          <w:color w:val="auto"/>
        </w:rPr>
        <w:t xml:space="preserve"> Borrowing denominated in Dollars, </w:t>
      </w:r>
      <w:r>
        <w:rPr>
          <w:rFonts w:ascii="Arial" w:cs="Arial" w:eastAsia="Arial" w:hAnsi="Arial"/>
          <w:sz w:val="16"/>
          <w:szCs w:val="16"/>
          <w:color w:val="FF0000"/>
          <w:strike w:val="1"/>
        </w:rPr>
        <w:t>the LIBO Rate</w:t>
      </w:r>
      <w:r>
        <w:rPr>
          <w:rFonts w:ascii="Arial" w:cs="Arial" w:eastAsia="Arial" w:hAnsi="Arial"/>
          <w:sz w:val="16"/>
          <w:szCs w:val="16"/>
          <w:u w:val="single" w:color="auto"/>
          <w:color w:val="0000FF"/>
        </w:rPr>
        <w:t>Adjusted Daily Simple SOFR</w:t>
      </w:r>
      <w:r>
        <w:rPr>
          <w:rFonts w:ascii="Arial" w:cs="Arial" w:eastAsia="Arial" w:hAnsi="Arial"/>
          <w:sz w:val="16"/>
          <w:szCs w:val="16"/>
          <w:color w:val="auto"/>
        </w:rPr>
        <w:t>.</w:t>
      </w:r>
    </w:p>
    <w:p>
      <w:pPr>
        <w:spacing w:after="0" w:line="14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Screen Rate</w:t>
      </w:r>
      <w:r>
        <w:rPr>
          <w:rFonts w:ascii="Arial" w:cs="Arial" w:eastAsia="Arial" w:hAnsi="Arial"/>
          <w:sz w:val="18"/>
          <w:szCs w:val="18"/>
          <w:color w:val="auto"/>
        </w:rPr>
        <w:t>” means (i) with respect to any Term Benchmark Revolving Borrowing denominated in Dollars, the Term SOFR Reference Rate, (ii) with respect to any Term Benchmark Revolving Borrowing denominated in Euros, the EURIBOR Screen Rate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(iii) with respect to any Term Benchmark Revolving Borrowing denominated in Canadian Dollars, the CDOR Screen Rate </w:t>
      </w:r>
      <w:r>
        <w:rPr>
          <w:rFonts w:ascii="Arial" w:cs="Arial" w:eastAsia="Arial" w:hAnsi="Arial"/>
          <w:sz w:val="18"/>
          <w:szCs w:val="18"/>
          <w:color w:val="FF0000"/>
        </w:rPr>
        <w:t>and (iv) with respect to any Eurodollar Term</w:t>
      </w:r>
      <w:r>
        <w:rPr>
          <w:rFonts w:ascii="Arial" w:cs="Arial" w:eastAsia="Arial" w:hAnsi="Arial"/>
          <w:sz w:val="18"/>
          <w:szCs w:val="18"/>
          <w:color w:val="auto"/>
        </w:rPr>
        <w:t xml:space="preserve"> </w:t>
      </w:r>
      <w:r>
        <w:rPr>
          <w:rFonts w:ascii="Arial" w:cs="Arial" w:eastAsia="Arial" w:hAnsi="Arial"/>
          <w:sz w:val="18"/>
          <w:szCs w:val="18"/>
          <w:color w:val="FF0000"/>
          <w:strike w:val="1"/>
        </w:rPr>
        <w:t>Borrowing denominated in Dollars, the LIBO Screen Rate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-210185</wp:posOffset>
            </wp:positionV>
            <wp:extent cx="2213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13610" cy="8255"/>
                    </a:xfrm>
                    <a:prstGeom prst="rect">
                      <a:avLst/>
                    </a:prstGeom>
                    <a:noFill/>
                  </pic:spPr>
                </pic:pic>
              </a:graphicData>
            </a:graphic>
          </wp:anchor>
        </w:drawing>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has the meaning assigned to such term in Section 8.06.</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Transaction</w:t>
      </w:r>
      <w:r>
        <w:rPr>
          <w:rFonts w:ascii="Arial" w:cs="Arial" w:eastAsia="Arial" w:hAnsi="Arial"/>
          <w:sz w:val="17"/>
          <w:szCs w:val="17"/>
          <w:color w:val="auto"/>
        </w:rPr>
        <w:t>”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Refinancing Amendment No. 1 Term Loans of the respective equivalent Type, but excluding Indebtedness incurred in connection with (A)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Refinancing Amendment No. 1 Term Loans or (b) any amendment of this Agreement for the primary purpose of reducing the Effective Yield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21" w:right="339" w:bottom="1440" w:gutter="0" w:footer="0" w:header="0"/>
        </w:sectPr>
      </w:pPr>
    </w:p>
    <w:bookmarkStart w:id="80" w:name="page81"/>
    <w:bookmarkEnd w:id="80"/>
    <w:p>
      <w:pPr>
        <w:jc w:val="both"/>
        <w:spacing w:after="0" w:line="249" w:lineRule="auto"/>
        <w:rPr>
          <w:sz w:val="20"/>
          <w:szCs w:val="20"/>
          <w:color w:val="auto"/>
        </w:rPr>
      </w:pPr>
      <w:r>
        <w:rPr>
          <w:rFonts w:ascii="Arial" w:cs="Arial" w:eastAsia="Arial" w:hAnsi="Arial"/>
          <w:sz w:val="18"/>
          <w:szCs w:val="18"/>
          <w:color w:val="auto"/>
        </w:rPr>
        <w:t>Refinancing Amendment No. 1 Term Loans (e.g., by way of amendment, waiver or otherwise), except for a reduction in connection with (A) 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Refinancing Amendment No. 1 Term Loans.</w:t>
      </w:r>
    </w:p>
    <w:p>
      <w:pPr>
        <w:spacing w:after="0" w:line="194"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xml:space="preserve">” 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(d) if secured, such Indebtedness (i) is not secured by any assets other than Collateral and (ii) is subject to the First/Second Lien Intercreditor Agreement and/or a Customary Intercreditor Agreement(s), as applicable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 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conditions in clauses (a), (b) and (e) shall not apply to an ABL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8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21" w:right="339" w:bottom="1440" w:gutter="0" w:footer="0" w:header="0"/>
        </w:sectPr>
      </w:pPr>
    </w:p>
    <w:bookmarkStart w:id="81" w:name="page82"/>
    <w:bookmarkEnd w:id="81"/>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has the meaning assigned to such term in Section 8.06.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3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3"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Prepayment Event</w:t>
      </w:r>
      <w:r>
        <w:rPr>
          <w:rFonts w:ascii="Arial" w:cs="Arial" w:eastAsia="Arial" w:hAnsi="Arial"/>
          <w:sz w:val="18"/>
          <w:szCs w:val="18"/>
          <w:color w:val="auto"/>
        </w:rPr>
        <w:t>” has the meaning assigned to such term in Section 2.11(g).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Borrower other than an Unrestricted Subsidiary.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has the meaning assigned to such term in Section 2.11(e).</w:t>
      </w:r>
    </w:p>
    <w:p>
      <w:pPr>
        <w:spacing w:after="0" w:line="225"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RFR</w:t>
      </w:r>
      <w:r>
        <w:rPr>
          <w:rFonts w:ascii="Arial" w:cs="Arial" w:eastAsia="Arial" w:hAnsi="Arial"/>
          <w:sz w:val="16"/>
          <w:szCs w:val="16"/>
          <w:color w:val="auto"/>
        </w:rPr>
        <w:t>” when used in reference to any Loan or Borrowing, means that such Loan, or the Loans comprising such Borrowing, denominated in (a) Sterling, at a rate that bears reference to Adjusted Daily Simple SONIA and (b) Dollars, at a rate that bears reference to Adjusted Daily Simple SOFR.</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Borrowing</w:t>
      </w:r>
      <w:r>
        <w:rPr>
          <w:rFonts w:ascii="Arial" w:cs="Arial" w:eastAsia="Arial" w:hAnsi="Arial"/>
          <w:sz w:val="18"/>
          <w:szCs w:val="18"/>
          <w:color w:val="auto"/>
        </w:rPr>
        <w:t>” means, as to any Borrowing, the RFR Loans comprising such Borrowing.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Business Day</w:t>
      </w:r>
      <w:r>
        <w:rPr>
          <w:rFonts w:ascii="Arial" w:cs="Arial" w:eastAsia="Arial" w:hAnsi="Arial"/>
          <w:sz w:val="18"/>
          <w:szCs w:val="18"/>
          <w:color w:val="auto"/>
        </w:rPr>
        <w:t>” means, for any Loan denominated in Dollars, a U.S. Government Securities Business Day.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the Daily Simple RFR.</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84" w:lineRule="exact"/>
        <w:rPr>
          <w:sz w:val="20"/>
          <w:szCs w:val="20"/>
          <w:color w:val="auto"/>
        </w:rPr>
      </w:pPr>
    </w:p>
    <w:p>
      <w:pPr>
        <w:jc w:val="both"/>
        <w:ind w:firstLine="137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w:t>
      </w:r>
      <w:r>
        <w:rPr>
          <w:rFonts w:ascii="Arial" w:cs="Arial" w:eastAsia="Arial" w:hAnsi="Arial"/>
          <w:sz w:val="18"/>
          <w:szCs w:val="18"/>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 (b) reduced or increased from time to time pursuant to (i) assignments by or to such Lender pursuant to an Assignment and Assumption, (ii) an Incremental Facility Amendment, (iii) a Refinancing Amendment, (iv) an Incremental Revolving Commitment Increase, (v) without duplication of the foregoing clause (v), the Amendment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21" w:right="339" w:bottom="1440" w:gutter="0" w:footer="0" w:header="0"/>
        </w:sectPr>
      </w:pPr>
    </w:p>
    <w:bookmarkStart w:id="82" w:name="page83"/>
    <w:bookmarkEnd w:id="82"/>
    <w:p>
      <w:pPr>
        <w:jc w:val="both"/>
        <w:spacing w:after="0" w:line="264" w:lineRule="auto"/>
        <w:rPr>
          <w:sz w:val="20"/>
          <w:szCs w:val="20"/>
          <w:color w:val="auto"/>
        </w:rPr>
      </w:pPr>
      <w:r>
        <w:rPr>
          <w:rFonts w:ascii="Arial" w:cs="Arial" w:eastAsia="Arial" w:hAnsi="Arial"/>
          <w:sz w:val="17"/>
          <w:szCs w:val="17"/>
          <w:color w:val="auto"/>
        </w:rPr>
        <w:t>Revolving Commitment Increase, (vi) without duplication of the following clause (vii), the Extended Revolving Commitments, (vii) a Loan Modification Agreement or (viii) an Additional/Replacement Revolving Commitment. The initial amount of each Lender’s Revolving Commitment is set forth on Schedule 2.01(A), with respect to the Amendment No. 1 Revolving Commitment Increase, Schedule I of Amendment No. 1, with respect to the Amendment No. 2 Revolving Commitment Increase, Schedule I of Amendment No. 2, or, in each case, in the Assignment and Assumption, Loan Modification Agreement or Refinancing Amendment pursuant to which such Lender shall have assumed its Revolving Commitment, as the case may be. As of the Amendment No. 1 Effective Date, the aggregate amount of the Lenders’ Revolving Commitments was $347,500,000 and as of the Amendment No. 2 Effective Date, the aggregate amount of the Lenders’ Revolving Commitments is $423,750,000.</w:t>
      </w:r>
    </w:p>
    <w:p>
      <w:pPr>
        <w:spacing w:after="0" w:line="16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15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Facilities Amendment</w:t>
      </w:r>
      <w:r>
        <w:rPr>
          <w:rFonts w:ascii="Arial" w:cs="Arial" w:eastAsia="Arial" w:hAnsi="Arial"/>
          <w:sz w:val="18"/>
          <w:szCs w:val="18"/>
          <w:color w:val="auto"/>
        </w:rPr>
        <w:t>” means the Revolving Facilities Amendment to this Agreement, dated as of March 26, 2021 among the Borrower, the Extending Revolving Lenders party thereto, the Consenting Issuing Banks party thereto, the Administrative Agent and the other parties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Facilities Amendment Effective Date</w:t>
      </w:r>
      <w:r>
        <w:rPr>
          <w:rFonts w:ascii="Arial" w:cs="Arial" w:eastAsia="Arial" w:hAnsi="Arial"/>
          <w:sz w:val="17"/>
          <w:szCs w:val="17"/>
          <w:color w:val="auto"/>
        </w:rPr>
        <w:t>” means the date set forth in the definition of Revolving Facilities Amendment.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at any time, the aggregate amount of Revolving Commitments at such time.</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by a Revolving Lender pursuant to clause (b) of Section 2.01.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(i) June 13, 2026 (or if such day is not a Business Day, the immediately preceding Business Day) or</w:t>
      </w:r>
    </w:p>
    <w:p>
      <w:pPr>
        <w:spacing w:after="0" w:line="12" w:lineRule="exact"/>
        <w:rPr>
          <w:sz w:val="20"/>
          <w:szCs w:val="20"/>
          <w:color w:val="auto"/>
        </w:rPr>
      </w:pPr>
    </w:p>
    <w:p>
      <w:pPr>
        <w:ind w:firstLine="8"/>
        <w:spacing w:after="0" w:line="258" w:lineRule="auto"/>
        <w:tabs>
          <w:tab w:leader="none" w:pos="2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respect to any Revolving Lender that has extended its Revolving Commitment pursuant to a Permitted Amendment and with respect to any Issuing Bank that has consented to such extension, the extended maturity date set forth in any such Loan Modification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Standard &amp; Poor’s Financial Services LLC business, and any successor to its 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agency business.</w:t>
      </w:r>
    </w:p>
    <w:p>
      <w:pPr>
        <w:spacing w:after="0" w:line="197"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sanctions administered or enforced by the United States Government (including without limitation, sanctions enforced by OFAC).</w:t>
      </w:r>
    </w:p>
    <w:p>
      <w:pPr>
        <w:spacing w:after="0" w:line="184"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target of any comprehensive Sanctions (as of the date of this Agreement, the Crimea region of Ukraine, Cuba, Iran, North Korea and Syria).</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Debt Documents</w:t>
      </w:r>
      <w:r>
        <w:rPr>
          <w:rFonts w:ascii="Arial" w:cs="Arial" w:eastAsia="Arial" w:hAnsi="Arial"/>
          <w:sz w:val="18"/>
          <w:szCs w:val="18"/>
          <w:color w:val="auto"/>
        </w:rPr>
        <w:t>” means the “Notes Documents” as such term is defined in the Second Lien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Debt Document Obligations</w:t>
      </w:r>
      <w:r>
        <w:rPr>
          <w:rFonts w:ascii="Arial" w:cs="Arial" w:eastAsia="Arial" w:hAnsi="Arial"/>
          <w:sz w:val="17"/>
          <w:szCs w:val="17"/>
          <w:color w:val="auto"/>
        </w:rPr>
        <w:t>” means the “Notes Obligations” as such term is defined in the Second Lien Indenture.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Facilities</w:t>
      </w:r>
      <w:r>
        <w:rPr>
          <w:rFonts w:ascii="Arial" w:cs="Arial" w:eastAsia="Arial" w:hAnsi="Arial"/>
          <w:sz w:val="18"/>
          <w:szCs w:val="18"/>
          <w:color w:val="auto"/>
        </w:rPr>
        <w:t>” means the notes under the Second Lien Indenture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21" w:right="339" w:bottom="1440" w:gutter="0" w:footer="0" w:header="0"/>
        </w:sectPr>
      </w:pPr>
    </w:p>
    <w:bookmarkStart w:id="83" w:name="page84"/>
    <w:bookmarkEnd w:id="83"/>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Financing Transactions</w:t>
      </w:r>
      <w:r>
        <w:rPr>
          <w:rFonts w:ascii="Arial" w:cs="Arial" w:eastAsia="Arial" w:hAnsi="Arial"/>
          <w:sz w:val="18"/>
          <w:szCs w:val="18"/>
          <w:color w:val="auto"/>
        </w:rPr>
        <w:t>” means (a) the execution, delivery and performance by each Loan Party of the Second Lien Debt Documents to which it is to be a party and (b) the issuance of the Second Lien Notes thereunder and the use of proceeds thereof.</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Lien Incremental Equivalent Debt</w:t>
      </w:r>
      <w:r>
        <w:rPr>
          <w:rFonts w:ascii="Arial" w:cs="Arial" w:eastAsia="Arial" w:hAnsi="Arial"/>
          <w:sz w:val="16"/>
          <w:szCs w:val="16"/>
          <w:color w:val="auto"/>
        </w:rPr>
        <w:t>” means the “Second Lien Incremental Equivalent Debt” as such term is defined in the Second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Lien Indenture.</w:t>
      </w:r>
    </w:p>
    <w:p>
      <w:pPr>
        <w:spacing w:after="0" w:line="20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Indenture</w:t>
      </w:r>
      <w:r>
        <w:rPr>
          <w:rFonts w:ascii="Arial" w:cs="Arial" w:eastAsia="Arial" w:hAnsi="Arial"/>
          <w:sz w:val="18"/>
          <w:szCs w:val="18"/>
          <w:color w:val="auto"/>
        </w:rPr>
        <w:t>” means the Indenture dated as of the Effective Date, by and among Holdings, the Borrower, each other Loan Party and the Second Lien Trustee.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Notes</w:t>
      </w:r>
      <w:r>
        <w:rPr>
          <w:rFonts w:ascii="Arial" w:cs="Arial" w:eastAsia="Arial" w:hAnsi="Arial"/>
          <w:sz w:val="18"/>
          <w:szCs w:val="18"/>
          <w:color w:val="auto"/>
        </w:rPr>
        <w:t>” means the “Notes” as such term is defined in the Second Lien Indenture.</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Trustee</w:t>
      </w:r>
      <w:r>
        <w:rPr>
          <w:rFonts w:ascii="Arial" w:cs="Arial" w:eastAsia="Arial" w:hAnsi="Arial"/>
          <w:sz w:val="18"/>
          <w:szCs w:val="18"/>
          <w:color w:val="auto"/>
        </w:rPr>
        <w:t>” means Wilmington Trust, National Association, in its capacity as trustee under the Second Lien Indenture and the other Second Lien Debt Documents, and its successors in such capacity as provided in the Second Lien Indenture.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Security Documents</w:t>
      </w:r>
      <w:r>
        <w:rPr>
          <w:rFonts w:ascii="Arial" w:cs="Arial" w:eastAsia="Arial" w:hAnsi="Arial"/>
          <w:sz w:val="18"/>
          <w:szCs w:val="18"/>
          <w:color w:val="auto"/>
        </w:rPr>
        <w:t>” means the “Security Documents” as such term is defined in the Second Lien Indenture.</w:t>
      </w:r>
    </w:p>
    <w:p>
      <w:pPr>
        <w:spacing w:after="0" w:line="22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Obligations</w:t>
      </w:r>
      <w:r>
        <w:rPr>
          <w:rFonts w:ascii="Arial" w:cs="Arial" w:eastAsia="Arial" w:hAnsi="Arial"/>
          <w:sz w:val="18"/>
          <w:szCs w:val="18"/>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18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 the First Lien Loan Document Obligations, (b) the Secured Cash Management Obligations and (c) the Secured Swap Obligations (excluding with respect to any Loan Guarantor, Excluded Swap Obligations of such Loan Guarantor).</w:t>
      </w:r>
    </w:p>
    <w:p>
      <w:pPr>
        <w:spacing w:after="0" w:line="15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spacing w:after="0" w:line="18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Secured Swap Obligations</w:t>
      </w:r>
      <w:r>
        <w:rPr>
          <w:rFonts w:ascii="Arial" w:cs="Arial" w:eastAsia="Arial" w:hAnsi="Arial"/>
          <w:sz w:val="18"/>
          <w:szCs w:val="18"/>
          <w:color w:val="auto"/>
        </w:rPr>
        <w:t>” 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182"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Assets</w:t>
      </w:r>
      <w:r>
        <w:rPr>
          <w:rFonts w:ascii="Arial" w:cs="Arial" w:eastAsia="Arial" w:hAnsi="Arial"/>
          <w:sz w:val="16"/>
          <w:szCs w:val="16"/>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11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Facility</w:t>
      </w:r>
      <w:r>
        <w:rPr>
          <w:rFonts w:ascii="Arial" w:cs="Arial" w:eastAsia="Arial" w:hAnsi="Arial"/>
          <w:sz w:val="18"/>
          <w:szCs w:val="18"/>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21" w:right="339" w:bottom="1440" w:gutter="0" w:footer="0" w:header="0"/>
        </w:sectPr>
      </w:pPr>
    </w:p>
    <w:bookmarkStart w:id="84" w:name="page85"/>
    <w:bookmarkEnd w:id="84"/>
    <w:p>
      <w:pPr>
        <w:jc w:val="both"/>
        <w:spacing w:after="0" w:line="249" w:lineRule="auto"/>
        <w:rPr>
          <w:sz w:val="20"/>
          <w:szCs w:val="20"/>
          <w:color w:val="auto"/>
        </w:rPr>
      </w:pPr>
      <w:r>
        <w:rPr>
          <w:rFonts w:ascii="Arial" w:cs="Arial" w:eastAsia="Arial" w:hAnsi="Arial"/>
          <w:sz w:val="18"/>
          <w:szCs w:val="18"/>
          <w:color w:val="auto"/>
        </w:rPr>
        <w:t>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9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any Subsidiary formed for the purpose of, and that solely engages only in one or more Qualified Securitization Facilities and other activities reasonably related thereto.</w:t>
      </w:r>
    </w:p>
    <w:p>
      <w:pPr>
        <w:spacing w:after="0" w:line="15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11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the $450,000,000 aggregate principal amount of 6.500% Senior Notes due 2023 issued by the Borrower (formerly Sterigenics-Nordion Holdings, LLC) pursuant to the indenture dated as of May 15, 2015 among the Borrower, the guarantors named on the signature pages thereto and Wilmington Trust, National Association, as trustee.</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xml:space="preserve">” means, with respect to any series of Indebtedness permitted by this Agreement to be secured by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First Lien Net Leverage Ratio</w:t>
      </w:r>
      <w:r>
        <w:rPr>
          <w:rFonts w:ascii="Arial" w:cs="Arial" w:eastAsia="Arial" w:hAnsi="Arial"/>
          <w:sz w:val="17"/>
          <w:szCs w:val="17"/>
          <w:color w:val="auto"/>
        </w:rPr>
        <w:t>” means, as of any date of determination, the ratio, on a Pro Forma Basis, of (a) Consolidated Senior Secured First Lien Net Indebtedness as of such date to (b) Consolidated EBITDA for the most recently ended Test Period.</w:t>
      </w:r>
    </w:p>
    <w:p>
      <w:pPr>
        <w:spacing w:after="0" w:line="13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Net Leverage Ratio</w:t>
      </w:r>
      <w:r>
        <w:rPr>
          <w:rFonts w:ascii="Arial" w:cs="Arial" w:eastAsia="Arial" w:hAnsi="Arial"/>
          <w:sz w:val="18"/>
          <w:szCs w:val="18"/>
          <w:color w:val="auto"/>
        </w:rPr>
        <w:t>” means, as of any date of determination, the ratio, on a Pro Forma Basis, of (a) Consolidated Senior Secured Indebtedness as of such date to (b) Consolidated EBITDA for the most recently completed Test Period.</w:t>
      </w:r>
    </w:p>
    <w:p>
      <w:pPr>
        <w:spacing w:after="0" w:line="15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21" w:right="339" w:bottom="1440" w:gutter="0" w:footer="0" w:header="0"/>
        </w:sectPr>
      </w:pPr>
    </w:p>
    <w:bookmarkStart w:id="85" w:name="page86"/>
    <w:bookmarkEnd w:id="85"/>
    <w:p>
      <w:pPr>
        <w:jc w:val="both"/>
        <w:ind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Receivable</w:t>
      </w:r>
      <w:r>
        <w:rPr>
          <w:rFonts w:ascii="Arial" w:cs="Arial" w:eastAsia="Arial" w:hAnsi="Arial"/>
          <w:sz w:val="17"/>
          <w:szCs w:val="17"/>
          <w:color w:val="auto"/>
        </w:rPr>
        <w:t xml:space="preserve"> ”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xml:space="preserve">” means </w:t>
      </w:r>
      <w:r>
        <w:rPr>
          <w:rFonts w:ascii="Arial" w:cs="Arial" w:eastAsia="Arial" w:hAnsi="Arial"/>
          <w:sz w:val="18"/>
          <w:szCs w:val="18"/>
          <w:color w:val="FF0000"/>
          <w:strike w:val="1"/>
        </w:rPr>
        <w:t>(x) for any Business Day, with respect to any Term Loans, a rate per annum equal to the secured overnight financing rate</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for such Business Day published by the SOFR Administrator on the SOFR Administrator’s Website at approximately 8:00 a.m. (New York City time) on the immediately succeeding Business Day and (y) with respect to any Revolving Loans, </w:t>
      </w:r>
      <w:r>
        <w:rPr>
          <w:rFonts w:ascii="Arial" w:cs="Arial" w:eastAsia="Arial" w:hAnsi="Arial"/>
          <w:sz w:val="18"/>
          <w:szCs w:val="18"/>
          <w:color w:val="000000"/>
          <w:strike w:val="1"/>
        </w:rPr>
        <w:t>a rate equal to the secured overnight financing rate as administered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by the SOFR Administrator.</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“SOFR Amendment” means that certain Amendment to this Agreement dated as of June 22, 2023.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“SOFR Amendment Effective Date” means “Amendment Effective Date” as defined in the SOFR Amendment.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has the meaning assigned to such term in the definition of the term “Consolidated EBITDA.”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 Proration</w:t>
      </w:r>
      <w:r>
        <w:rPr>
          <w:rFonts w:ascii="Arial" w:cs="Arial" w:eastAsia="Arial" w:hAnsi="Arial"/>
          <w:sz w:val="18"/>
          <w:szCs w:val="18"/>
          <w:color w:val="auto"/>
        </w:rPr>
        <w:t>” has the meaning assigned to such term in Section 2.11(a)(ii)(D)(3).</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Notice</w:t>
      </w:r>
      <w:r>
        <w:rPr>
          <w:rFonts w:ascii="Arial" w:cs="Arial" w:eastAsia="Arial" w:hAnsi="Arial"/>
          <w:sz w:val="18"/>
          <w:szCs w:val="18"/>
          <w:color w:val="auto"/>
        </w:rPr>
        <w:t>” means an irrevocable written notice of a Borrower Solicitation of Discounted Prepayment Offers made pursuant to Section 2.11(a)(ii)(D) substantially in the form of Exhibit K.</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Offer</w:t>
      </w:r>
      <w:r>
        <w:rPr>
          <w:rFonts w:ascii="Arial" w:cs="Arial" w:eastAsia="Arial" w:hAnsi="Arial"/>
          <w:sz w:val="18"/>
          <w:szCs w:val="18"/>
          <w:color w:val="auto"/>
        </w:rPr>
        <w:t>” means the irrevocable written offer by each Term Lender, substantially in the form of Exhibit L, submitted following the First Lien Administrative Agent’s receipt of a Solicited Discounted Prepayment Notice.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has the meaning assigned to such term in Section 2.11(a)(ii)(D)(1).</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21" w:right="339" w:bottom="1440" w:gutter="0" w:footer="0" w:header="0"/>
        </w:sectPr>
      </w:pPr>
    </w:p>
    <w:bookmarkStart w:id="86" w:name="page87"/>
    <w:bookmarkEnd w:id="8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Borrowing</w:t>
      </w:r>
      <w:r>
        <w:rPr>
          <w:rFonts w:ascii="Arial" w:cs="Arial" w:eastAsia="Arial" w:hAnsi="Arial"/>
          <w:sz w:val="18"/>
          <w:szCs w:val="18"/>
          <w:color w:val="auto"/>
        </w:rPr>
        <w:t>” means, for any as to any Borrowing, the SONIA Loans comprising such Borrowing.</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Business Day</w:t>
      </w:r>
      <w:r>
        <w:rPr>
          <w:rFonts w:ascii="Arial" w:cs="Arial" w:eastAsia="Arial" w:hAnsi="Arial"/>
          <w:sz w:val="18"/>
          <w:szCs w:val="18"/>
          <w:color w:val="auto"/>
        </w:rPr>
        <w:t>” means, for any Loan denominated in Sterling, any day except for (i) a Saturday, (ii) a Sunday or (iii) a day on which banks are closed for general business in London.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Interest Day</w:t>
      </w:r>
      <w:r>
        <w:rPr>
          <w:rFonts w:ascii="Arial" w:cs="Arial" w:eastAsia="Arial" w:hAnsi="Arial"/>
          <w:sz w:val="18"/>
          <w:szCs w:val="18"/>
          <w:color w:val="auto"/>
        </w:rPr>
        <w:t>” has the meaning specified in the definition of “Daily Simple SONIA”.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SONIA Loan</w:t>
      </w:r>
      <w:r>
        <w:rPr>
          <w:rFonts w:ascii="Arial" w:cs="Arial" w:eastAsia="Arial" w:hAnsi="Arial"/>
          <w:sz w:val="16"/>
          <w:szCs w:val="16"/>
          <w:color w:val="auto"/>
        </w:rPr>
        <w:t>” means any Loan denominated in Sterling, which shall bear interest at a rate based on the Adjusted Daily Simple SONIA.</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w:t>
      </w:r>
      <w:r>
        <w:rPr>
          <w:rFonts w:ascii="Arial" w:cs="Arial" w:eastAsia="Arial" w:hAnsi="Arial"/>
          <w:sz w:val="18"/>
          <w:szCs w:val="18"/>
          <w:color w:val="auto"/>
        </w:rPr>
        <w:t>” has the meaning assigned to such term in Section 2.11(a)(ii)(B)(1).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Amount</w:t>
      </w:r>
      <w:r>
        <w:rPr>
          <w:rFonts w:ascii="Arial" w:cs="Arial" w:eastAsia="Arial" w:hAnsi="Arial"/>
          <w:sz w:val="18"/>
          <w:szCs w:val="18"/>
          <w:color w:val="auto"/>
        </w:rPr>
        <w:t>” has the meaning assigned to such term in Section 2.11(a)(ii)(B)(1).</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Notice</w:t>
      </w:r>
      <w:r>
        <w:rPr>
          <w:rFonts w:ascii="Arial" w:cs="Arial" w:eastAsia="Arial" w:hAnsi="Arial"/>
          <w:sz w:val="18"/>
          <w:szCs w:val="18"/>
          <w:color w:val="auto"/>
        </w:rPr>
        <w:t>” means an irrevocable written notice of the Borrower of Specified Discount Prepayment Amount made pursuant to Section 2.11(a)(ii)(B) substantially in the form of Exhibit G.</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w:t>
      </w:r>
      <w:r>
        <w:rPr>
          <w:rFonts w:ascii="Arial" w:cs="Arial" w:eastAsia="Arial" w:hAnsi="Arial"/>
          <w:sz w:val="18"/>
          <w:szCs w:val="18"/>
          <w:color w:val="auto"/>
        </w:rPr>
        <w:t>” means the irrevocable written response by each Term Lender, substantially in the form of Exhibit H, to a Specified Discount Prepayment Notice.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 has the meaning assigned to such term in Section 2.11(a)(ii)(B)(1).</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Proration</w:t>
      </w:r>
      <w:r>
        <w:rPr>
          <w:rFonts w:ascii="Arial" w:cs="Arial" w:eastAsia="Arial" w:hAnsi="Arial"/>
          <w:sz w:val="18"/>
          <w:szCs w:val="18"/>
          <w:color w:val="auto"/>
        </w:rPr>
        <w:t>” has the meaning assigned to such term in Section 2.11(a)(ii)(B)(3).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means an Event of Default under Section 7.01(a), (b), (h) or (i).</w:t>
      </w:r>
    </w:p>
    <w:p>
      <w:pPr>
        <w:spacing w:after="0" w:line="21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Warburg Pincus LLC, GTCR LLC and each of their respective Affiliates, but not including, however, any portfolio companies of the foregoing.</w:t>
      </w:r>
    </w:p>
    <w:p>
      <w:pPr>
        <w:spacing w:after="0" w:line="15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21" w:right="339" w:bottom="1440" w:gutter="0" w:footer="0" w:header="0"/>
        </w:sectPr>
      </w:pPr>
    </w:p>
    <w:bookmarkStart w:id="87" w:name="page88"/>
    <w:bookmarkEnd w:id="8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Starter Basket</w:t>
      </w:r>
      <w:r>
        <w:rPr>
          <w:rFonts w:ascii="Arial" w:cs="Arial" w:eastAsia="Arial" w:hAnsi="Arial"/>
          <w:sz w:val="18"/>
          <w:szCs w:val="18"/>
          <w:color w:val="auto"/>
        </w:rPr>
        <w:t>” has the meaning assigned to such term in the definition of “Available Amount.”</w:t>
      </w:r>
    </w:p>
    <w:p>
      <w:pPr>
        <w:spacing w:after="0" w:line="212"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xml:space="preserve">” means a fraction (expressed as a decimal), the numerator of which is the number one and the denominator of which is the number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 Benchmark</w:t>
      </w:r>
      <w:r>
        <w:rPr>
          <w:rFonts w:ascii="Arial" w:cs="Arial" w:eastAsia="Arial" w:hAnsi="Arial"/>
          <w:sz w:val="16"/>
          <w:szCs w:val="16"/>
          <w:color w:val="auto"/>
        </w:rPr>
        <w:t xml:space="preserve">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 mean the lawful currency for the time being of the United Kingdom.</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Amount</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Discount</w:t>
      </w:r>
      <w:r>
        <w:rPr>
          <w:rFonts w:ascii="Arial" w:cs="Arial" w:eastAsia="Arial" w:hAnsi="Arial"/>
          <w:sz w:val="18"/>
          <w:szCs w:val="18"/>
          <w:color w:val="auto"/>
        </w:rPr>
        <w:t>” has the meaning assigned to such term in Section 2.11(a)(ii)(C)(1).</w:t>
      </w:r>
    </w:p>
    <w:p>
      <w:pPr>
        <w:spacing w:after="0" w:line="21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 (unless otherwise specified).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means each Subsidiary of the Borrower that is a party to the First Lien Guarantee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has the meaning assigned to such term in Section 6.03(a)(iv).</w:t>
      </w:r>
    </w:p>
    <w:p>
      <w:pPr>
        <w:spacing w:after="0" w:line="22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7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commitment of the Swingline Lender to make Swingline Loans up to an aggregate principal amount not to exceed $35,000,000.</w:t>
      </w:r>
    </w:p>
    <w:p>
      <w:pPr>
        <w:spacing w:after="0" w:line="18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21" w:right="339" w:bottom="1440" w:gutter="0" w:footer="0" w:header="0"/>
        </w:sectPr>
      </w:pPr>
    </w:p>
    <w:bookmarkStart w:id="88" w:name="page89"/>
    <w:bookmarkEnd w:id="88"/>
    <w:p>
      <w:pPr>
        <w:jc w:val="both"/>
        <w:ind w:firstLine="1296"/>
        <w:spacing w:after="0" w:line="25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(a) the First Lien Administrative Agent, (b) JPMorgan Chase Bank, N.A. and (c)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Distributions</w:t>
      </w:r>
      <w:r>
        <w:rPr>
          <w:rFonts w:ascii="Arial" w:cs="Arial" w:eastAsia="Arial" w:hAnsi="Arial"/>
          <w:sz w:val="18"/>
          <w:szCs w:val="18"/>
          <w:color w:val="auto"/>
        </w:rPr>
        <w:t>” has the meaning assigned to such term in Section 6.07(a)(vii)(A).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Group</w:t>
      </w:r>
      <w:r>
        <w:rPr>
          <w:rFonts w:ascii="Arial" w:cs="Arial" w:eastAsia="Arial" w:hAnsi="Arial"/>
          <w:sz w:val="18"/>
          <w:szCs w:val="18"/>
          <w:color w:val="auto"/>
        </w:rPr>
        <w:t>” has the meaning assigned to such term in Section 6.07(a)(vii)(A).</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57"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Schedule 2.01 or in the Assignment and Assumption pursuant to which such Lender shall have assumed its Term Commitment, Incremental Facility Amendment, Loan Modification Agreement or Refinancing Amendment, as the case may be. As of the Effective Date, the total Term Commitment is $2,120,000,000.00.</w:t>
      </w:r>
    </w:p>
    <w:p>
      <w:pPr>
        <w:spacing w:after="0" w:line="15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BA Rate and a “Term Benchmark Loan” or “Term Benchmark Borrowing” is a Loan or Borrowing that bears interest at a rate determined by reference to the Adjusted Term SOFR Rate, the Adjusted EURIBOR Rate, or the Adjusted BA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Lender with a Term Commitment or an outstanding Term Loan.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Loans</w:t>
      </w:r>
      <w:r>
        <w:rPr>
          <w:rFonts w:ascii="Arial" w:cs="Arial" w:eastAsia="Arial" w:hAnsi="Arial"/>
          <w:sz w:val="16"/>
          <w:szCs w:val="16"/>
          <w:color w:val="auto"/>
        </w:rPr>
        <w:t>” means Initial Term Loans, Other First Lien Term Loans and First Lien Incremental Term Loans, as the context requires.</w:t>
      </w:r>
    </w:p>
    <w:p>
      <w:pPr>
        <w:spacing w:after="0" w:line="24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Maturity Date</w:t>
      </w:r>
      <w:r>
        <w:rPr>
          <w:rFonts w:ascii="Arial" w:cs="Arial" w:eastAsia="Arial" w:hAnsi="Arial"/>
          <w:sz w:val="18"/>
          <w:szCs w:val="18"/>
          <w:color w:val="auto"/>
        </w:rPr>
        <w:t>” means (i) December 13, 2026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Rate</w:t>
      </w:r>
      <w:r>
        <w:rPr>
          <w:rFonts w:ascii="Arial" w:cs="Arial" w:eastAsia="Arial" w:hAnsi="Arial"/>
          <w:sz w:val="18"/>
          <w:szCs w:val="18"/>
          <w:color w:val="auto"/>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21"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Term SOFR Rate as so determined would be less than the Floor, such rate shall be deemed to be equal to the Floor for purposes of this Agreement.</w:t>
      </w:r>
    </w:p>
    <w:p>
      <w:pPr>
        <w:spacing w:after="0" w:line="22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for any day and time (such day, the “</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with respect to any Term Benchmark Borrowing and for any tenor comparable to the applicable Interest Period, the rate per annum determined by the First Lien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6"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xml:space="preserve">” means, </w:t>
      </w:r>
      <w:r>
        <w:rPr>
          <w:rFonts w:ascii="Arial" w:cs="Arial" w:eastAsia="Arial" w:hAnsi="Arial"/>
          <w:sz w:val="17"/>
          <w:szCs w:val="17"/>
          <w:color w:val="FF0000"/>
          <w:strike w:val="1"/>
        </w:rPr>
        <w:t>with respect to any Term Loans,</w:t>
      </w:r>
      <w:r>
        <w:rPr>
          <w:rFonts w:ascii="Arial" w:cs="Arial" w:eastAsia="Arial" w:hAnsi="Arial"/>
          <w:sz w:val="17"/>
          <w:szCs w:val="17"/>
          <w:color w:val="auto"/>
        </w:rPr>
        <w:t xml:space="preserve"> for the applicable Corresponding Tenor as of the applicable Reference Time, the forward-looking term rate based on SOFR that has been selected or recommended by the Relevant Governmental Body.</w:t>
      </w:r>
    </w:p>
    <w:p>
      <w:pPr>
        <w:spacing w:after="0" w:line="13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SOFR Notice</w:t>
      </w:r>
      <w:r>
        <w:rPr>
          <w:rFonts w:ascii="Arial" w:cs="Arial" w:eastAsia="Arial" w:hAnsi="Arial"/>
          <w:sz w:val="18"/>
          <w:szCs w:val="18"/>
          <w:color w:val="FF0000"/>
          <w:strike w:val="1"/>
        </w:rPr>
        <w:t>” means a notification by the Administrative Agent to the Lenders and the Borrower of the occurrence of a Term SOFR Transition Event.</w:t>
      </w:r>
    </w:p>
    <w:p>
      <w:pPr>
        <w:spacing w:after="0" w:line="18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SOFR Transition Event</w:t>
      </w:r>
      <w:r>
        <w:rPr>
          <w:rFonts w:ascii="Arial" w:cs="Arial" w:eastAsia="Arial" w:hAnsi="Arial"/>
          <w:sz w:val="18"/>
          <w:szCs w:val="18"/>
          <w:color w:val="FF0000"/>
          <w:strike w:val="1"/>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spacing w:after="0" w:line="19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all Commitments have expired or been terminated, all Secured Obligations have been paid in full in cash (other than (x) Secured Swap Obligations not yet due and payable, (y) Secured Cash Management Obligations not yet due and payable and</w:t>
      </w:r>
    </w:p>
    <w:p>
      <w:pPr>
        <w:jc w:val="both"/>
        <w:ind w:firstLine="8"/>
        <w:spacing w:after="0" w:line="247" w:lineRule="auto"/>
        <w:tabs>
          <w:tab w:leader="none" w:pos="2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18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Test Period</w:t>
      </w:r>
      <w:r>
        <w:rPr>
          <w:rFonts w:ascii="Arial" w:cs="Arial" w:eastAsia="Arial" w:hAnsi="Arial"/>
          <w:sz w:val="18"/>
          <w:szCs w:val="18"/>
          <w:color w:val="auto"/>
        </w:rPr>
        <w:t>”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spacing w:after="0" w:line="18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as of any date of determination, the ratio, on a Pro Forma Basis, of (a) Consolidated Total Net Indebtedness as of such date to (b) Consolidated EBITDA for the most recently ended Test Period.</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all fees, costs and expenses incurred or payable by Holdings, the Borrower or any other Subsidiary in connection with the Transactions.</w:t>
      </w:r>
    </w:p>
    <w:p>
      <w:pPr>
        <w:spacing w:after="0" w:line="184"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First Lien Financing Transactions and the Second Lien Financing Transactions, (b) the Refinancing and (c) the payment of the Transaction Costs.</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Adjusted </w:t>
      </w:r>
      <w:r>
        <w:rPr>
          <w:rFonts w:ascii="Arial" w:cs="Arial" w:eastAsia="Arial" w:hAnsi="Arial"/>
          <w:sz w:val="18"/>
          <w:szCs w:val="18"/>
          <w:color w:val="FF0000"/>
          <w:strike w:val="1"/>
        </w:rPr>
        <w:t>LIBO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21" w:right="339" w:bottom="1440" w:gutter="0" w:footer="0" w:header="0"/>
        </w:sectPr>
      </w:pPr>
    </w:p>
    <w:bookmarkStart w:id="90" w:name="page91"/>
    <w:bookmarkEnd w:id="90"/>
    <w:p>
      <w:pPr>
        <w:jc w:val="both"/>
        <w:spacing w:after="0" w:line="261" w:lineRule="auto"/>
        <w:rPr>
          <w:sz w:val="20"/>
          <w:szCs w:val="20"/>
          <w:color w:val="auto"/>
        </w:rPr>
      </w:pPr>
      <w:r>
        <w:rPr>
          <w:rFonts w:ascii="Arial" w:cs="Arial" w:eastAsia="Arial" w:hAnsi="Arial"/>
          <w:sz w:val="18"/>
          <w:szCs w:val="18"/>
          <w:color w:val="FF0000"/>
          <w:strike w:val="1"/>
        </w:rPr>
        <w:t>Adjusted</w:t>
      </w:r>
      <w:r>
        <w:rPr>
          <w:rFonts w:ascii="Arial" w:cs="Arial" w:eastAsia="Arial" w:hAnsi="Arial"/>
          <w:sz w:val="18"/>
          <w:szCs w:val="18"/>
          <w:color w:val="FF0000"/>
        </w:rPr>
        <w:t xml:space="preserve"> </w:t>
      </w:r>
      <w:r>
        <w:rPr>
          <w:rFonts w:ascii="Arial" w:cs="Arial" w:eastAsia="Arial" w:hAnsi="Arial"/>
          <w:sz w:val="18"/>
          <w:szCs w:val="18"/>
          <w:color w:val="000000"/>
        </w:rPr>
        <w:t>Term SOFR Rate, Adjusted BA Rate, Adjusted EURIBOR, Alternate Base Rate, Canadian Base Rate, Adjusted Daily Simple SOFR, or Adjusted</w:t>
      </w:r>
      <w:r>
        <w:rPr>
          <w:rFonts w:ascii="Arial" w:cs="Arial" w:eastAsia="Arial" w:hAnsi="Arial"/>
          <w:sz w:val="18"/>
          <w:szCs w:val="18"/>
          <w:color w:val="FF0000"/>
        </w:rPr>
        <w:t xml:space="preserve"> </w:t>
      </w:r>
      <w:r>
        <w:rPr>
          <w:rFonts w:ascii="Arial" w:cs="Arial" w:eastAsia="Arial" w:hAnsi="Arial"/>
          <w:sz w:val="18"/>
          <w:szCs w:val="18"/>
          <w:color w:val="000000"/>
        </w:rPr>
        <w:t>Daily Simple SONIA.</w:t>
      </w:r>
    </w:p>
    <w:p>
      <w:pPr>
        <w:spacing w:after="0" w:line="18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or “</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xml:space="preserve">” means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5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7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xml:space="preserve"> ”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09"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Undisclosed Administration</w:t>
      </w:r>
      <w:r>
        <w:rPr>
          <w:rFonts w:ascii="Arial" w:cs="Arial" w:eastAsia="Arial" w:hAnsi="Arial"/>
          <w:sz w:val="16"/>
          <w:szCs w:val="16"/>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assigned to such term in Section 2.17(f)(ii)(C).</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any Subsidiary designated by the Borrower as an Unrestricted Subsidiary pursuant to Section 5.13 subsequent to the Effective Date.</w:t>
      </w:r>
    </w:p>
    <w:p>
      <w:pPr>
        <w:spacing w:after="0" w:line="15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8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21" w:right="339" w:bottom="1440" w:gutter="0" w:footer="0" w:header="0"/>
        </w:sectPr>
      </w:pPr>
    </w:p>
    <w:bookmarkStart w:id="91" w:name="page92"/>
    <w:bookmarkEnd w:id="9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means any Restricted Subsidiary that is a Wholly Owned Subsidiary.</w:t>
      </w:r>
    </w:p>
    <w:p>
      <w:pPr>
        <w:spacing w:after="0" w:line="21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 Owned Subsidiary</w:t>
      </w:r>
      <w:r>
        <w:rPr>
          <w:rFonts w:ascii="Arial" w:cs="Arial" w:eastAsia="Arial" w:hAnsi="Arial"/>
          <w:sz w:val="17"/>
          <w:szCs w:val="17"/>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6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57"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Classification of Loans and Borrowings.</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For purposes of this Agreement, Loans and Borrowings may be classified and referred to by Class (</w:t>
      </w:r>
      <w:r>
        <w:rPr>
          <w:rFonts w:ascii="Arial" w:cs="Arial" w:eastAsia="Arial" w:hAnsi="Arial"/>
          <w:sz w:val="16"/>
          <w:szCs w:val="16"/>
          <w:u w:val="single" w:color="auto"/>
          <w:color w:val="auto"/>
        </w:rPr>
        <w:t>e.g</w:t>
      </w:r>
      <w:r>
        <w:rPr>
          <w:rFonts w:ascii="Arial" w:cs="Arial" w:eastAsia="Arial" w:hAnsi="Arial"/>
          <w:sz w:val="16"/>
          <w:szCs w:val="16"/>
          <w:color w:val="auto"/>
        </w:rPr>
        <w:t>., a “</w:t>
      </w:r>
      <w:r>
        <w:rPr>
          <w:rFonts w:ascii="Arial" w:cs="Arial" w:eastAsia="Arial" w:hAnsi="Arial"/>
          <w:sz w:val="16"/>
          <w:szCs w:val="16"/>
          <w:u w:val="single" w:color="auto"/>
          <w:color w:val="auto"/>
        </w:rPr>
        <w:t>Revolving Loan</w:t>
      </w:r>
      <w:r>
        <w:rPr>
          <w:rFonts w:ascii="Arial" w:cs="Arial" w:eastAsia="Arial" w:hAnsi="Arial"/>
          <w:sz w:val="16"/>
          <w:szCs w:val="16"/>
          <w:color w:val="auto"/>
        </w:rPr>
        <w:t>”) or by Type (</w:t>
      </w:r>
      <w:r>
        <w:rPr>
          <w:rFonts w:ascii="Arial" w:cs="Arial" w:eastAsia="Arial" w:hAnsi="Arial"/>
          <w:sz w:val="16"/>
          <w:szCs w:val="16"/>
          <w:u w:val="single" w:color="auto"/>
          <w:color w:val="auto"/>
        </w:rPr>
        <w:t>e.g</w:t>
      </w:r>
      <w:r>
        <w:rPr>
          <w:rFonts w:ascii="Arial" w:cs="Arial" w:eastAsia="Arial" w:hAnsi="Arial"/>
          <w:sz w:val="16"/>
          <w:szCs w:val="16"/>
          <w:color w:val="auto"/>
        </w:rPr>
        <w:t>., a “</w:t>
      </w:r>
      <w:r>
        <w:rPr>
          <w:rFonts w:ascii="Arial" w:cs="Arial" w:eastAsia="Arial" w:hAnsi="Arial"/>
          <w:sz w:val="16"/>
          <w:szCs w:val="16"/>
          <w:u w:val="single" w:color="auto"/>
          <w:color w:val="FF0000"/>
        </w:rPr>
        <w:t>Eurodollar Loan</w:t>
      </w:r>
      <w:r>
        <w:rPr>
          <w:rFonts w:ascii="Arial" w:cs="Arial" w:eastAsia="Arial" w:hAnsi="Arial"/>
          <w:sz w:val="16"/>
          <w:szCs w:val="16"/>
          <w:color w:val="FF0000"/>
        </w:rPr>
        <w:t>”, “</w:t>
      </w:r>
      <w:r>
        <w:rPr>
          <w:rFonts w:ascii="Arial" w:cs="Arial" w:eastAsia="Arial" w:hAnsi="Arial"/>
          <w:sz w:val="16"/>
          <w:szCs w:val="16"/>
          <w:u w:val="single" w:color="auto"/>
          <w:color w:val="auto"/>
        </w:rPr>
        <w:t>Term Benchmark Loan</w:t>
      </w:r>
      <w:r>
        <w:rPr>
          <w:rFonts w:ascii="Arial" w:cs="Arial" w:eastAsia="Arial" w:hAnsi="Arial"/>
          <w:sz w:val="16"/>
          <w:szCs w:val="16"/>
          <w:color w:val="auto"/>
        </w:rPr>
        <w:t>”, “</w:t>
      </w:r>
      <w:r>
        <w:rPr>
          <w:rFonts w:ascii="Arial" w:cs="Arial" w:eastAsia="Arial" w:hAnsi="Arial"/>
          <w:sz w:val="16"/>
          <w:szCs w:val="16"/>
          <w:u w:val="single" w:color="auto"/>
          <w:color w:val="auto"/>
        </w:rPr>
        <w:t>RFR Loan</w:t>
      </w:r>
      <w:r>
        <w:rPr>
          <w:rFonts w:ascii="Arial" w:cs="Arial" w:eastAsia="Arial" w:hAnsi="Arial"/>
          <w:sz w:val="16"/>
          <w:szCs w:val="16"/>
          <w:color w:val="auto"/>
        </w:rPr>
        <w:t>”, or “</w:t>
      </w:r>
      <w:r>
        <w:rPr>
          <w:rFonts w:ascii="Arial" w:cs="Arial" w:eastAsia="Arial" w:hAnsi="Arial"/>
          <w:sz w:val="16"/>
          <w:szCs w:val="16"/>
          <w:u w:val="single" w:color="auto"/>
          <w:color w:val="auto"/>
        </w:rPr>
        <w:t>ABR Loan</w:t>
      </w:r>
      <w:r>
        <w:rPr>
          <w:rFonts w:ascii="Arial" w:cs="Arial" w:eastAsia="Arial" w:hAnsi="Arial"/>
          <w:sz w:val="16"/>
          <w:szCs w:val="16"/>
          <w:color w:val="auto"/>
        </w:rPr>
        <w:t>”) or by Class and Type (</w:t>
      </w:r>
      <w:r>
        <w:rPr>
          <w:rFonts w:ascii="Arial" w:cs="Arial" w:eastAsia="Arial" w:hAnsi="Arial"/>
          <w:sz w:val="16"/>
          <w:szCs w:val="16"/>
          <w:u w:val="single" w:color="auto"/>
          <w:color w:val="auto"/>
        </w:rPr>
        <w:t>e.g</w:t>
      </w:r>
      <w:r>
        <w:rPr>
          <w:rFonts w:ascii="Arial" w:cs="Arial" w:eastAsia="Arial" w:hAnsi="Arial"/>
          <w:sz w:val="16"/>
          <w:szCs w:val="16"/>
          <w:color w:val="auto"/>
        </w:rPr>
        <w:t>., a “</w:t>
      </w:r>
      <w:r>
        <w:rPr>
          <w:rFonts w:ascii="Arial" w:cs="Arial" w:eastAsia="Arial" w:hAnsi="Arial"/>
          <w:sz w:val="16"/>
          <w:szCs w:val="16"/>
          <w:u w:val="single" w:color="auto"/>
          <w:color w:val="auto"/>
        </w:rPr>
        <w:t>Term Benchmark Revolving Loan</w:t>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-76200</wp:posOffset>
            </wp:positionV>
            <wp:extent cx="918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jc w:val="both"/>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Revolving Loan</w:t>
      </w:r>
      <w:r>
        <w:rPr>
          <w:rFonts w:ascii="Arial" w:cs="Arial" w:eastAsia="Arial" w:hAnsi="Arial"/>
          <w:sz w:val="17"/>
          <w:szCs w:val="17"/>
          <w:color w:val="auto"/>
        </w:rPr>
        <w:t>”). Borrowings also may be classified and referred to by Class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Revolving Borrowing</w:t>
      </w:r>
      <w:r>
        <w:rPr>
          <w:rFonts w:ascii="Arial" w:cs="Arial" w:eastAsia="Arial" w:hAnsi="Arial"/>
          <w:sz w:val="17"/>
          <w:szCs w:val="17"/>
          <w:color w:val="auto"/>
        </w:rPr>
        <w:t>” or “</w:t>
      </w:r>
      <w:r>
        <w:rPr>
          <w:rFonts w:ascii="Arial" w:cs="Arial" w:eastAsia="Arial" w:hAnsi="Arial"/>
          <w:sz w:val="17"/>
          <w:szCs w:val="17"/>
          <w:u w:val="single" w:color="auto"/>
          <w:color w:val="auto"/>
        </w:rPr>
        <w:t>Term Borrowing</w:t>
      </w:r>
      <w:r>
        <w:rPr>
          <w:rFonts w:ascii="Arial" w:cs="Arial" w:eastAsia="Arial" w:hAnsi="Arial"/>
          <w:sz w:val="17"/>
          <w:szCs w:val="17"/>
          <w:color w:val="auto"/>
        </w:rPr>
        <w:t>”) or by Type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FF0000"/>
        </w:rPr>
        <w:t>Eurodollar Borrowing</w:t>
      </w:r>
      <w:r>
        <w:rPr>
          <w:rFonts w:ascii="Arial" w:cs="Arial" w:eastAsia="Arial" w:hAnsi="Arial"/>
          <w:sz w:val="17"/>
          <w:szCs w:val="17"/>
          <w:color w:val="FF0000"/>
        </w:rPr>
        <w:t>”, “</w:t>
      </w:r>
      <w:r>
        <w:rPr>
          <w:rFonts w:ascii="Arial" w:cs="Arial" w:eastAsia="Arial" w:hAnsi="Arial"/>
          <w:sz w:val="17"/>
          <w:szCs w:val="17"/>
          <w:u w:val="single" w:color="auto"/>
          <w:color w:val="auto"/>
        </w:rPr>
        <w:t>Term Benchmark Borrowing</w:t>
      </w:r>
      <w:r>
        <w:rPr>
          <w:rFonts w:ascii="Arial" w:cs="Arial" w:eastAsia="Arial" w:hAnsi="Arial"/>
          <w:sz w:val="17"/>
          <w:szCs w:val="17"/>
          <w:color w:val="auto"/>
        </w:rPr>
        <w:t>”, or “</w:t>
      </w:r>
      <w:r>
        <w:rPr>
          <w:rFonts w:ascii="Arial" w:cs="Arial" w:eastAsia="Arial" w:hAnsi="Arial"/>
          <w:sz w:val="17"/>
          <w:szCs w:val="17"/>
          <w:u w:val="single" w:color="auto"/>
          <w:color w:val="auto"/>
        </w:rPr>
        <w:t>RFR Borrowing</w:t>
      </w:r>
      <w:r>
        <w:rPr>
          <w:rFonts w:ascii="Arial" w:cs="Arial" w:eastAsia="Arial" w:hAnsi="Arial"/>
          <w:sz w:val="17"/>
          <w:szCs w:val="17"/>
          <w:color w:val="auto"/>
        </w:rPr>
        <w:t>”) or by Class and Type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FF0000"/>
          <w:strike w:val="1"/>
        </w:rPr>
        <w:t>Eurodollar</w:t>
      </w:r>
      <w:r>
        <w:rPr>
          <w:rFonts w:ascii="Arial" w:cs="Arial" w:eastAsia="Arial" w:hAnsi="Arial"/>
          <w:sz w:val="17"/>
          <w:szCs w:val="17"/>
          <w:u w:val="single" w:color="auto"/>
          <w:color w:val="0000FF"/>
        </w:rPr>
        <w:t>Term Benchmark</w:t>
      </w:r>
      <w:r>
        <w:rPr>
          <w:rFonts w:ascii="Arial" w:cs="Arial" w:eastAsia="Arial" w:hAnsi="Arial"/>
          <w:sz w:val="17"/>
          <w:szCs w:val="17"/>
          <w:color w:val="auto"/>
        </w:rPr>
        <w:t xml:space="preserv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-75565</wp:posOffset>
            </wp:positionV>
            <wp:extent cx="11906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90625" cy="825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-24130</wp:posOffset>
            </wp:positionV>
            <wp:extent cx="275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590" cy="8255"/>
                    </a:xfrm>
                    <a:prstGeom prst="rect">
                      <a:avLst/>
                    </a:prstGeom>
                    <a:noFill/>
                  </pic:spPr>
                </pic:pic>
              </a:graphicData>
            </a:graphic>
          </wp:anchor>
        </w:drawing>
      </w:r>
    </w:p>
    <w:p>
      <w:pPr>
        <w:jc w:val="both"/>
        <w:spacing w:after="0" w:line="245" w:lineRule="auto"/>
        <w:rPr>
          <w:sz w:val="20"/>
          <w:szCs w:val="20"/>
          <w:color w:val="auto"/>
        </w:rPr>
      </w:pPr>
      <w:r>
        <w:rPr>
          <w:rFonts w:ascii="Arial" w:cs="Arial" w:eastAsia="Arial" w:hAnsi="Arial"/>
          <w:sz w:val="18"/>
          <w:szCs w:val="18"/>
          <w:u w:val="single" w:color="auto"/>
          <w:color w:val="auto"/>
        </w:rPr>
        <w:t>Loan Borrowing</w:t>
      </w:r>
      <w:r>
        <w:rPr>
          <w:rFonts w:ascii="Arial" w:cs="Arial" w:eastAsia="Arial" w:hAnsi="Arial"/>
          <w:sz w:val="18"/>
          <w:szCs w:val="18"/>
          <w:color w:val="auto"/>
        </w:rPr>
        <w:t>” or a “</w:t>
      </w:r>
      <w:r>
        <w:rPr>
          <w:rFonts w:ascii="Arial" w:cs="Arial" w:eastAsia="Arial" w:hAnsi="Arial"/>
          <w:sz w:val="18"/>
          <w:szCs w:val="18"/>
          <w:u w:val="single" w:color="auto"/>
          <w:color w:val="auto"/>
        </w:rPr>
        <w:t>Term Benchmark Revolving Borrowing</w:t>
      </w:r>
      <w:r>
        <w:rPr>
          <w:rFonts w:ascii="Arial" w:cs="Arial" w:eastAsia="Arial" w:hAnsi="Arial"/>
          <w:sz w:val="18"/>
          <w:szCs w:val="18"/>
          <w:color w:val="auto"/>
        </w:rPr>
        <w:t>”). Borrowings of Revolving Loans are sometimes referred to herein as “</w:t>
      </w:r>
      <w:r>
        <w:rPr>
          <w:rFonts w:ascii="Arial" w:cs="Arial" w:eastAsia="Arial" w:hAnsi="Arial"/>
          <w:sz w:val="18"/>
          <w:szCs w:val="18"/>
          <w:u w:val="single" w:color="auto"/>
          <w:color w:val="auto"/>
        </w:rPr>
        <w:t>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Borrowings</w:t>
      </w:r>
      <w:r>
        <w:rPr>
          <w:rFonts w:ascii="Arial" w:cs="Arial" w:eastAsia="Arial" w:hAnsi="Arial"/>
          <w:sz w:val="18"/>
          <w:szCs w:val="18"/>
          <w:color w:val="auto"/>
        </w:rPr>
        <w:t>”.</w:t>
      </w:r>
    </w:p>
    <w:p>
      <w:pPr>
        <w:spacing w:after="0" w:line="198"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Terms Generally</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21" w:right="339" w:bottom="1440" w:gutter="0" w:footer="0" w:header="0"/>
        </w:sectPr>
      </w:pPr>
    </w:p>
    <w:bookmarkStart w:id="92" w:name="page93"/>
    <w:bookmarkEnd w:id="92"/>
    <w:p>
      <w:pPr>
        <w:ind w:left="1620"/>
        <w:spacing w:after="0"/>
        <w:tabs>
          <w:tab w:leader="none" w:pos="29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82" w:lineRule="auto"/>
        <w:tabs>
          <w:tab w:leader="none" w:pos="16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First Lien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First Lien Loan Documents.</w:t>
      </w:r>
    </w:p>
    <w:p>
      <w:pPr>
        <w:spacing w:after="0" w:line="160" w:lineRule="exact"/>
        <w:rPr>
          <w:rFonts w:ascii="Arial" w:cs="Arial" w:eastAsia="Arial" w:hAnsi="Arial"/>
          <w:sz w:val="16"/>
          <w:szCs w:val="16"/>
          <w:color w:val="auto"/>
        </w:rPr>
      </w:pPr>
    </w:p>
    <w:p>
      <w:pPr>
        <w:jc w:val="both"/>
        <w:ind w:firstLine="1094"/>
        <w:spacing w:after="0" w:line="246" w:lineRule="auto"/>
        <w:tabs>
          <w:tab w:leader="none" w:pos="15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9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Effectuation of Transactions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177"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Limited Condition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7"/>
          <w:szCs w:val="17"/>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Arial" w:cs="Arial" w:eastAsia="Arial" w:hAnsi="Arial"/>
          <w:sz w:val="17"/>
          <w:szCs w:val="17"/>
          <w:u w:val="single" w:color="auto"/>
          <w:color w:val="auto"/>
        </w:rPr>
        <w:t>LCT Election</w:t>
      </w:r>
      <w:r>
        <w:rPr>
          <w:rFonts w:ascii="Arial" w:cs="Arial" w:eastAsia="Arial" w:hAnsi="Arial"/>
          <w:sz w:val="17"/>
          <w:szCs w:val="17"/>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Arial" w:cs="Arial" w:eastAsia="Arial" w:hAnsi="Arial"/>
          <w:sz w:val="17"/>
          <w:szCs w:val="17"/>
          <w:u w:val="single" w:color="auto"/>
          <w:color w:val="auto"/>
        </w:rPr>
        <w:t>LCT Test Date</w:t>
      </w:r>
      <w:r>
        <w:rPr>
          <w:rFonts w:ascii="Arial" w:cs="Arial" w:eastAsia="Arial" w:hAnsi="Arial"/>
          <w:sz w:val="17"/>
          <w:szCs w:val="17"/>
          <w:color w:val="auto"/>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21" w:right="3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17"/>
          <w:szCs w:val="17"/>
          <w:color w:val="auto"/>
        </w:rPr>
        <w:t>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191"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Certain Determinations</w:t>
      </w:r>
      <w:r>
        <w:rPr>
          <w:rFonts w:ascii="Arial" w:cs="Arial" w:eastAsia="Arial" w:hAnsi="Arial"/>
          <w:sz w:val="16"/>
          <w:szCs w:val="16"/>
          <w:color w:val="auto"/>
        </w:rPr>
        <w:t>.</w:t>
      </w:r>
    </w:p>
    <w:p>
      <w:pPr>
        <w:spacing w:after="0" w:line="212" w:lineRule="exact"/>
        <w:rPr>
          <w:sz w:val="20"/>
          <w:szCs w:val="20"/>
          <w:color w:val="auto"/>
        </w:rPr>
      </w:pPr>
    </w:p>
    <w:p>
      <w:pPr>
        <w:ind w:left="80" w:right="40" w:firstLine="1105"/>
        <w:spacing w:after="0" w:line="274" w:lineRule="auto"/>
        <w:tabs>
          <w:tab w:leader="none" w:pos="1943" w:val="left"/>
        </w:tabs>
        <w:numPr>
          <w:ilvl w:val="1"/>
          <w:numId w:val="79"/>
        </w:numPr>
        <w:rPr>
          <w:rFonts w:ascii="Arial" w:cs="Arial" w:eastAsia="Arial" w:hAnsi="Arial"/>
          <w:sz w:val="16"/>
          <w:szCs w:val="16"/>
          <w:color w:val="auto"/>
        </w:rPr>
      </w:pPr>
      <w:r>
        <w:rPr>
          <w:rFonts w:ascii="Arial" w:cs="Arial" w:eastAsia="Arial" w:hAnsi="Arial"/>
          <w:sz w:val="16"/>
          <w:szCs w:val="16"/>
          <w:color w:val="auto"/>
        </w:rPr>
        <w:t>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and the Liens securing the Permitted Second Priority Debt incurred on the Effective Date), Investment, Indebtedness (other than Indebtedness incurred under the First Lien Loan Documents and the Permitted Second Priority Debt incurred under the Second Lien Loan Documents on the Effective Date), Disposition, Restricted Payment or Affiliate transaction (or, in each case, any portion there) is permitted and</w:t>
      </w:r>
    </w:p>
    <w:p>
      <w:pPr>
        <w:spacing w:after="0" w:line="3" w:lineRule="exact"/>
        <w:rPr>
          <w:rFonts w:ascii="Arial" w:cs="Arial" w:eastAsia="Arial" w:hAnsi="Arial"/>
          <w:sz w:val="16"/>
          <w:szCs w:val="16"/>
          <w:color w:val="auto"/>
        </w:rPr>
      </w:pPr>
    </w:p>
    <w:p>
      <w:pPr>
        <w:ind w:left="360" w:hanging="271"/>
        <w:spacing w:after="0"/>
        <w:tabs>
          <w:tab w:leader="none" w:pos="3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shall be permitted, in its sole discretion, to make any redetermination and/or to divide, classify or reclassify under which category or categories such</w:t>
      </w:r>
    </w:p>
    <w:p>
      <w:pPr>
        <w:spacing w:after="0" w:line="30" w:lineRule="exact"/>
        <w:rPr>
          <w:sz w:val="20"/>
          <w:szCs w:val="20"/>
          <w:color w:val="auto"/>
        </w:rPr>
      </w:pPr>
    </w:p>
    <w:p>
      <w:pPr>
        <w:ind w:left="80" w:right="140"/>
        <w:spacing w:after="0" w:line="259" w:lineRule="auto"/>
        <w:rPr>
          <w:sz w:val="20"/>
          <w:szCs w:val="20"/>
          <w:color w:val="auto"/>
        </w:rPr>
      </w:pPr>
      <w:r>
        <w:rPr>
          <w:rFonts w:ascii="Arial" w:cs="Arial" w:eastAsia="Arial" w:hAnsi="Arial"/>
          <w:sz w:val="17"/>
          <w:szCs w:val="17"/>
          <w:color w:val="auto"/>
        </w:rPr>
        <w:t>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186" w:lineRule="exact"/>
        <w:rPr>
          <w:sz w:val="20"/>
          <w:szCs w:val="20"/>
          <w:color w:val="auto"/>
        </w:rPr>
      </w:pPr>
    </w:p>
    <w:p>
      <w:pPr>
        <w:ind w:left="80" w:right="100" w:firstLine="1095"/>
        <w:spacing w:after="0" w:line="246" w:lineRule="auto"/>
        <w:tabs>
          <w:tab w:leader="none" w:pos="19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183" w:lineRule="exact"/>
        <w:rPr>
          <w:rFonts w:ascii="Arial" w:cs="Arial" w:eastAsia="Arial" w:hAnsi="Arial"/>
          <w:sz w:val="18"/>
          <w:szCs w:val="18"/>
          <w:color w:val="auto"/>
        </w:rPr>
      </w:pPr>
    </w:p>
    <w:p>
      <w:pPr>
        <w:ind w:left="80" w:right="220" w:firstLine="1105"/>
        <w:spacing w:after="0" w:line="249" w:lineRule="auto"/>
        <w:tabs>
          <w:tab w:leader="none" w:pos="19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182"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Additional Alternative Currencies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21" w:right="339" w:bottom="1440" w:gutter="0" w:footer="0" w:header="0"/>
        </w:sectPr>
      </w:pPr>
    </w:p>
    <w:bookmarkStart w:id="94" w:name="page95"/>
    <w:bookmarkEnd w:id="94"/>
    <w:p>
      <w:pPr>
        <w:jc w:val="both"/>
        <w:ind w:firstLine="1105"/>
        <w:spacing w:after="0" w:line="249" w:lineRule="auto"/>
        <w:tabs>
          <w:tab w:leader="none" w:pos="1863"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Borrower may from time to time request that Revolving Loans be made and/or Letters of Credit be issued in a currency other than Dollars or those specifically listed in the definition of “Alternative Currency.” In the case of any such request with respect to the making of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w:t>
      </w:r>
    </w:p>
    <w:p>
      <w:pPr>
        <w:spacing w:after="0" w:line="181" w:lineRule="exact"/>
        <w:rPr>
          <w:rFonts w:ascii="Arial" w:cs="Arial" w:eastAsia="Arial" w:hAnsi="Arial"/>
          <w:sz w:val="18"/>
          <w:szCs w:val="18"/>
          <w:color w:val="auto"/>
        </w:rPr>
      </w:pPr>
    </w:p>
    <w:p>
      <w:pPr>
        <w:jc w:val="both"/>
        <w:ind w:firstLine="1095"/>
        <w:spacing w:after="0" w:line="262" w:lineRule="auto"/>
        <w:tabs>
          <w:tab w:leader="none" w:pos="1863"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such request shall be made to the First Lien Administrative Agent not later than 11:00 a.m. (New York City time), ten (10) 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Revolving Loans) or each Issuing Bank (in the case of a request pertaining to Letters of Credit) shall notify the First Lien Administrative Agent, not later than 11:00 a.m. (New York City time), two (2) Business Days after its receipt of such request as to whether it consents, in its sole discretion, to the making of Revolving Loans or the issuance of Letters of Credit, as the case may be, in such requested currency.</w:t>
      </w:r>
    </w:p>
    <w:p>
      <w:pPr>
        <w:spacing w:after="0" w:line="171" w:lineRule="exact"/>
        <w:rPr>
          <w:rFonts w:ascii="Arial" w:cs="Arial" w:eastAsia="Arial" w:hAnsi="Arial"/>
          <w:sz w:val="17"/>
          <w:szCs w:val="17"/>
          <w:color w:val="auto"/>
        </w:rPr>
      </w:pPr>
    </w:p>
    <w:p>
      <w:pPr>
        <w:jc w:val="both"/>
        <w:ind w:firstLine="1105"/>
        <w:spacing w:after="0" w:line="278" w:lineRule="auto"/>
        <w:tabs>
          <w:tab w:leader="none" w:pos="1863"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failure by a Revolving Lender or an Issuing Bank, as the case may be, to respond to such request within the time period specified in the last sentence of clause (b) above shall be deemed to be a refusal by such Revolving Lender or such Issuing Bank, as the case may be, to permit Revolving Loans to be made or Letters of Credit to be issued in such requested currency. If the First Lien Administrative Agent and all the Revolving Lenders consent to making Revolving Loans in such requested currency, the First Lien Administrative Agent shall so notify the Borrower and</w:t>
      </w:r>
    </w:p>
    <w:p>
      <w:pPr>
        <w:ind w:left="220" w:hanging="211"/>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First Lien Administrative Agent and the Revolving Lenders may amend this Agreement to the extent necessary to add the applicable interest rate for</w:t>
      </w:r>
    </w:p>
    <w:p>
      <w:pPr>
        <w:spacing w:after="0" w:line="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such currency and (ii) to the extent such amendments have been made to add the applicable interest rate for such currency, such currency shall thereupon be deemed for all purposes to be an Alternative Currency hereunder for purposes of any Borrowings of Revolving Loans. If the First Lien Administrative Agent and each Issuing Bank consent to the issuance of Letters of Credit in such requested currency, the First Lien Administrative Agent shall so notify the Borrower and (i) the First Lien Administrative Agent and the Issuing Banks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w:t>
      </w:r>
    </w:p>
    <w:p>
      <w:pPr>
        <w:spacing w:after="0" w:line="186" w:lineRule="exact"/>
        <w:rPr>
          <w:sz w:val="20"/>
          <w:szCs w:val="20"/>
          <w:color w:val="auto"/>
        </w:rPr>
      </w:pPr>
    </w:p>
    <w:p>
      <w:pPr>
        <w:ind w:left="1220"/>
        <w:spacing w:after="0"/>
        <w:tabs>
          <w:tab w:leader="none" w:pos="250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Currency Equivalents Generally.</w:t>
      </w:r>
    </w:p>
    <w:p>
      <w:pPr>
        <w:spacing w:after="0" w:line="225" w:lineRule="exact"/>
        <w:rPr>
          <w:sz w:val="20"/>
          <w:szCs w:val="20"/>
          <w:color w:val="auto"/>
        </w:rPr>
      </w:pPr>
    </w:p>
    <w:p>
      <w:pPr>
        <w:jc w:val="both"/>
        <w:ind w:firstLine="1105"/>
        <w:spacing w:after="0" w:line="263" w:lineRule="auto"/>
        <w:tabs>
          <w:tab w:leader="none" w:pos="186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spacing w:after="0" w:line="172" w:lineRule="exact"/>
        <w:rPr>
          <w:rFonts w:ascii="Arial" w:cs="Arial" w:eastAsia="Arial" w:hAnsi="Arial"/>
          <w:sz w:val="17"/>
          <w:szCs w:val="17"/>
          <w:color w:val="auto"/>
        </w:rPr>
      </w:pPr>
    </w:p>
    <w:p>
      <w:pPr>
        <w:jc w:val="both"/>
        <w:ind w:firstLine="1095"/>
        <w:spacing w:after="0" w:line="249" w:lineRule="auto"/>
        <w:tabs>
          <w:tab w:leader="none" w:pos="18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400" w:top="1421" w:right="339" w:bottom="1440" w:gutter="0" w:footer="0" w:header="0"/>
        </w:sectPr>
      </w:pPr>
    </w:p>
    <w:bookmarkStart w:id="95" w:name="page96"/>
    <w:bookmarkEnd w:id="95"/>
    <w:p>
      <w:pPr>
        <w:ind w:left="1300"/>
        <w:spacing w:after="0"/>
        <w:tabs>
          <w:tab w:leader="none" w:pos="258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Change in Currency</w:t>
      </w:r>
      <w:r>
        <w:rPr>
          <w:rFonts w:ascii="Arial" w:cs="Arial" w:eastAsia="Arial" w:hAnsi="Arial"/>
          <w:sz w:val="16"/>
          <w:szCs w:val="16"/>
          <w:color w:val="auto"/>
        </w:rPr>
        <w:t>.</w:t>
      </w:r>
    </w:p>
    <w:p>
      <w:pPr>
        <w:spacing w:after="0" w:line="212" w:lineRule="exact"/>
        <w:rPr>
          <w:sz w:val="20"/>
          <w:szCs w:val="20"/>
          <w:color w:val="auto"/>
        </w:rPr>
      </w:pPr>
    </w:p>
    <w:p>
      <w:pPr>
        <w:jc w:val="both"/>
        <w:ind w:left="80" w:firstLine="1105"/>
        <w:spacing w:after="0" w:line="264" w:lineRule="auto"/>
        <w:tabs>
          <w:tab w:leader="none" w:pos="2011"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182" w:lineRule="exact"/>
        <w:rPr>
          <w:rFonts w:ascii="Arial" w:cs="Arial" w:eastAsia="Arial" w:hAnsi="Arial"/>
          <w:sz w:val="17"/>
          <w:szCs w:val="17"/>
          <w:color w:val="auto"/>
        </w:rPr>
      </w:pPr>
    </w:p>
    <w:p>
      <w:pPr>
        <w:jc w:val="both"/>
        <w:ind w:firstLine="1094"/>
        <w:spacing w:after="0" w:line="256" w:lineRule="auto"/>
        <w:tabs>
          <w:tab w:leader="none" w:pos="13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spacing w:after="0" w:line="174" w:lineRule="exact"/>
        <w:rPr>
          <w:rFonts w:ascii="Arial" w:cs="Arial" w:eastAsia="Arial" w:hAnsi="Arial"/>
          <w:sz w:val="18"/>
          <w:szCs w:val="18"/>
          <w:color w:val="auto"/>
        </w:rPr>
      </w:pPr>
    </w:p>
    <w:p>
      <w:pPr>
        <w:jc w:val="both"/>
        <w:ind w:firstLine="1104"/>
        <w:spacing w:after="0" w:line="256" w:lineRule="auto"/>
        <w:tabs>
          <w:tab w:leader="none" w:pos="13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Divisions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Arial" w:cs="Arial" w:eastAsia="Arial" w:hAnsi="Arial"/>
          <w:sz w:val="16"/>
          <w:szCs w:val="16"/>
          <w:u w:val="single" w:color="auto"/>
          <w:color w:val="auto"/>
        </w:rPr>
        <w:t>Division</w:t>
      </w:r>
      <w:r>
        <w:rPr>
          <w:rFonts w:ascii="Arial" w:cs="Arial" w:eastAsia="Arial" w:hAnsi="Arial"/>
          <w:sz w:val="16"/>
          <w:szCs w:val="16"/>
          <w:color w:val="auto"/>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170"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color w:val="FF0000"/>
          <w:strike w:val="1"/>
        </w:rPr>
        <w:t>LIBOR Discontinuation</w:t>
      </w:r>
      <w:r>
        <w:rPr>
          <w:rFonts w:ascii="Arial" w:cs="Arial" w:eastAsia="Arial" w:hAnsi="Arial"/>
          <w:sz w:val="16"/>
          <w:szCs w:val="16"/>
          <w:color w:val="0000FF"/>
          <w:strike w:val="1"/>
        </w:rPr>
        <w:t>[Reserved].</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p>
    <w:p>
      <w:pPr>
        <w:spacing w:after="0" w:line="204"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color w:val="FF0000"/>
          <w:strike w:val="1"/>
        </w:rPr>
        <w:t>The interest rate on a Term Loan denominated in Dollars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In light of this eventuality, public and private sector industry initiatives are currently underway to identify new or alternative reference rates to be used in place of the London interbank offered rate. Upon the occurrence of a Benchmark Transition Event, and with respect to the Term Loans only, a Term SOFR Transition Event or an Early Opt-In Election,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21" w:right="339" w:bottom="1440" w:gutter="0" w:footer="0" w:header="0"/>
        </w:sectPr>
      </w:pPr>
    </w:p>
    <w:bookmarkStart w:id="96" w:name="page97"/>
    <w:bookmarkEnd w:id="96"/>
    <w:p>
      <w:pPr>
        <w:jc w:val="both"/>
        <w:spacing w:after="0" w:line="280" w:lineRule="auto"/>
        <w:rPr>
          <w:sz w:val="20"/>
          <w:szCs w:val="20"/>
          <w:color w:val="auto"/>
        </w:rPr>
      </w:pPr>
      <w:r>
        <w:rPr>
          <w:rFonts w:ascii="Arial" w:cs="Arial" w:eastAsia="Arial" w:hAnsi="Arial"/>
          <w:sz w:val="19"/>
          <w:szCs w:val="19"/>
          <w:color w:val="FF0000"/>
          <w:strike w:val="1"/>
        </w:rPr>
        <w:t>applicable, Section 2.14(b) and (c) provide a mechanism for determining an alternative rate of interest. The First Lien Administrative Agent will promptly notify the Borrower, pursuant to Section 2.14(e), of any change to the reference rate upon which the interest rate on Eurodollar Loans is based. However, the First Lien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2.14(b) or (c), whether upon the occurrence of a Benchmark Transition Event, a Term SOFR Transition Event or an Early Opt-in Election, and (ii) 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Interest Rate; Benchmark Replacement.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FF0000"/>
          <w:strike w:val="1"/>
        </w:rPr>
        <w:t>This Section 1.13 applies solely with respect to the Revolving Facility.</w:t>
      </w:r>
      <w:r>
        <w:rPr>
          <w:rFonts w:ascii="Arial" w:cs="Arial" w:eastAsia="Arial" w:hAnsi="Arial"/>
          <w:sz w:val="17"/>
          <w:szCs w:val="17"/>
          <w:color w:val="FF0000"/>
        </w:rPr>
        <w:t xml:space="preserve"> </w:t>
      </w:r>
      <w:r>
        <w:rPr>
          <w:rFonts w:ascii="Arial" w:cs="Arial" w:eastAsia="Arial" w:hAnsi="Arial"/>
          <w:sz w:val="17"/>
          <w:szCs w:val="17"/>
          <w:color w:val="000000"/>
        </w:rPr>
        <w:t>The interest rate on a Loan denominated in Dollars or a Loan</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denominated in an Alternative Currency may be derived from an interest rate benchmark that may be discontinued or is, or may in the future become, the subject of regulatory reform. Upon the occurrence of a Benchmark Transition Event, Section 2.14 provides a mechanism for determining an alternative rate of interest. The First Lien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 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to the extent provided by and attributable to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ARTICLE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Subject to the terms and conditions set forth herein, (a) each Term Lender agrees to make Term Loans to the Borrower on the Effective Date denominated in Dollars in a principal amount not exceeding such Term Lender’s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Term Loans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14" w:right="339" w:bottom="1440" w:gutter="0" w:footer="0" w:header="0"/>
        </w:sectPr>
      </w:pPr>
    </w:p>
    <w:bookmarkStart w:id="97" w:name="page98"/>
    <w:bookmarkEnd w:id="97"/>
    <w:p>
      <w:pPr>
        <w:ind w:left="130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88" w:lineRule="auto"/>
        <w:tabs>
          <w:tab w:leader="none" w:pos="1533"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65" w:lineRule="exact"/>
        <w:rPr>
          <w:rFonts w:ascii="Arial" w:cs="Arial" w:eastAsia="Arial" w:hAnsi="Arial"/>
          <w:sz w:val="16"/>
          <w:szCs w:val="16"/>
          <w:color w:val="auto"/>
        </w:rPr>
      </w:pPr>
    </w:p>
    <w:p>
      <w:pPr>
        <w:jc w:val="both"/>
        <w:ind w:firstLine="1094"/>
        <w:spacing w:after="0" w:line="260" w:lineRule="auto"/>
        <w:tabs>
          <w:tab w:leader="none" w:pos="1491"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Subject to Section 2.14, (i) each Term Borrowing shall be comprised entirely of ABR Loans </w:t>
      </w:r>
      <w:r>
        <w:rPr>
          <w:rFonts w:ascii="Arial" w:cs="Arial" w:eastAsia="Arial" w:hAnsi="Arial"/>
          <w:sz w:val="17"/>
          <w:szCs w:val="17"/>
          <w:color w:val="FF0000"/>
          <w:strike w:val="1"/>
        </w:rPr>
        <w:t>and Eurodollar</w:t>
      </w:r>
      <w:r>
        <w:rPr>
          <w:rFonts w:ascii="Arial" w:cs="Arial" w:eastAsia="Arial" w:hAnsi="Arial"/>
          <w:sz w:val="17"/>
          <w:szCs w:val="17"/>
          <w:u w:val="single" w:color="auto"/>
          <w:color w:val="0000FF"/>
        </w:rPr>
        <w:t>or Term Benchmark</w:t>
      </w:r>
      <w:r>
        <w:rPr>
          <w:rFonts w:ascii="Arial" w:cs="Arial" w:eastAsia="Arial" w:hAnsi="Arial"/>
          <w:sz w:val="17"/>
          <w:szCs w:val="17"/>
          <w:color w:val="auto"/>
        </w:rPr>
        <w:t xml:space="preserve"> Loans as the Borrower may request in accordance herewith and (ii) each Revolving Borrowing shall be comprised entirely of ABR Loans, Term Benchmark Loans or RFR Loans as the Borrower may request in accordance herewith</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auto"/>
        </w:rPr>
        <w:t xml:space="preserve"> </w:t>
      </w:r>
      <w:r>
        <w:rPr>
          <w:rFonts w:ascii="Arial" w:cs="Arial" w:eastAsia="Arial" w:hAnsi="Arial"/>
          <w:sz w:val="17"/>
          <w:szCs w:val="17"/>
          <w:color w:val="FF0000"/>
          <w:strike w:val="1"/>
        </w:rPr>
        <w:t>that all Borrowings made on the Effective Date must be made as ABR</w:t>
      </w:r>
      <w:r>
        <w:rPr>
          <w:rFonts w:ascii="Arial" w:cs="Arial" w:eastAsia="Arial" w:hAnsi="Arial"/>
          <w:sz w:val="17"/>
          <w:szCs w:val="17"/>
          <w:color w:val="auto"/>
        </w:rPr>
        <w:t xml:space="preserve"> </w:t>
      </w:r>
      <w:r>
        <w:rPr>
          <w:rFonts w:ascii="Arial" w:cs="Arial" w:eastAsia="Arial" w:hAnsi="Arial"/>
          <w:sz w:val="17"/>
          <w:szCs w:val="17"/>
          <w:color w:val="FF0000"/>
          <w:strike w:val="1"/>
        </w:rPr>
        <w:t>Borrowings unless the Borrower shall have given the notice required for a Eurodollar Borrowing under Section 2.03 and provided an indemnity letter extending the benefits of Section 2.16 to Lenders in respect of such Borrowings</w:t>
      </w:r>
      <w:r>
        <w:rPr>
          <w:rFonts w:ascii="Arial" w:cs="Arial" w:eastAsia="Arial" w:hAnsi="Arial"/>
          <w:sz w:val="17"/>
          <w:szCs w:val="17"/>
          <w:color w:val="000000"/>
          <w:strike w:val="1"/>
        </w:rPr>
        <w:t>. Revolving Loans denominated in (i) Dollars may be Term Benchmark</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Loans, ABR Loans or RFR Loans; (ii) Canadian Dollars may be Term Benchmark Loans or ABR Loans, (iii) any Alternative Currency (other than Canadian Dollars or Sterling) shall be Term Benchmark Loans and (iv) Sterling shall be SONIA Loans. Each Lender at its option may make any Loan by causing any domestic or foreign branch or Affiliate of such Lender to make such Loan; </w:t>
      </w:r>
      <w:r>
        <w:rPr>
          <w:rFonts w:ascii="Arial" w:cs="Arial" w:eastAsia="Arial" w:hAnsi="Arial"/>
          <w:sz w:val="17"/>
          <w:szCs w:val="17"/>
          <w:u w:val="single" w:color="auto"/>
          <w:color w:val="000000"/>
          <w:strike w:val="1"/>
        </w:rPr>
        <w:t>provided</w:t>
      </w:r>
      <w:r>
        <w:rPr>
          <w:rFonts w:ascii="Arial" w:cs="Arial" w:eastAsia="Arial" w:hAnsi="Arial"/>
          <w:sz w:val="17"/>
          <w:szCs w:val="17"/>
          <w:color w:val="000000"/>
          <w:strike w:val="1"/>
        </w:rPr>
        <w:t xml:space="preserve"> that any exercise of such option shall not affect the obligation of the Borrower to repay such Loan in accordance with the terms of this Agreement.</w:t>
      </w:r>
    </w:p>
    <w:p>
      <w:pPr>
        <w:spacing w:after="0" w:line="186" w:lineRule="exact"/>
        <w:rPr>
          <w:rFonts w:ascii="Arial" w:cs="Arial" w:eastAsia="Arial" w:hAnsi="Arial"/>
          <w:sz w:val="17"/>
          <w:szCs w:val="17"/>
          <w:color w:val="auto"/>
        </w:rPr>
      </w:pPr>
    </w:p>
    <w:p>
      <w:pPr>
        <w:jc w:val="both"/>
        <w:ind w:firstLine="1104"/>
        <w:spacing w:after="0" w:line="259" w:lineRule="auto"/>
        <w:tabs>
          <w:tab w:leader="none" w:pos="1572"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w:t>
      </w:r>
      <w:r>
        <w:rPr>
          <w:rFonts w:ascii="Arial" w:cs="Arial" w:eastAsia="Arial" w:hAnsi="Arial"/>
          <w:sz w:val="17"/>
          <w:szCs w:val="17"/>
          <w:color w:val="FF0000"/>
          <w:strike w:val="1"/>
        </w:rPr>
        <w:t>Eurodollar Borrowing or</w:t>
      </w:r>
      <w:r>
        <w:rPr>
          <w:rFonts w:ascii="Arial" w:cs="Arial" w:eastAsia="Arial" w:hAnsi="Arial"/>
          <w:sz w:val="17"/>
          <w:szCs w:val="17"/>
          <w:color w:val="auto"/>
        </w:rPr>
        <w:t xml:space="preserve"> Term Benchmark Borrowing</w:t>
      </w:r>
      <w:r>
        <w:rPr>
          <w:rFonts w:ascii="Arial" w:cs="Arial" w:eastAsia="Arial" w:hAnsi="Arial"/>
          <w:sz w:val="17"/>
          <w:szCs w:val="17"/>
          <w:color w:val="FF0000"/>
          <w:strike w:val="1"/>
        </w:rPr>
        <w:t>, as applicable,</w:t>
      </w:r>
      <w:r>
        <w:rPr>
          <w:rFonts w:ascii="Arial" w:cs="Arial" w:eastAsia="Arial" w:hAnsi="Arial"/>
          <w:sz w:val="17"/>
          <w:szCs w:val="17"/>
          <w:color w:val="auto"/>
        </w:rPr>
        <w:t xml:space="preserve"> such Borrowing shall be in an aggregate amount that is an integral multiple of the Borrowing Multiple and not less than the Borrowing Minimum;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t>
      </w:r>
      <w:r>
        <w:rPr>
          <w:rFonts w:ascii="Arial" w:cs="Arial" w:eastAsia="Arial" w:hAnsi="Arial"/>
          <w:sz w:val="17"/>
          <w:szCs w:val="17"/>
          <w:color w:val="FF0000"/>
          <w:strike w:val="1"/>
        </w:rPr>
        <w:t>Eurodollar Borrowing and/or</w:t>
      </w:r>
      <w:r>
        <w:rPr>
          <w:rFonts w:ascii="Arial" w:cs="Arial" w:eastAsia="Arial" w:hAnsi="Arial"/>
          <w:sz w:val="17"/>
          <w:szCs w:val="17"/>
          <w:color w:val="auto"/>
        </w:rPr>
        <w:t xml:space="preserve"> Term Benchmark Borrowing that results from a continuation of an outstanding </w:t>
      </w:r>
      <w:r>
        <w:rPr>
          <w:rFonts w:ascii="Arial" w:cs="Arial" w:eastAsia="Arial" w:hAnsi="Arial"/>
          <w:sz w:val="17"/>
          <w:szCs w:val="17"/>
          <w:color w:val="FF0000"/>
          <w:strike w:val="1"/>
        </w:rPr>
        <w:t>Eurodollar Borrowing or</w:t>
      </w:r>
      <w:r>
        <w:rPr>
          <w:rFonts w:ascii="Arial" w:cs="Arial" w:eastAsia="Arial" w:hAnsi="Arial"/>
          <w:sz w:val="17"/>
          <w:szCs w:val="17"/>
          <w:color w:val="auto"/>
        </w:rPr>
        <w:t xml:space="preserve"> Term Benchmark Borrowing</w:t>
      </w:r>
      <w:r>
        <w:rPr>
          <w:rFonts w:ascii="Arial" w:cs="Arial" w:eastAsia="Arial" w:hAnsi="Arial"/>
          <w:sz w:val="17"/>
          <w:szCs w:val="17"/>
          <w:color w:val="FF0000"/>
          <w:strike w:val="1"/>
        </w:rPr>
        <w:t>, as applicable,</w:t>
      </w:r>
      <w:r>
        <w:rPr>
          <w:rFonts w:ascii="Arial" w:cs="Arial" w:eastAsia="Arial" w:hAnsi="Arial"/>
          <w:sz w:val="17"/>
          <w:szCs w:val="17"/>
          <w:color w:val="auto"/>
        </w:rPr>
        <w:t xml:space="preserve"> may be in an aggregate amount that is equal to such outstanding Borrowing. At the time that each ABR Borrowing or RFR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be more than a total of (i) twelve </w:t>
      </w:r>
      <w:r>
        <w:rPr>
          <w:rFonts w:ascii="Arial" w:cs="Arial" w:eastAsia="Arial" w:hAnsi="Arial"/>
          <w:sz w:val="17"/>
          <w:szCs w:val="17"/>
          <w:color w:val="FF0000"/>
          <w:strike w:val="1"/>
        </w:rPr>
        <w:t>Eurodollar Borrowings,</w:t>
      </w:r>
      <w:r>
        <w:rPr>
          <w:rFonts w:ascii="Arial" w:cs="Arial" w:eastAsia="Arial" w:hAnsi="Arial"/>
          <w:sz w:val="17"/>
          <w:szCs w:val="17"/>
          <w:color w:val="FF0000"/>
        </w:rPr>
        <w:t xml:space="preserve"> </w:t>
      </w:r>
      <w:r>
        <w:rPr>
          <w:rFonts w:ascii="Arial" w:cs="Arial" w:eastAsia="Arial" w:hAnsi="Arial"/>
          <w:sz w:val="17"/>
          <w:szCs w:val="17"/>
          <w:color w:val="000000"/>
        </w:rPr>
        <w:t>Term Benchmark Borrowings or RFR Borrowings (other than Borrowings denominated in Sterling) outstanding, and (ii) four</w:t>
      </w:r>
      <w:r>
        <w:rPr>
          <w:rFonts w:ascii="Arial" w:cs="Arial" w:eastAsia="Arial" w:hAnsi="Arial"/>
          <w:sz w:val="17"/>
          <w:szCs w:val="17"/>
          <w:color w:val="FF0000"/>
        </w:rPr>
        <w:t xml:space="preserve"> </w:t>
      </w:r>
      <w:r>
        <w:rPr>
          <w:rFonts w:ascii="Arial" w:cs="Arial" w:eastAsia="Arial" w:hAnsi="Arial"/>
          <w:sz w:val="17"/>
          <w:szCs w:val="17"/>
          <w:color w:val="000000"/>
        </w:rPr>
        <w:t>SONIA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1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Requests for Borrowings.</w:t>
      </w:r>
    </w:p>
    <w:p>
      <w:pPr>
        <w:spacing w:after="0" w:line="212" w:lineRule="exact"/>
        <w:rPr>
          <w:sz w:val="20"/>
          <w:szCs w:val="20"/>
          <w:color w:val="auto"/>
        </w:rPr>
      </w:pPr>
    </w:p>
    <w:p>
      <w:pPr>
        <w:ind w:firstLine="1296"/>
        <w:spacing w:after="0" w:line="260" w:lineRule="auto"/>
        <w:rPr>
          <w:sz w:val="20"/>
          <w:szCs w:val="20"/>
          <w:color w:val="auto"/>
        </w:rPr>
      </w:pPr>
      <w:r>
        <w:rPr>
          <w:rFonts w:ascii="Arial" w:cs="Arial" w:eastAsia="Arial" w:hAnsi="Arial"/>
          <w:sz w:val="17"/>
          <w:szCs w:val="17"/>
          <w:color w:val="auto"/>
        </w:rPr>
        <w:t xml:space="preserve">To request a </w:t>
      </w:r>
      <w:r>
        <w:rPr>
          <w:rFonts w:ascii="Arial" w:cs="Arial" w:eastAsia="Arial" w:hAnsi="Arial"/>
          <w:sz w:val="17"/>
          <w:szCs w:val="17"/>
          <w:color w:val="FF0000"/>
          <w:strike w:val="1"/>
        </w:rPr>
        <w:t>Revolving Borrowing or Term</w:t>
      </w:r>
      <w:r>
        <w:rPr>
          <w:rFonts w:ascii="Arial" w:cs="Arial" w:eastAsia="Arial" w:hAnsi="Arial"/>
          <w:sz w:val="17"/>
          <w:szCs w:val="17"/>
          <w:color w:val="auto"/>
        </w:rPr>
        <w:t xml:space="preserve"> Borrowing, the Borrower shall notify the First Lien Administrative Agent of such request by telephone (a) in the case of a </w:t>
      </w:r>
      <w:r>
        <w:rPr>
          <w:rFonts w:ascii="Arial" w:cs="Arial" w:eastAsia="Arial" w:hAnsi="Arial"/>
          <w:sz w:val="17"/>
          <w:szCs w:val="17"/>
          <w:color w:val="FF0000"/>
          <w:strike w:val="1"/>
        </w:rPr>
        <w:t>Eurodollar Borrowing or</w:t>
      </w:r>
      <w:r>
        <w:rPr>
          <w:rFonts w:ascii="Arial" w:cs="Arial" w:eastAsia="Arial" w:hAnsi="Arial"/>
          <w:sz w:val="17"/>
          <w:szCs w:val="17"/>
          <w:color w:val="auto"/>
        </w:rPr>
        <w:t xml:space="preserve"> Term Benchmark Borrowing in Dollars or Canadian Dollars, not later than 2:00 p.m., New York City time, three (3) Business Days before the date of the proposed Borrowing, (b) in the case of an ABR Borrowing, not later than 10:00 a.m., New York City time, on the date of the proposed Borrowing, (c) in the case of a SONIA Borrowing, not later than 2:00 p.m. London, England time, five (5) Business Days before the date of the proposed Borrowing, (d) in the case of an RFR Borrowing (other than a SONIA Borrowing), not later than 11:00 a.m. New York City time, five (5) Business Days before the date of the proposed Borrowing (or such later time as the First Lien Administrative Agent may agree in its sole discretion) or (e) in the case of Term Benchmark Borrowing denominated in Euro, not later than 12:00 p.m., New York City time, three (3) Business Days before the date of the proposed Borrowing. Each such telephonic Borrowing Request shall be irrevocable and 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21" w:right="339" w:bottom="1440" w:gutter="0" w:footer="0" w:header="0"/>
        </w:sectPr>
      </w:pPr>
    </w:p>
    <w:bookmarkStart w:id="98" w:name="page99"/>
    <w:bookmarkEnd w:id="98"/>
    <w:p>
      <w:pPr>
        <w:jc w:val="both"/>
        <w:ind w:left="400" w:firstLine="907"/>
        <w:spacing w:after="0" w:line="261" w:lineRule="auto"/>
        <w:rPr>
          <w:sz w:val="20"/>
          <w:szCs w:val="20"/>
          <w:color w:val="auto"/>
        </w:rPr>
      </w:pPr>
      <w:r>
        <w:rPr>
          <w:rFonts w:ascii="Arial" w:cs="Arial" w:eastAsia="Arial" w:hAnsi="Arial"/>
          <w:sz w:val="18"/>
          <w:szCs w:val="18"/>
          <w:color w:val="auto"/>
        </w:rPr>
        <w:t>(i). whether the requested Borrowing is to be a Revolving Borrowing, a Term Borrowing or a Borrowing of any other Class (specifying the Class thereof);</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the aggregate amount of such Borrowing;</w:t>
      </w: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the date of such Borrowing, which shall be a Business Day;</w:t>
      </w:r>
    </w:p>
    <w:p>
      <w:pPr>
        <w:spacing w:after="0" w:line="225" w:lineRule="exact"/>
        <w:rPr>
          <w:sz w:val="20"/>
          <w:szCs w:val="20"/>
          <w:color w:val="auto"/>
        </w:rPr>
      </w:pPr>
    </w:p>
    <w:p>
      <w:pPr>
        <w:jc w:val="both"/>
        <w:ind w:left="400" w:firstLine="907"/>
        <w:spacing w:after="0" w:line="261" w:lineRule="auto"/>
        <w:rPr>
          <w:sz w:val="20"/>
          <w:szCs w:val="20"/>
          <w:color w:val="auto"/>
        </w:rPr>
      </w:pPr>
      <w:r>
        <w:rPr>
          <w:rFonts w:ascii="Arial" w:cs="Arial" w:eastAsia="Arial" w:hAnsi="Arial"/>
          <w:sz w:val="18"/>
          <w:szCs w:val="18"/>
          <w:color w:val="auto"/>
        </w:rPr>
        <w:t xml:space="preserve">(iv). whether such Borrowing is to be an ABR Borrowing, a </w:t>
      </w:r>
      <w:r>
        <w:rPr>
          <w:rFonts w:ascii="Arial" w:cs="Arial" w:eastAsia="Arial" w:hAnsi="Arial"/>
          <w:sz w:val="18"/>
          <w:szCs w:val="18"/>
          <w:color w:val="FF0000"/>
          <w:strike w:val="1"/>
        </w:rPr>
        <w:t>Eurodollar Borrowing, a</w:t>
      </w:r>
      <w:r>
        <w:rPr>
          <w:rFonts w:ascii="Arial" w:cs="Arial" w:eastAsia="Arial" w:hAnsi="Arial"/>
          <w:sz w:val="18"/>
          <w:szCs w:val="18"/>
          <w:color w:val="auto"/>
        </w:rPr>
        <w:t xml:space="preserve"> Term Benchmark Borrowing or an RFR Borrowing </w:t>
      </w:r>
      <w:r>
        <w:rPr>
          <w:rFonts w:ascii="Arial" w:cs="Arial" w:eastAsia="Arial" w:hAnsi="Arial"/>
          <w:sz w:val="18"/>
          <w:szCs w:val="18"/>
          <w:color w:val="FF0000"/>
          <w:strike w:val="1"/>
        </w:rPr>
        <w:t>(provided that Term Borrowings and Term Loans shall only be available as ABR Loans and Eurodollar Loans)</w:t>
      </w:r>
      <w:r>
        <w:rPr>
          <w:rFonts w:ascii="Arial" w:cs="Arial" w:eastAsia="Arial" w:hAnsi="Arial"/>
          <w:sz w:val="18"/>
          <w:szCs w:val="18"/>
          <w:color w:val="auto"/>
        </w:rPr>
        <w:t>;</w:t>
      </w:r>
    </w:p>
    <w:p>
      <w:pPr>
        <w:spacing w:after="0" w:line="184" w:lineRule="exact"/>
        <w:rPr>
          <w:sz w:val="20"/>
          <w:szCs w:val="20"/>
          <w:color w:val="auto"/>
        </w:rPr>
      </w:pPr>
    </w:p>
    <w:p>
      <w:pPr>
        <w:jc w:val="both"/>
        <w:ind w:left="400" w:firstLine="907"/>
        <w:spacing w:after="0" w:line="261" w:lineRule="auto"/>
        <w:rPr>
          <w:sz w:val="20"/>
          <w:szCs w:val="20"/>
          <w:color w:val="auto"/>
        </w:rPr>
      </w:pPr>
      <w:r>
        <w:rPr>
          <w:rFonts w:ascii="Arial" w:cs="Arial" w:eastAsia="Arial" w:hAnsi="Arial"/>
          <w:sz w:val="18"/>
          <w:szCs w:val="18"/>
          <w:color w:val="auto"/>
        </w:rPr>
        <w:t xml:space="preserve">(v). in the case of a </w:t>
      </w:r>
      <w:r>
        <w:rPr>
          <w:rFonts w:ascii="Arial" w:cs="Arial" w:eastAsia="Arial" w:hAnsi="Arial"/>
          <w:sz w:val="18"/>
          <w:szCs w:val="18"/>
          <w:color w:val="FF0000"/>
          <w:strike w:val="1"/>
        </w:rPr>
        <w:t>Eurodollar Borrowing or</w:t>
      </w:r>
      <w:r>
        <w:rPr>
          <w:rFonts w:ascii="Arial" w:cs="Arial" w:eastAsia="Arial" w:hAnsi="Arial"/>
          <w:sz w:val="18"/>
          <w:szCs w:val="18"/>
          <w:color w:val="auto"/>
        </w:rPr>
        <w:t xml:space="preserve"> Term Benchmark Borrowing, the initial Interest Period to be applicable thereto, which shall be a period contemplated by the definition of the term “Interest Period”;</w:t>
      </w:r>
    </w:p>
    <w:p>
      <w:pPr>
        <w:spacing w:after="0" w:line="184" w:lineRule="exact"/>
        <w:rPr>
          <w:sz w:val="20"/>
          <w:szCs w:val="20"/>
          <w:color w:val="auto"/>
        </w:rPr>
      </w:pPr>
    </w:p>
    <w:p>
      <w:pPr>
        <w:jc w:val="both"/>
        <w:ind w:left="400" w:firstLine="907"/>
        <w:spacing w:after="0" w:line="256" w:lineRule="auto"/>
        <w:rPr>
          <w:sz w:val="20"/>
          <w:szCs w:val="20"/>
          <w:color w:val="auto"/>
        </w:rPr>
      </w:pPr>
      <w:r>
        <w:rPr>
          <w:rFonts w:ascii="Arial" w:cs="Arial" w:eastAsia="Arial" w:hAnsi="Arial"/>
          <w:sz w:val="18"/>
          <w:szCs w:val="18"/>
          <w:color w:val="auto"/>
        </w:rPr>
        <w:t>(vi). 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175" w:lineRule="exact"/>
        <w:rPr>
          <w:sz w:val="20"/>
          <w:szCs w:val="20"/>
          <w:color w:val="auto"/>
        </w:rPr>
      </w:pPr>
    </w:p>
    <w:p>
      <w:pPr>
        <w:jc w:val="center"/>
        <w:ind w:right="40"/>
        <w:spacing w:after="0"/>
        <w:tabs>
          <w:tab w:leader="none" w:pos="28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that as of the date of such Borrowing, the conditions set forth in Sections 4.02(a) and 4.02(b) are satisfied; and</w:t>
      </w:r>
    </w:p>
    <w:p>
      <w:pPr>
        <w:spacing w:after="0" w:line="212" w:lineRule="exact"/>
        <w:rPr>
          <w:sz w:val="20"/>
          <w:szCs w:val="20"/>
          <w:color w:val="auto"/>
        </w:rPr>
      </w:pPr>
    </w:p>
    <w:p>
      <w:pPr>
        <w:ind w:left="1960" w:hanging="656"/>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a Revolving Borrowing, the currency in which such Borrowing is to be denominated.</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If no election as to the Type of Borrowing is specified as to any requested Borrowing in Dollars or Canadian Dollars, then the requested Borrowing shall be an ABR Borrowing. If no Interest Period is specified with respect to any requested </w:t>
      </w:r>
      <w:r>
        <w:rPr>
          <w:rFonts w:ascii="Arial" w:cs="Arial" w:eastAsia="Arial" w:hAnsi="Arial"/>
          <w:sz w:val="18"/>
          <w:szCs w:val="18"/>
          <w:color w:val="FF0000"/>
          <w:strike w:val="1"/>
        </w:rPr>
        <w:t>Eurodollar Borrowing (in the case of Term Loans) or</w:t>
      </w:r>
      <w:r>
        <w:rPr>
          <w:rFonts w:ascii="Arial" w:cs="Arial" w:eastAsia="Arial" w:hAnsi="Arial"/>
          <w:sz w:val="18"/>
          <w:szCs w:val="18"/>
          <w:color w:val="auto"/>
        </w:rPr>
        <w:t xml:space="preserve"> Term Benchmark Borrowing </w:t>
      </w:r>
      <w:r>
        <w:rPr>
          <w:rFonts w:ascii="Arial" w:cs="Arial" w:eastAsia="Arial" w:hAnsi="Arial"/>
          <w:sz w:val="18"/>
          <w:szCs w:val="18"/>
          <w:color w:val="FF0000"/>
        </w:rPr>
        <w:t>(in the case of Revolving Loans)</w:t>
      </w:r>
      <w:r>
        <w:rPr>
          <w:rFonts w:ascii="Arial" w:cs="Arial" w:eastAsia="Arial" w:hAnsi="Arial"/>
          <w:sz w:val="18"/>
          <w:szCs w:val="18"/>
          <w:color w:val="auto"/>
        </w:rPr>
        <w:t xml:space="preserve">, then the Borrower shall be deemed to have selected an Interest Period of one month’s duration. If no currency is specified with respect to any requested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-611505</wp:posOffset>
            </wp:positionV>
            <wp:extent cx="1532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6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jc w:val="both"/>
        <w:ind w:firstLine="1104"/>
        <w:spacing w:after="0" w:line="263" w:lineRule="auto"/>
        <w:tabs>
          <w:tab w:leader="none" w:pos="1504"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72" w:lineRule="exact"/>
        <w:rPr>
          <w:rFonts w:ascii="Arial" w:cs="Arial" w:eastAsia="Arial" w:hAnsi="Arial"/>
          <w:sz w:val="17"/>
          <w:szCs w:val="17"/>
          <w:color w:val="auto"/>
        </w:rPr>
      </w:pPr>
    </w:p>
    <w:p>
      <w:pPr>
        <w:jc w:val="both"/>
        <w:ind w:firstLine="1094"/>
        <w:spacing w:after="0" w:line="286" w:lineRule="auto"/>
        <w:tabs>
          <w:tab w:leader="none" w:pos="154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request a Swingline Loan, the Borrower shall notify the First Lien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21" w:right="339" w:bottom="1440" w:gutter="0" w:footer="0" w:header="0"/>
        </w:sectPr>
      </w:pPr>
    </w:p>
    <w:bookmarkStart w:id="99" w:name="page100"/>
    <w:bookmarkEnd w:id="99"/>
    <w:p>
      <w:pPr>
        <w:jc w:val="both"/>
        <w:spacing w:after="0" w:line="283" w:lineRule="auto"/>
        <w:rPr>
          <w:sz w:val="20"/>
          <w:szCs w:val="20"/>
          <w:color w:val="auto"/>
        </w:rPr>
      </w:pPr>
      <w:r>
        <w:rPr>
          <w:rFonts w:ascii="Arial" w:cs="Arial" w:eastAsia="Arial" w:hAnsi="Arial"/>
          <w:sz w:val="16"/>
          <w:szCs w:val="16"/>
          <w:color w:val="auto"/>
        </w:rPr>
        <w:t>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Lender shall be under any obligation to make a Swingline Loan if any Lender is at that time a Defaulting Lender, if after giving effect to Section 2.22(a)(iv), any Defaulting Lender Fronting Exposure remains outstanding.</w:t>
      </w:r>
    </w:p>
    <w:p>
      <w:pPr>
        <w:spacing w:after="0" w:line="170" w:lineRule="exact"/>
        <w:rPr>
          <w:sz w:val="20"/>
          <w:szCs w:val="20"/>
          <w:color w:val="auto"/>
        </w:rPr>
      </w:pPr>
    </w:p>
    <w:p>
      <w:pPr>
        <w:jc w:val="both"/>
        <w:ind w:firstLine="1104"/>
        <w:spacing w:after="0" w:line="258" w:lineRule="auto"/>
        <w:tabs>
          <w:tab w:leader="none" w:pos="1588"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 references to 3:00 p.m., New York City time) (and Section 2.06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payment obligations of the Revolving Lenders pursuant to this paragraph), and the First Lien Administrative Agent shall promptly remit 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175" w:lineRule="exact"/>
        <w:rPr>
          <w:rFonts w:ascii="Arial" w:cs="Arial" w:eastAsia="Arial" w:hAnsi="Arial"/>
          <w:sz w:val="17"/>
          <w:szCs w:val="17"/>
          <w:color w:val="auto"/>
        </w:rPr>
      </w:pPr>
    </w:p>
    <w:p>
      <w:pPr>
        <w:jc w:val="both"/>
        <w:ind w:firstLine="1094"/>
        <w:spacing w:after="0" w:line="283" w:lineRule="auto"/>
        <w:tabs>
          <w:tab w:leader="none" w:pos="15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spacing w:after="0" w:line="169" w:lineRule="exact"/>
        <w:rPr>
          <w:rFonts w:ascii="Arial" w:cs="Arial" w:eastAsia="Arial" w:hAnsi="Arial"/>
          <w:sz w:val="16"/>
          <w:szCs w:val="16"/>
          <w:color w:val="auto"/>
        </w:rPr>
      </w:pPr>
    </w:p>
    <w:p>
      <w:pPr>
        <w:jc w:val="both"/>
        <w:ind w:firstLine="1104"/>
        <w:spacing w:after="0" w:line="249" w:lineRule="auto"/>
        <w:tabs>
          <w:tab w:leader="none" w:pos="1599"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shall become effective until and unless the Swingline Exposure of such Swingline Lender shall have been reduced to zero. Notwithstanding the effectiveness of any such termination, the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21" w:right="339" w:bottom="1440" w:gutter="0" w:footer="0" w:header="0"/>
        </w:sectPr>
      </w:pPr>
    </w:p>
    <w:bookmarkStart w:id="100" w:name="page101"/>
    <w:bookmarkEnd w:id="100"/>
    <w:p>
      <w:pPr>
        <w:spacing w:after="0" w:line="261" w:lineRule="auto"/>
        <w:rPr>
          <w:sz w:val="20"/>
          <w:szCs w:val="20"/>
          <w:color w:val="auto"/>
        </w:rPr>
      </w:pPr>
      <w:r>
        <w:rPr>
          <w:rFonts w:ascii="Arial" w:cs="Arial" w:eastAsia="Arial" w:hAnsi="Arial"/>
          <w:sz w:val="18"/>
          <w:szCs w:val="18"/>
          <w:color w:val="auto"/>
        </w:rPr>
        <w:t>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84"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80" w:lineRule="auto"/>
        <w:tabs>
          <w:tab w:leader="none" w:pos="1554"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w:t>
      </w:r>
    </w:p>
    <w:p>
      <w:pPr>
        <w:spacing w:after="0" w:line="160" w:lineRule="exact"/>
        <w:rPr>
          <w:rFonts w:ascii="Arial" w:cs="Arial" w:eastAsia="Arial" w:hAnsi="Arial"/>
          <w:sz w:val="16"/>
          <w:szCs w:val="16"/>
          <w:color w:val="auto"/>
        </w:rPr>
      </w:pPr>
    </w:p>
    <w:p>
      <w:pPr>
        <w:ind w:firstLine="1094"/>
        <w:spacing w:after="0" w:line="274" w:lineRule="auto"/>
        <w:tabs>
          <w:tab w:leader="none" w:pos="152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Issuance, Amendment, Renewal or Extension; Certain Conditions</w:t>
      </w:r>
      <w:r>
        <w:rPr>
          <w:rFonts w:ascii="Arial" w:cs="Arial" w:eastAsia="Arial" w:hAnsi="Arial"/>
          <w:sz w:val="16"/>
          <w:szCs w:val="16"/>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Arial" w:cs="Arial" w:eastAsia="Arial" w:hAnsi="Arial"/>
          <w:sz w:val="16"/>
          <w:szCs w:val="16"/>
          <w:u w:val="single" w:color="auto"/>
          <w:color w:val="auto"/>
        </w:rPr>
        <w:t>Letter of Credit Request</w:t>
      </w:r>
      <w:r>
        <w:rPr>
          <w:rFonts w:ascii="Arial" w:cs="Arial" w:eastAsia="Arial" w:hAnsi="Arial"/>
          <w:sz w:val="16"/>
          <w:szCs w:val="16"/>
          <w:color w:val="auto"/>
        </w:rPr>
        <w: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 Revolving Commitments and (iii) (p) the aggregate LC Exposure of Barclays Bank PLC shall not exceed the Barclays Letter of Credit Sublimit, (q) the aggregate LC Exposure of Citibank, N.A. shall not exceed the Citigroup Letter of Credit Sublimit, (r) the aggregate LC Exposure of Citizens Bank, N.A. shall not exceed the Citizens Letter of Credit Sublimit, (s) the aggregate LC Exposure of Credit Suisse AG, New York Branch shall not exceed the Credit Suisse Letter of Credit Sublimit, (t) the aggregate LC Exposure of Goldman Sachs Bank USA shall not exceed the Goldman Sachs Letter of Credit Sublimit, (u) the aggregate LC Exposure of Jefferies Finance LLC shall not exceed the Jefferies Letter of Credit Sublimit, (v) the aggregate LC Exposure of JPMorgan Chase Bank, N.A. shall not exceed the JPM Letter of Credit Sublimit, (w) the aggregate LC Exposure of KeyBank National Association shall not exceed the Keybank Letter of Credit Sublimit, (x) the aggregate LC Exposure of Royal Bank of Canada shall not exceed the RBC Letter of Credit Sublimit, (y) the aggregate LC Exposure of BNP Paribas shall not exceed the BNP Paribas Letter of Credit Sublimit and (z)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21" w:right="339" w:bottom="1440" w:gutter="0" w:footer="0" w:header="0"/>
        </w:sectPr>
      </w:pPr>
    </w:p>
    <w:bookmarkStart w:id="101" w:name="page102"/>
    <w:bookmarkEnd w:id="101"/>
    <w:p>
      <w:pPr>
        <w:spacing w:after="0" w:line="275" w:lineRule="auto"/>
        <w:rPr>
          <w:sz w:val="20"/>
          <w:szCs w:val="20"/>
          <w:color w:val="auto"/>
        </w:rPr>
      </w:pPr>
      <w:r>
        <w:rPr>
          <w:rFonts w:ascii="Arial" w:cs="Arial" w:eastAsia="Arial" w:hAnsi="Arial"/>
          <w:sz w:val="16"/>
          <w:szCs w:val="16"/>
          <w:color w:val="auto"/>
        </w:rPr>
        <w:t>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spacing w:after="0" w:line="171" w:lineRule="exact"/>
        <w:rPr>
          <w:sz w:val="20"/>
          <w:szCs w:val="20"/>
          <w:color w:val="auto"/>
        </w:rPr>
      </w:pPr>
    </w:p>
    <w:p>
      <w:pPr>
        <w:ind w:firstLine="1104"/>
        <w:spacing w:after="0" w:line="308" w:lineRule="auto"/>
        <w:tabs>
          <w:tab w:leader="none" w:pos="1533" w:val="left"/>
        </w:tabs>
        <w:numPr>
          <w:ilvl w:val="0"/>
          <w:numId w:val="92"/>
        </w:numPr>
        <w:rPr>
          <w:rFonts w:ascii="Arial" w:cs="Arial" w:eastAsia="Arial" w:hAnsi="Arial"/>
          <w:sz w:val="17"/>
          <w:szCs w:val="17"/>
          <w:color w:val="auto"/>
        </w:rPr>
      </w:pPr>
      <w:r>
        <w:rPr>
          <w:rFonts w:ascii="Arial" w:cs="Arial" w:eastAsia="Arial" w:hAnsi="Arial"/>
          <w:sz w:val="17"/>
          <w:szCs w:val="17"/>
          <w:color w:val="auto"/>
        </w:rPr>
        <w:t>Notice.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spacing w:after="0" w:line="132" w:lineRule="exact"/>
        <w:rPr>
          <w:rFonts w:ascii="Arial" w:cs="Arial" w:eastAsia="Arial" w:hAnsi="Arial"/>
          <w:sz w:val="17"/>
          <w:szCs w:val="17"/>
          <w:color w:val="auto"/>
        </w:rPr>
      </w:pPr>
    </w:p>
    <w:p>
      <w:pPr>
        <w:jc w:val="both"/>
        <w:ind w:firstLine="1094"/>
        <w:spacing w:after="0" w:line="252" w:lineRule="auto"/>
        <w:tabs>
          <w:tab w:leader="none" w:pos="1532"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Expiration Date.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expiry date is not a Business Day, such Letter of Credit shall expire at or prior to the close of business on the next succeeding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Letter of Credit shall not be required to expire on such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200" w:lineRule="exact"/>
        <w:rPr>
          <w:rFonts w:ascii="Arial" w:cs="Arial" w:eastAsia="Arial" w:hAnsi="Arial"/>
          <w:sz w:val="17"/>
          <w:szCs w:val="17"/>
          <w:color w:val="auto"/>
        </w:rPr>
      </w:pPr>
    </w:p>
    <w:p>
      <w:pPr>
        <w:jc w:val="both"/>
        <w:ind w:firstLine="1104"/>
        <w:spacing w:after="0" w:line="268" w:lineRule="auto"/>
        <w:tabs>
          <w:tab w:leader="none" w:pos="1601"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Participations in Letters of Credit.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-2696210</wp:posOffset>
            </wp:positionV>
            <wp:extent cx="454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-2293620</wp:posOffset>
            </wp:positionV>
            <wp:extent cx="8775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7757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-433070</wp:posOffset>
            </wp:positionV>
            <wp:extent cx="1764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6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21" w:right="339" w:bottom="1440" w:gutter="0" w:footer="0" w:header="0"/>
        </w:sectPr>
      </w:pPr>
    </w:p>
    <w:bookmarkStart w:id="102" w:name="page103"/>
    <w:bookmarkEnd w:id="102"/>
    <w:p>
      <w:pPr>
        <w:jc w:val="both"/>
        <w:spacing w:after="0" w:line="261" w:lineRule="auto"/>
        <w:rPr>
          <w:sz w:val="20"/>
          <w:szCs w:val="20"/>
          <w:color w:val="auto"/>
        </w:rPr>
      </w:pPr>
      <w:r>
        <w:rPr>
          <w:rFonts w:ascii="Arial" w:cs="Arial" w:eastAsia="Arial" w:hAnsi="Arial"/>
          <w:sz w:val="17"/>
          <w:szCs w:val="17"/>
          <w:color w:val="auto"/>
        </w:rPr>
        <w:t>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189" w:lineRule="exact"/>
        <w:rPr>
          <w:sz w:val="20"/>
          <w:szCs w:val="20"/>
          <w:color w:val="auto"/>
        </w:rPr>
      </w:pPr>
    </w:p>
    <w:p>
      <w:pPr>
        <w:jc w:val="both"/>
        <w:ind w:firstLine="1124"/>
        <w:spacing w:after="0" w:line="257" w:lineRule="auto"/>
        <w:tabs>
          <w:tab w:leader="none" w:pos="164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Reimbursement of LC Disbursements</w:t>
      </w:r>
      <w:r>
        <w:rPr>
          <w:rFonts w:ascii="Arial" w:cs="Arial" w:eastAsia="Arial" w:hAnsi="Arial"/>
          <w:sz w:val="17"/>
          <w:szCs w:val="17"/>
          <w:color w:val="auto"/>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Arial" w:cs="Arial" w:eastAsia="Arial" w:hAnsi="Arial"/>
          <w:sz w:val="17"/>
          <w:szCs w:val="17"/>
          <w:u w:val="single" w:color="auto"/>
          <w:color w:val="auto"/>
        </w:rPr>
        <w:t>LC Reimbursement Date</w:t>
      </w:r>
      <w:r>
        <w:rPr>
          <w:rFonts w:ascii="Arial" w:cs="Arial" w:eastAsia="Arial" w:hAnsi="Arial"/>
          <w:sz w:val="17"/>
          <w:szCs w:val="17"/>
          <w:color w:val="auto"/>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201" w:lineRule="exact"/>
        <w:rPr>
          <w:rFonts w:ascii="Arial" w:cs="Arial" w:eastAsia="Arial" w:hAnsi="Arial"/>
          <w:sz w:val="17"/>
          <w:szCs w:val="17"/>
          <w:color w:val="auto"/>
        </w:rPr>
      </w:pPr>
    </w:p>
    <w:p>
      <w:pPr>
        <w:jc w:val="both"/>
        <w:ind w:firstLine="1094"/>
        <w:spacing w:after="0" w:line="276" w:lineRule="auto"/>
        <w:tabs>
          <w:tab w:leader="none" w:pos="1561"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21" w:right="339" w:bottom="1440" w:gutter="0" w:footer="0" w:header="0"/>
        </w:sectPr>
      </w:pPr>
    </w:p>
    <w:bookmarkStart w:id="103" w:name="page104"/>
    <w:bookmarkEnd w:id="103"/>
    <w:p>
      <w:pPr>
        <w:jc w:val="both"/>
        <w:spacing w:after="0" w:line="274" w:lineRule="auto"/>
        <w:rPr>
          <w:sz w:val="20"/>
          <w:szCs w:val="20"/>
          <w:color w:val="auto"/>
        </w:rPr>
      </w:pPr>
      <w:r>
        <w:rPr>
          <w:rFonts w:ascii="Arial" w:cs="Arial" w:eastAsia="Arial" w:hAnsi="Arial"/>
          <w:sz w:val="16"/>
          <w:szCs w:val="16"/>
          <w:color w:val="auto"/>
        </w:rPr>
        <w:t>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w:t>
      </w:r>
    </w:p>
    <w:p>
      <w:pPr>
        <w:spacing w:after="0" w:line="6" w:lineRule="exact"/>
        <w:rPr>
          <w:sz w:val="20"/>
          <w:szCs w:val="20"/>
          <w:color w:val="auto"/>
        </w:rPr>
      </w:pPr>
    </w:p>
    <w:p>
      <w:pPr>
        <w:jc w:val="both"/>
        <w:ind w:firstLine="8"/>
        <w:spacing w:after="0" w:line="256" w:lineRule="auto"/>
        <w:tabs>
          <w:tab w:leader="none" w:pos="319" w:val="left"/>
        </w:tabs>
        <w:numPr>
          <w:ilvl w:val="0"/>
          <w:numId w:val="94"/>
        </w:numPr>
        <w:rPr>
          <w:rFonts w:ascii="Arial" w:cs="Arial" w:eastAsia="Arial" w:hAnsi="Arial"/>
          <w:sz w:val="17"/>
          <w:szCs w:val="17"/>
          <w:color w:val="auto"/>
        </w:rPr>
      </w:pPr>
      <w:r>
        <w:rPr>
          <w:rFonts w:ascii="Arial" w:cs="Arial" w:eastAsia="Arial" w:hAnsi="Arial"/>
          <w:sz w:val="17"/>
          <w:szCs w:val="17"/>
          <w:color w:val="auto"/>
        </w:rPr>
        <w:t>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201" w:lineRule="exact"/>
        <w:rPr>
          <w:rFonts w:ascii="Arial" w:cs="Arial" w:eastAsia="Arial" w:hAnsi="Arial"/>
          <w:sz w:val="17"/>
          <w:szCs w:val="17"/>
          <w:color w:val="auto"/>
        </w:rPr>
      </w:pPr>
    </w:p>
    <w:p>
      <w:pPr>
        <w:ind w:right="120" w:firstLine="1094"/>
        <w:spacing w:after="0" w:line="288" w:lineRule="auto"/>
        <w:tabs>
          <w:tab w:leader="none" w:pos="1521"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Disbursement Procedures</w:t>
      </w:r>
      <w:r>
        <w:rPr>
          <w:rFonts w:ascii="Arial" w:cs="Arial" w:eastAsia="Arial" w:hAnsi="Arial"/>
          <w:sz w:val="16"/>
          <w:szCs w:val="16"/>
          <w:color w:val="auto"/>
        </w:rPr>
        <w:t xml:space="preserve">. Each Issuing Bank shall, promptly following its receipt thereof, examine all documents purporting to represent a demand for payment under such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w:t>
      </w:r>
    </w:p>
    <w:p>
      <w:pPr>
        <w:spacing w:after="0" w:line="151" w:lineRule="exact"/>
        <w:rPr>
          <w:rFonts w:ascii="Arial" w:cs="Arial" w:eastAsia="Arial" w:hAnsi="Arial"/>
          <w:sz w:val="16"/>
          <w:szCs w:val="16"/>
          <w:color w:val="auto"/>
        </w:rPr>
      </w:pPr>
    </w:p>
    <w:p>
      <w:pPr>
        <w:jc w:val="both"/>
        <w:ind w:firstLine="1134"/>
        <w:spacing w:after="0" w:line="261" w:lineRule="auto"/>
        <w:tabs>
          <w:tab w:leader="none" w:pos="1739"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21" w:right="339" w:bottom="1440" w:gutter="0" w:footer="0" w:header="0"/>
        </w:sectPr>
      </w:pPr>
    </w:p>
    <w:bookmarkStart w:id="104" w:name="page105"/>
    <w:bookmarkEnd w:id="104"/>
    <w:p>
      <w:pPr>
        <w:spacing w:after="0" w:line="261" w:lineRule="auto"/>
        <w:rPr>
          <w:sz w:val="20"/>
          <w:szCs w:val="20"/>
          <w:color w:val="auto"/>
        </w:rPr>
      </w:pPr>
      <w:r>
        <w:rPr>
          <w:rFonts w:ascii="Arial" w:cs="Arial" w:eastAsia="Arial" w:hAnsi="Arial"/>
          <w:sz w:val="18"/>
          <w:szCs w:val="18"/>
          <w:color w:val="auto"/>
        </w:rPr>
        <w:t>to the extent of such payment and shall be payable on demand or, if no demand has been made, on the date on which the Borrower reimburses the applicable LC Disbursement in full.</w:t>
      </w:r>
    </w:p>
    <w:p>
      <w:pPr>
        <w:spacing w:after="0" w:line="184" w:lineRule="exact"/>
        <w:rPr>
          <w:sz w:val="20"/>
          <w:szCs w:val="20"/>
          <w:color w:val="auto"/>
        </w:rPr>
      </w:pPr>
    </w:p>
    <w:p>
      <w:pPr>
        <w:jc w:val="both"/>
        <w:ind w:firstLine="1134"/>
        <w:spacing w:after="0" w:line="274" w:lineRule="auto"/>
        <w:tabs>
          <w:tab w:leader="none" w:pos="166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Cash Collateralization of Letters of Credit</w:t>
      </w:r>
      <w:r>
        <w:rPr>
          <w:rFonts w:ascii="Arial" w:cs="Arial" w:eastAsia="Arial" w:hAnsi="Arial"/>
          <w:sz w:val="16"/>
          <w:szCs w:val="16"/>
          <w:color w:val="auto"/>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w:t>
      </w:r>
    </w:p>
    <w:p>
      <w:pPr>
        <w:spacing w:after="0" w:line="178" w:lineRule="exact"/>
        <w:rPr>
          <w:rFonts w:ascii="Arial" w:cs="Arial" w:eastAsia="Arial" w:hAnsi="Arial"/>
          <w:sz w:val="16"/>
          <w:szCs w:val="16"/>
          <w:color w:val="auto"/>
        </w:rPr>
      </w:pPr>
    </w:p>
    <w:p>
      <w:pPr>
        <w:jc w:val="both"/>
        <w:ind w:firstLine="1094"/>
        <w:spacing w:after="0" w:line="244" w:lineRule="auto"/>
        <w:tabs>
          <w:tab w:leader="none" w:pos="153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21" w:right="339" w:bottom="1440" w:gutter="0" w:footer="0" w:header="0"/>
        </w:sectPr>
      </w:pPr>
    </w:p>
    <w:bookmarkStart w:id="105" w:name="page106"/>
    <w:bookmarkEnd w:id="105"/>
    <w:p>
      <w:pPr>
        <w:ind w:right="20" w:firstLine="1134"/>
        <w:spacing w:after="0" w:line="277" w:lineRule="auto"/>
        <w:tabs>
          <w:tab w:leader="none" w:pos="1521"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Resignation or Termination of an Issuing Bank</w:t>
      </w:r>
      <w:r>
        <w:rPr>
          <w:rFonts w:ascii="Arial" w:cs="Arial" w:eastAsia="Arial" w:hAnsi="Arial"/>
          <w:sz w:val="16"/>
          <w:szCs w:val="16"/>
          <w:color w:val="auto"/>
        </w:rPr>
        <w:t>.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 (i) such Issuing Bank’s acknowledging receipt of such notice and (ii) the fifth Business Day following the date of the delivery thereof; provided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w:t>
      </w:r>
    </w:p>
    <w:p>
      <w:pPr>
        <w:spacing w:after="0" w:line="165" w:lineRule="exact"/>
        <w:rPr>
          <w:rFonts w:ascii="Arial" w:cs="Arial" w:eastAsia="Arial" w:hAnsi="Arial"/>
          <w:sz w:val="16"/>
          <w:szCs w:val="16"/>
          <w:color w:val="auto"/>
        </w:rPr>
      </w:pPr>
    </w:p>
    <w:p>
      <w:pPr>
        <w:jc w:val="both"/>
        <w:ind w:firstLine="1044"/>
        <w:spacing w:after="0" w:line="283" w:lineRule="auto"/>
        <w:tabs>
          <w:tab w:leader="none" w:pos="1581"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Issuing Bank Reports to the First Lien Administrative Agent</w:t>
      </w:r>
      <w:r>
        <w:rPr>
          <w:rFonts w:ascii="Arial" w:cs="Arial" w:eastAsia="Arial" w:hAnsi="Arial"/>
          <w:sz w:val="16"/>
          <w:szCs w:val="16"/>
          <w:color w:val="auto"/>
        </w:rPr>
        <w:t>. Unless otherwise agreed by the First Lien Administrative Agent, each Issuing Bank shall, in addition to its notification obligations set forth elsewhere in this Section 2.05, report in writing to the First Lien Administrative Agent</w:t>
      </w:r>
    </w:p>
    <w:p>
      <w:pPr>
        <w:ind w:left="220" w:hanging="212"/>
        <w:spacing w:after="0"/>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periodic activity (for such period or recurrent periods as shall be requested by the First Lien Administrative Agent) in respect of Letters of Credit issued</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Bank shall have any liability hereunder to any Person for any failure to deliver the reports contemplated by this paragraph (m) of Section 2.05.</w:t>
      </w:r>
    </w:p>
    <w:p>
      <w:pPr>
        <w:spacing w:after="0" w:line="194" w:lineRule="exact"/>
        <w:rPr>
          <w:sz w:val="20"/>
          <w:szCs w:val="20"/>
          <w:color w:val="auto"/>
        </w:rPr>
      </w:pPr>
    </w:p>
    <w:p>
      <w:pPr>
        <w:jc w:val="both"/>
        <w:ind w:firstLine="1094"/>
        <w:spacing w:after="0" w:line="282" w:lineRule="auto"/>
        <w:tabs>
          <w:tab w:leader="none" w:pos="1565"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applicable Issuing Bank and the Borrower when a Letter of Credit is issued or when it is amended with the consent of the beneficiary thereof, (i) the rules of the ISP shall apply to each standby Letter of Credit, and</w:t>
      </w:r>
    </w:p>
    <w:p>
      <w:pPr>
        <w:jc w:val="both"/>
        <w:ind w:firstLine="8"/>
        <w:spacing w:after="0" w:line="244" w:lineRule="auto"/>
        <w:tabs>
          <w:tab w:leader="none" w:pos="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186" w:lineRule="exact"/>
        <w:rPr>
          <w:rFonts w:ascii="Arial" w:cs="Arial" w:eastAsia="Arial" w:hAnsi="Arial"/>
          <w:sz w:val="18"/>
          <w:szCs w:val="18"/>
          <w:color w:val="auto"/>
        </w:rPr>
      </w:pPr>
    </w:p>
    <w:p>
      <w:pPr>
        <w:jc w:val="both"/>
        <w:ind w:firstLine="1094"/>
        <w:spacing w:after="0" w:line="249" w:lineRule="auto"/>
        <w:tabs>
          <w:tab w:leader="none" w:pos="155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Rollover of Existing Letters of Credit and Other Letters of Credit</w:t>
      </w:r>
      <w:r>
        <w:rPr>
          <w:rFonts w:ascii="Arial" w:cs="Arial" w:eastAsia="Arial" w:hAnsi="Arial"/>
          <w:sz w:val="18"/>
          <w:szCs w:val="18"/>
          <w:color w:val="auto"/>
        </w:rPr>
        <w:t>. Each of the Existing Letters of Credit outstanding on the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be executed if such letter of credit would be permitted to be issued under this Agreement as a Letter of Credit on such date.</w:t>
      </w:r>
    </w:p>
    <w:p>
      <w:pPr>
        <w:spacing w:after="0" w:line="212"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jc w:val="both"/>
        <w:ind w:firstLine="1104"/>
        <w:spacing w:after="0" w:line="278" w:lineRule="auto"/>
        <w:tabs>
          <w:tab w:leader="none" w:pos="154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by 12:00 noon, New York City time to the Applicable Account of the First Lien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made to finance the reimbursement of an LC Disbursement as provided in Section 2.05(f) shall be remitted by the First Lien Administrative Agent to the applicable Issuing Bank;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 (ii) PSP shall not be required to make any Revolving Loans in Canadian Dollars without prior written notice delivered at least one (1) Business Day prior to the proposed date of such Borrowing.</w:t>
      </w:r>
    </w:p>
    <w:p>
      <w:pPr>
        <w:spacing w:after="0" w:line="163" w:lineRule="exact"/>
        <w:rPr>
          <w:rFonts w:ascii="Arial" w:cs="Arial" w:eastAsia="Arial" w:hAnsi="Arial"/>
          <w:sz w:val="16"/>
          <w:szCs w:val="16"/>
          <w:color w:val="auto"/>
        </w:rPr>
      </w:pPr>
    </w:p>
    <w:p>
      <w:pPr>
        <w:jc w:val="both"/>
        <w:ind w:firstLine="1094"/>
        <w:spacing w:after="0" w:line="277" w:lineRule="auto"/>
        <w:tabs>
          <w:tab w:leader="none" w:pos="154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168" w:lineRule="exact"/>
        <w:rPr>
          <w:rFonts w:ascii="Arial" w:cs="Arial" w:eastAsia="Arial" w:hAnsi="Arial"/>
          <w:sz w:val="16"/>
          <w:szCs w:val="16"/>
          <w:color w:val="auto"/>
        </w:rPr>
      </w:pPr>
    </w:p>
    <w:p>
      <w:pPr>
        <w:jc w:val="both"/>
        <w:ind w:firstLine="1104"/>
        <w:spacing w:after="0" w:line="249" w:lineRule="auto"/>
        <w:tabs>
          <w:tab w:leader="none" w:pos="15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9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46" w:lineRule="auto"/>
        <w:tabs>
          <w:tab w:leader="none" w:pos="15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Each Revolving Borrowing of the applicable Class and each Term Borrowing initially shall be of the Type specified in the applicable Borrowing Request or designated by Section 2.03 and, in the case of a </w:t>
      </w:r>
      <w:r>
        <w:rPr>
          <w:rFonts w:ascii="Arial" w:cs="Arial" w:eastAsia="Arial" w:hAnsi="Arial"/>
          <w:sz w:val="18"/>
          <w:szCs w:val="18"/>
          <w:color w:val="FF0000"/>
          <w:strike w:val="1"/>
        </w:rPr>
        <w:t>Eurodollar Borrowing or</w:t>
      </w:r>
      <w:r>
        <w:rPr>
          <w:rFonts w:ascii="Arial" w:cs="Arial" w:eastAsia="Arial" w:hAnsi="Arial"/>
          <w:sz w:val="18"/>
          <w:szCs w:val="18"/>
          <w:color w:val="auto"/>
        </w:rPr>
        <w:t xml:space="preserve"> Term Benchmark Borrowing, shall have an initial Interest Period as specified in such Borrowing Request or designated by Section 2.03. Thereafter, the Borrower may elect to convert such Borrowing to a different Type or to continue such Borrowing and, in the case of a </w:t>
      </w:r>
      <w:r>
        <w:rPr>
          <w:rFonts w:ascii="Arial" w:cs="Arial" w:eastAsia="Arial" w:hAnsi="Arial"/>
          <w:sz w:val="18"/>
          <w:szCs w:val="18"/>
          <w:color w:val="FF0000"/>
          <w:strike w:val="1"/>
        </w:rPr>
        <w:t>Eurodollar Borrowing or</w:t>
      </w:r>
      <w:r>
        <w:rPr>
          <w:rFonts w:ascii="Arial" w:cs="Arial" w:eastAsia="Arial" w:hAnsi="Arial"/>
          <w:sz w:val="18"/>
          <w:szCs w:val="18"/>
          <w:color w:val="auto"/>
        </w:rPr>
        <w:t xml:space="preserve"> Term Benchmark Borrowing, may elect Interest Periods therefor, all as provided in this Section 2.07;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herein, no Loan may be converted into or continued as a Loan denominated in a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21" w:right="339" w:bottom="1440" w:gutter="0" w:footer="0" w:header="0"/>
        </w:sectPr>
      </w:pPr>
    </w:p>
    <w:bookmarkStart w:id="107" w:name="page108"/>
    <w:bookmarkEnd w:id="107"/>
    <w:p>
      <w:pPr>
        <w:jc w:val="both"/>
        <w:spacing w:after="0" w:line="278" w:lineRule="auto"/>
        <w:rPr>
          <w:sz w:val="20"/>
          <w:szCs w:val="20"/>
          <w:color w:val="auto"/>
        </w:rPr>
      </w:pPr>
      <w:r>
        <w:rPr>
          <w:rFonts w:ascii="Arial" w:cs="Arial" w:eastAsia="Arial" w:hAnsi="Arial"/>
          <w:sz w:val="17"/>
          <w:szCs w:val="17"/>
          <w:color w:val="auto"/>
        </w:rPr>
        <w:t>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58" w:lineRule="exact"/>
        <w:rPr>
          <w:sz w:val="20"/>
          <w:szCs w:val="20"/>
          <w:color w:val="auto"/>
        </w:rPr>
      </w:pPr>
    </w:p>
    <w:p>
      <w:pPr>
        <w:jc w:val="both"/>
        <w:ind w:firstLine="1094"/>
        <w:spacing w:after="0" w:line="249" w:lineRule="auto"/>
        <w:tabs>
          <w:tab w:leader="none" w:pos="156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spacing w:after="0" w:line="195" w:lineRule="exact"/>
        <w:rPr>
          <w:rFonts w:ascii="Arial" w:cs="Arial" w:eastAsia="Arial" w:hAnsi="Arial"/>
          <w:sz w:val="18"/>
          <w:szCs w:val="18"/>
          <w:color w:val="auto"/>
        </w:rPr>
      </w:pPr>
    </w:p>
    <w:p>
      <w:pPr>
        <w:ind w:left="1520" w:hanging="416"/>
        <w:spacing w:after="0"/>
        <w:tabs>
          <w:tab w:leader="none" w:pos="1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2.03:</w:t>
      </w:r>
    </w:p>
    <w:p>
      <w:pPr>
        <w:spacing w:after="0" w:line="223" w:lineRule="exact"/>
        <w:rPr>
          <w:rFonts w:ascii="Arial" w:cs="Arial" w:eastAsia="Arial" w:hAnsi="Arial"/>
          <w:sz w:val="17"/>
          <w:szCs w:val="17"/>
          <w:color w:val="auto"/>
        </w:rPr>
      </w:pPr>
    </w:p>
    <w:p>
      <w:pPr>
        <w:jc w:val="both"/>
        <w:ind w:left="420" w:firstLine="730"/>
        <w:spacing w:after="0" w:line="256" w:lineRule="auto"/>
        <w:tabs>
          <w:tab w:leader="none" w:pos="223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4" w:lineRule="exact"/>
        <w:rPr>
          <w:rFonts w:ascii="Arial" w:cs="Arial" w:eastAsia="Arial" w:hAnsi="Arial"/>
          <w:sz w:val="18"/>
          <w:szCs w:val="18"/>
          <w:color w:val="auto"/>
        </w:rPr>
      </w:pPr>
    </w:p>
    <w:p>
      <w:pPr>
        <w:ind w:left="2180" w:hanging="1080"/>
        <w:spacing w:after="0"/>
        <w:tabs>
          <w:tab w:leader="none" w:pos="21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36" w:lineRule="exact"/>
        <w:rPr>
          <w:rFonts w:ascii="Arial" w:cs="Arial" w:eastAsia="Arial" w:hAnsi="Arial"/>
          <w:sz w:val="17"/>
          <w:szCs w:val="17"/>
          <w:color w:val="auto"/>
        </w:rPr>
      </w:pPr>
    </w:p>
    <w:p>
      <w:pPr>
        <w:jc w:val="both"/>
        <w:ind w:left="420" w:firstLine="631"/>
        <w:spacing w:after="0" w:line="256" w:lineRule="auto"/>
        <w:tabs>
          <w:tab w:leader="none" w:pos="21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whether the resulting Borrowing is to be an ABR Borrowing, a </w:t>
      </w:r>
      <w:r>
        <w:rPr>
          <w:rFonts w:ascii="Arial" w:cs="Arial" w:eastAsia="Arial" w:hAnsi="Arial"/>
          <w:sz w:val="18"/>
          <w:szCs w:val="18"/>
          <w:color w:val="FF0000"/>
          <w:strike w:val="1"/>
        </w:rPr>
        <w:t>Eurodollar Borrowing, a</w:t>
      </w:r>
      <w:r>
        <w:rPr>
          <w:rFonts w:ascii="Arial" w:cs="Arial" w:eastAsia="Arial" w:hAnsi="Arial"/>
          <w:sz w:val="18"/>
          <w:szCs w:val="18"/>
          <w:color w:val="auto"/>
        </w:rPr>
        <w:t xml:space="preserve"> Term Benchmark Borrowing or RFR Borrowing; </w:t>
      </w:r>
      <w:r>
        <w:rPr>
          <w:rFonts w:ascii="Arial" w:cs="Arial" w:eastAsia="Arial" w:hAnsi="Arial"/>
          <w:sz w:val="18"/>
          <w:szCs w:val="18"/>
          <w:u w:val="single" w:color="auto"/>
          <w:color w:val="0000FF"/>
        </w:rPr>
        <w:t>provided that no Term Borrowing shall be converted to a RFR Borrowing unless Adjusted Daily Simple SOFR is being used as 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alternate rate of interest pursuant to Section 2.14;</w:t>
      </w:r>
      <w:r>
        <w:rPr>
          <w:rFonts w:ascii="Arial" w:cs="Arial" w:eastAsia="Arial" w:hAnsi="Arial"/>
          <w:sz w:val="18"/>
          <w:szCs w:val="18"/>
          <w:color w:val="0000FF"/>
        </w:rPr>
        <w:t xml:space="preserve"> </w:t>
      </w:r>
      <w:r>
        <w:rPr>
          <w:rFonts w:ascii="Arial" w:cs="Arial" w:eastAsia="Arial" w:hAnsi="Arial"/>
          <w:sz w:val="18"/>
          <w:szCs w:val="18"/>
          <w:color w:val="000000"/>
        </w:rPr>
        <w:t>and</w:t>
      </w:r>
    </w:p>
    <w:p>
      <w:pPr>
        <w:spacing w:after="0" w:line="174" w:lineRule="exact"/>
        <w:rPr>
          <w:rFonts w:ascii="Arial" w:cs="Arial" w:eastAsia="Arial" w:hAnsi="Arial"/>
          <w:sz w:val="18"/>
          <w:szCs w:val="18"/>
          <w:color w:val="auto"/>
        </w:rPr>
      </w:pPr>
    </w:p>
    <w:p>
      <w:pPr>
        <w:ind w:left="420" w:firstLine="640"/>
        <w:spacing w:after="0" w:line="308" w:lineRule="auto"/>
        <w:tabs>
          <w:tab w:leader="none" w:pos="234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 xml:space="preserve">if the resulting Borrowing is to be a </w:t>
      </w:r>
      <w:r>
        <w:rPr>
          <w:rFonts w:ascii="Arial" w:cs="Arial" w:eastAsia="Arial" w:hAnsi="Arial"/>
          <w:sz w:val="17"/>
          <w:szCs w:val="17"/>
          <w:color w:val="FF0000"/>
          <w:strike w:val="1"/>
        </w:rPr>
        <w:t>Eurodollar Borrowing or</w:t>
      </w:r>
      <w:r>
        <w:rPr>
          <w:rFonts w:ascii="Arial" w:cs="Arial" w:eastAsia="Arial" w:hAnsi="Arial"/>
          <w:sz w:val="17"/>
          <w:szCs w:val="17"/>
          <w:color w:val="auto"/>
        </w:rPr>
        <w:t xml:space="preserve"> Term Benchmark Borrowing, the Interest Period to be applicable thereto after giving effect to such election, which shall be a period contemplated by the definition of the term “Interest Period.”</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If any such Interest Election Request requests a </w:t>
      </w:r>
      <w:r>
        <w:rPr>
          <w:rFonts w:ascii="Arial" w:cs="Arial" w:eastAsia="Arial" w:hAnsi="Arial"/>
          <w:sz w:val="18"/>
          <w:szCs w:val="18"/>
          <w:color w:val="FF0000"/>
          <w:strike w:val="1"/>
        </w:rPr>
        <w:t>Eurodollar Borrowing or</w:t>
      </w:r>
      <w:r>
        <w:rPr>
          <w:rFonts w:ascii="Arial" w:cs="Arial" w:eastAsia="Arial" w:hAnsi="Arial"/>
          <w:sz w:val="18"/>
          <w:szCs w:val="18"/>
          <w:color w:val="auto"/>
        </w:rPr>
        <w:t xml:space="preserve"> Term Benchmark Borrowing, but does not specify an Interest Period, then the Borrower shall be deemed to have selected an Interest Period of one month’s duration.</w:t>
      </w:r>
    </w:p>
    <w:p>
      <w:pPr>
        <w:spacing w:after="0" w:line="157" w:lineRule="exact"/>
        <w:rPr>
          <w:sz w:val="20"/>
          <w:szCs w:val="20"/>
          <w:color w:val="auto"/>
        </w:rPr>
      </w:pPr>
    </w:p>
    <w:p>
      <w:pPr>
        <w:ind w:firstLine="1094"/>
        <w:spacing w:after="0" w:line="308" w:lineRule="auto"/>
        <w:tabs>
          <w:tab w:leader="none" w:pos="156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132" w:lineRule="exact"/>
        <w:rPr>
          <w:rFonts w:ascii="Arial" w:cs="Arial" w:eastAsia="Arial" w:hAnsi="Arial"/>
          <w:sz w:val="17"/>
          <w:szCs w:val="17"/>
          <w:color w:val="auto"/>
        </w:rPr>
      </w:pPr>
    </w:p>
    <w:p>
      <w:pPr>
        <w:jc w:val="both"/>
        <w:ind w:firstLine="1104"/>
        <w:spacing w:after="0" w:line="261" w:lineRule="auto"/>
        <w:tabs>
          <w:tab w:leader="none" w:pos="1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If the Borrower fails to deliver a timely Interest Election Request with respect to a </w:t>
      </w:r>
      <w:r>
        <w:rPr>
          <w:rFonts w:ascii="Arial" w:cs="Arial" w:eastAsia="Arial" w:hAnsi="Arial"/>
          <w:sz w:val="17"/>
          <w:szCs w:val="17"/>
          <w:color w:val="FF0000"/>
          <w:strike w:val="1"/>
        </w:rPr>
        <w:t>Eurodollar Borrowing or</w:t>
      </w:r>
      <w:r>
        <w:rPr>
          <w:rFonts w:ascii="Arial" w:cs="Arial" w:eastAsia="Arial" w:hAnsi="Arial"/>
          <w:sz w:val="17"/>
          <w:szCs w:val="17"/>
          <w:color w:val="auto"/>
        </w:rPr>
        <w:t xml:space="preserve"> Term Benchmark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w:t>
      </w:r>
      <w:r>
        <w:rPr>
          <w:rFonts w:ascii="Arial" w:cs="Arial" w:eastAsia="Arial" w:hAnsi="Arial"/>
          <w:sz w:val="17"/>
          <w:szCs w:val="17"/>
          <w:color w:val="FF0000"/>
          <w:strike w:val="1"/>
        </w:rPr>
        <w:t>Eurodollar Borrowing or</w:t>
      </w:r>
      <w:r>
        <w:rPr>
          <w:rFonts w:ascii="Arial" w:cs="Arial" w:eastAsia="Arial" w:hAnsi="Arial"/>
          <w:sz w:val="17"/>
          <w:szCs w:val="17"/>
          <w:color w:val="auto"/>
        </w:rPr>
        <w:t xml:space="preserve"> Term Benchmark Borrowing and (ii) unless repaid, (A) each </w:t>
      </w:r>
      <w:r>
        <w:rPr>
          <w:rFonts w:ascii="Arial" w:cs="Arial" w:eastAsia="Arial" w:hAnsi="Arial"/>
          <w:sz w:val="17"/>
          <w:szCs w:val="17"/>
          <w:color w:val="FF0000"/>
          <w:strike w:val="1"/>
        </w:rPr>
        <w:t>Eurodollar Borrowing or</w:t>
      </w:r>
      <w:r>
        <w:rPr>
          <w:rFonts w:ascii="Arial" w:cs="Arial" w:eastAsia="Arial" w:hAnsi="Arial"/>
          <w:sz w:val="17"/>
          <w:szCs w:val="17"/>
          <w:color w:val="auto"/>
        </w:rPr>
        <w:t xml:space="preserve"> Term Benchmark Borrowing and (B) each RFR Borrowing, if denominated in Dollars, shall be converted to an ABR Borrowing (in the case of a Term Benchmark Borrowing) at the end of the Interest Period applicable thereto or (in the case of an RFR Borrowing) on the next Interest Payment Date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21" w:right="339" w:bottom="1440" w:gutter="0" w:footer="0" w:header="0"/>
        </w:sectPr>
      </w:pPr>
    </w:p>
    <w:bookmarkStart w:id="108" w:name="page109"/>
    <w:bookmarkEnd w:id="108"/>
    <w:p>
      <w:pPr>
        <w:ind w:left="1300"/>
        <w:spacing w:after="0"/>
        <w:tabs>
          <w:tab w:leader="none" w:pos="25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12" w:lineRule="exact"/>
        <w:rPr>
          <w:sz w:val="20"/>
          <w:szCs w:val="20"/>
          <w:color w:val="auto"/>
        </w:rPr>
      </w:pPr>
    </w:p>
    <w:p>
      <w:pPr>
        <w:ind w:firstLine="1104"/>
        <w:spacing w:after="0" w:line="277" w:lineRule="auto"/>
        <w:tabs>
          <w:tab w:leader="none" w:pos="15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Unless previously terminated, (i) the Term Commitments provided on the Effective Date shall terminate at 11:59 p.m., New York City time, on the Effective Date and (ii) the Revolving Commitments shall terminate on the Revolving Maturity Date.</w:t>
      </w:r>
    </w:p>
    <w:p>
      <w:pPr>
        <w:spacing w:after="0" w:line="156" w:lineRule="exact"/>
        <w:rPr>
          <w:rFonts w:ascii="Arial" w:cs="Arial" w:eastAsia="Arial" w:hAnsi="Arial"/>
          <w:sz w:val="18"/>
          <w:szCs w:val="18"/>
          <w:color w:val="auto"/>
        </w:rPr>
      </w:pPr>
    </w:p>
    <w:p>
      <w:pPr>
        <w:jc w:val="both"/>
        <w:ind w:firstLine="1094"/>
        <w:spacing w:after="0" w:line="267" w:lineRule="auto"/>
        <w:tabs>
          <w:tab w:leader="none" w:pos="152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spacing w:after="0" w:line="181" w:lineRule="exact"/>
        <w:rPr>
          <w:rFonts w:ascii="Arial" w:cs="Arial" w:eastAsia="Arial" w:hAnsi="Arial"/>
          <w:sz w:val="17"/>
          <w:szCs w:val="17"/>
          <w:color w:val="auto"/>
        </w:rPr>
      </w:pPr>
    </w:p>
    <w:p>
      <w:pPr>
        <w:jc w:val="both"/>
        <w:ind w:firstLine="1104"/>
        <w:spacing w:after="0" w:line="278" w:lineRule="auto"/>
        <w:tabs>
          <w:tab w:leader="none" w:pos="167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74"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63" w:lineRule="auto"/>
        <w:tabs>
          <w:tab w:leader="none" w:pos="152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 (10) Business Days after such Loan is made and (B) the Revolving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each date that a Revolving Borrowing is made, the Borrower shall repay all Swingline Loans that were outstanding on the date such Borrowing was requested.</w:t>
      </w:r>
    </w:p>
    <w:p>
      <w:pPr>
        <w:spacing w:after="0" w:line="186" w:lineRule="exact"/>
        <w:rPr>
          <w:rFonts w:ascii="Arial" w:cs="Arial" w:eastAsia="Arial" w:hAnsi="Arial"/>
          <w:sz w:val="17"/>
          <w:szCs w:val="17"/>
          <w:color w:val="auto"/>
        </w:rPr>
      </w:pPr>
    </w:p>
    <w:p>
      <w:pPr>
        <w:jc w:val="both"/>
        <w:ind w:firstLine="1094"/>
        <w:spacing w:after="0" w:line="256" w:lineRule="auto"/>
        <w:tabs>
          <w:tab w:leader="none" w:pos="15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4" w:lineRule="exact"/>
        <w:rPr>
          <w:rFonts w:ascii="Arial" w:cs="Arial" w:eastAsia="Arial" w:hAnsi="Arial"/>
          <w:sz w:val="18"/>
          <w:szCs w:val="18"/>
          <w:color w:val="auto"/>
        </w:rPr>
      </w:pPr>
    </w:p>
    <w:p>
      <w:pPr>
        <w:jc w:val="both"/>
        <w:ind w:firstLine="1104"/>
        <w:spacing w:after="0" w:line="296" w:lineRule="auto"/>
        <w:tabs>
          <w:tab w:leader="none" w:pos="154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First Lien Administrative Agent hereunder for the account of the Lenders and each Lender’s share thereof.</w:t>
      </w:r>
    </w:p>
    <w:p>
      <w:pPr>
        <w:spacing w:after="0" w:line="145" w:lineRule="exact"/>
        <w:rPr>
          <w:rFonts w:ascii="Arial" w:cs="Arial" w:eastAsia="Arial" w:hAnsi="Arial"/>
          <w:sz w:val="16"/>
          <w:szCs w:val="16"/>
          <w:color w:val="auto"/>
        </w:rPr>
      </w:pPr>
    </w:p>
    <w:p>
      <w:pPr>
        <w:jc w:val="both"/>
        <w:ind w:firstLine="1094"/>
        <w:spacing w:after="0" w:line="268" w:lineRule="auto"/>
        <w:tabs>
          <w:tab w:leader="none" w:pos="154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(b) or (c) of this Section 2.09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21" w:right="339" w:bottom="1440" w:gutter="0" w:footer="0" w:header="0"/>
        </w:sectPr>
      </w:pPr>
    </w:p>
    <w:bookmarkStart w:id="109" w:name="page110"/>
    <w:bookmarkEnd w:id="109"/>
    <w:p>
      <w:pPr>
        <w:spacing w:after="0" w:line="261" w:lineRule="auto"/>
        <w:rPr>
          <w:sz w:val="20"/>
          <w:szCs w:val="20"/>
          <w:color w:val="auto"/>
        </w:rPr>
      </w:pPr>
      <w:r>
        <w:rPr>
          <w:rFonts w:ascii="Arial" w:cs="Arial" w:eastAsia="Arial" w:hAnsi="Arial"/>
          <w:sz w:val="18"/>
          <w:szCs w:val="18"/>
          <w:color w:val="auto"/>
        </w:rPr>
        <w:t>to paragraphs (b) and (c) of this Section 2.09, the accounts maintained by the First Lien Administrative Agent pursuant to paragraph (c) of this Section 2.09 shall control.</w:t>
      </w:r>
    </w:p>
    <w:p>
      <w:pPr>
        <w:spacing w:after="0" w:line="184" w:lineRule="exact"/>
        <w:rPr>
          <w:sz w:val="20"/>
          <w:szCs w:val="20"/>
          <w:color w:val="auto"/>
        </w:rPr>
      </w:pPr>
    </w:p>
    <w:p>
      <w:pPr>
        <w:jc w:val="both"/>
        <w:ind w:firstLine="1104"/>
        <w:spacing w:after="0" w:line="256" w:lineRule="auto"/>
        <w:tabs>
          <w:tab w:leader="none" w:pos="15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175"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Amortization of Term Loans</w:t>
      </w:r>
      <w:r>
        <w:rPr>
          <w:rFonts w:ascii="Arial" w:cs="Arial" w:eastAsia="Arial" w:hAnsi="Arial"/>
          <w:sz w:val="16"/>
          <w:szCs w:val="16"/>
          <w:color w:val="auto"/>
        </w:rPr>
        <w:t>.</w:t>
      </w:r>
    </w:p>
    <w:p>
      <w:pPr>
        <w:spacing w:after="0" w:line="225" w:lineRule="exact"/>
        <w:rPr>
          <w:sz w:val="20"/>
          <w:szCs w:val="20"/>
          <w:color w:val="auto"/>
        </w:rPr>
      </w:pPr>
    </w:p>
    <w:p>
      <w:pPr>
        <w:jc w:val="both"/>
        <w:ind w:firstLine="1096"/>
        <w:spacing w:after="0" w:line="254" w:lineRule="auto"/>
        <w:rPr>
          <w:sz w:val="20"/>
          <w:szCs w:val="20"/>
          <w:color w:val="auto"/>
        </w:rPr>
      </w:pPr>
      <w:r>
        <w:rPr>
          <w:rFonts w:ascii="Arial" w:cs="Arial" w:eastAsia="Arial" w:hAnsi="Arial"/>
          <w:sz w:val="17"/>
          <w:szCs w:val="17"/>
          <w:color w:val="auto"/>
        </w:rPr>
        <w:t xml:space="preserve">(a)Subject to adjustment pursuant to paragraph (c) of this Section 2.10 and increases in connection with fungible increases to the Initial Term Loans to reflect the equivalent amortization for such fungible increases, the Borrower shall repay Borrowings of Initial Term Loans on the last day of each March, June, September and December (commencing on June 30, 2020) in the principal amount of Term Loans as follows;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date is not a Business Day, such payment shall be due on the immediately preceding Business Day:</w:t>
      </w:r>
      <w:r>
        <w:rPr>
          <w:rFonts w:ascii="Arial" w:cs="Arial" w:eastAsia="Arial" w:hAnsi="Arial"/>
          <w:sz w:val="27"/>
          <w:szCs w:val="27"/>
          <w:color w:val="auto"/>
          <w:vertAlign w:val="superscript"/>
        </w:rPr>
        <w:t>3</w:t>
      </w:r>
    </w:p>
    <w:p>
      <w:pPr>
        <w:spacing w:after="0" w:line="125" w:lineRule="exact"/>
        <w:rPr>
          <w:sz w:val="20"/>
          <w:szCs w:val="20"/>
          <w:color w:val="auto"/>
        </w:rPr>
      </w:pPr>
    </w:p>
    <w:tbl>
      <w:tblPr>
        <w:tblLayout w:type="fixed"/>
        <w:tblInd w:w="123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vMerge w:val="restart"/>
          </w:tcPr>
          <w:p>
            <w:pPr>
              <w:ind w:left="1160"/>
              <w:spacing w:after="0"/>
              <w:rPr>
                <w:sz w:val="20"/>
                <w:szCs w:val="20"/>
                <w:color w:val="auto"/>
              </w:rPr>
            </w:pPr>
            <w:r>
              <w:rPr>
                <w:rFonts w:ascii="Arial" w:cs="Arial" w:eastAsia="Arial" w:hAnsi="Arial"/>
                <w:sz w:val="18"/>
                <w:szCs w:val="18"/>
                <w:b w:val="1"/>
                <w:bCs w:val="1"/>
                <w:color w:val="auto"/>
              </w:rPr>
              <w:t>PAYMENT DATE</w:t>
            </w:r>
          </w:p>
        </w:tc>
        <w:tc>
          <w:tcPr>
            <w:tcW w:w="358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AMORTIZATION PAYMENT</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30, 2020</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September 30, 2020</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December 31, 2020</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March 31, 2021</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57"/>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30, 2021</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September 30, 2021</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December 31, 2021</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March 31, 2022</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44"/>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30, 2022</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September 30, 2022</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December 31, 2022</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March 31, 2023</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44"/>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30, 2023</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September 30, 2023</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December 31, 2023</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March 31, 2024</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44"/>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30, 2024</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84"/>
        </w:trPr>
        <w:tc>
          <w:tcPr>
            <w:tcW w:w="3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September 30, 2024</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2024</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2025</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2025</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2025</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31, 2025</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31, 2026</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0"/>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30, 2026</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84"/>
        </w:trPr>
        <w:tc>
          <w:tcPr>
            <w:tcW w:w="3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2026</w:t>
            </w:r>
          </w:p>
        </w:tc>
        <w:tc>
          <w:tcPr>
            <w:tcW w:w="35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Term Maturity Date</w:t>
            </w:r>
          </w:p>
        </w:tc>
        <w:tc>
          <w:tcPr>
            <w:tcW w:w="358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Remainder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2" w:lineRule="exact"/>
        <w:rPr>
          <w:sz w:val="20"/>
          <w:szCs w:val="20"/>
          <w:color w:val="auto"/>
        </w:rPr>
      </w:pPr>
    </w:p>
    <w:p>
      <w:pPr>
        <w:ind w:left="120" w:hanging="112"/>
        <w:spacing w:after="0"/>
        <w:tabs>
          <w:tab w:leader="none" w:pos="120" w:val="left"/>
        </w:tabs>
        <w:numPr>
          <w:ilvl w:val="0"/>
          <w:numId w:val="107"/>
        </w:numPr>
        <w:rPr>
          <w:rFonts w:ascii="Arial" w:cs="Arial" w:eastAsia="Arial" w:hAnsi="Arial"/>
          <w:sz w:val="27"/>
          <w:szCs w:val="27"/>
          <w:color w:val="auto"/>
          <w:vertAlign w:val="superscript"/>
        </w:rPr>
      </w:pPr>
      <w:r>
        <w:rPr>
          <w:rFonts w:ascii="Arial" w:cs="Arial" w:eastAsia="Arial" w:hAnsi="Arial"/>
          <w:sz w:val="17"/>
          <w:szCs w:val="17"/>
          <w:color w:val="auto"/>
        </w:rPr>
        <w:t>On November 25, 2020, the Borrower made a prepayment of $191,000,000 and on November 27, 2020, the Borrower made a prepayment of</w:t>
      </w:r>
    </w:p>
    <w:p>
      <w:pPr>
        <w:ind w:left="340" w:right="620"/>
        <w:spacing w:after="0" w:line="243" w:lineRule="auto"/>
        <w:rPr>
          <w:sz w:val="20"/>
          <w:szCs w:val="20"/>
          <w:color w:val="auto"/>
        </w:rPr>
      </w:pPr>
      <w:r>
        <w:rPr>
          <w:rFonts w:ascii="Arial" w:cs="Arial" w:eastAsia="Arial" w:hAnsi="Arial"/>
          <w:sz w:val="18"/>
          <w:szCs w:val="18"/>
          <w:color w:val="auto"/>
        </w:rPr>
        <w:t>$150,000,000. Both payments were applied to the remaining amortization payments in full through September 30, 2026, resulting in no further amortization payments being due prior to the Term Maturity Date.</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1421" w:right="339" w:bottom="1440" w:gutter="0" w:footer="0" w:header="0"/>
          <w:type w:val="continuous"/>
        </w:sectPr>
      </w:pPr>
    </w:p>
    <w:bookmarkStart w:id="110" w:name="page111"/>
    <w:bookmarkEnd w:id="110"/>
    <w:p>
      <w:pPr>
        <w:spacing w:after="0" w:line="200" w:lineRule="exact"/>
        <w:rPr>
          <w:sz w:val="20"/>
          <w:szCs w:val="20"/>
          <w:color w:val="auto"/>
        </w:rPr>
      </w:pPr>
    </w:p>
    <w:p>
      <w:pPr>
        <w:spacing w:after="0" w:line="241" w:lineRule="exact"/>
        <w:rPr>
          <w:sz w:val="20"/>
          <w:szCs w:val="20"/>
          <w:color w:val="auto"/>
        </w:rPr>
      </w:pPr>
    </w:p>
    <w:p>
      <w:pPr>
        <w:ind w:left="1520" w:hanging="426"/>
        <w:spacing w:after="0"/>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extent not previously paid, all Initial Term Loans shall be due and payable on the Term Maturity Date.</w:t>
      </w:r>
    </w:p>
    <w:p>
      <w:pPr>
        <w:spacing w:after="0" w:line="211" w:lineRule="exact"/>
        <w:rPr>
          <w:rFonts w:ascii="Arial" w:cs="Arial" w:eastAsia="Arial" w:hAnsi="Arial"/>
          <w:sz w:val="18"/>
          <w:szCs w:val="18"/>
          <w:color w:val="auto"/>
        </w:rPr>
      </w:pPr>
    </w:p>
    <w:p>
      <w:pPr>
        <w:jc w:val="both"/>
        <w:ind w:firstLine="1104"/>
        <w:spacing w:after="0" w:line="247" w:lineRule="auto"/>
        <w:tabs>
          <w:tab w:leader="none" w:pos="1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First Lien Incremental Facility).</w:t>
      </w:r>
    </w:p>
    <w:p>
      <w:pPr>
        <w:spacing w:after="0" w:line="196" w:lineRule="exact"/>
        <w:rPr>
          <w:rFonts w:ascii="Arial" w:cs="Arial" w:eastAsia="Arial" w:hAnsi="Arial"/>
          <w:sz w:val="18"/>
          <w:szCs w:val="18"/>
          <w:color w:val="auto"/>
        </w:rPr>
      </w:pPr>
    </w:p>
    <w:p>
      <w:pPr>
        <w:jc w:val="both"/>
        <w:ind w:firstLine="1094"/>
        <w:spacing w:after="0" w:line="244" w:lineRule="auto"/>
        <w:tabs>
          <w:tab w:leader="none" w:pos="15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one (1) Business Day before the scheduled date of such repayment. In the absence 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spacing w:after="0" w:line="20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47" w:lineRule="auto"/>
        <w:tabs>
          <w:tab w:leader="none" w:pos="16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 The Borrower shall have the right at any time and from time to time to prepay any Borrowing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on or prior to the date that is six months after the Effective Date, the Borrower enters into any Repricing Transaction, the Borrower shall pay to the First Lien Administrative Agent, for the ratable account of each of the applicable Term Lenders, (I) in the case of clause (a) of the definition of “Repricing Transaction”, a prepayment premium of 1.00% of the principal amount of the Initial Term Loans being prepaid in connection with such Repricing Transaction or (II) in the case of clause (b) of the definition of “Repricing Transaction”, , an amount equal to 1.00% of the aggregate amount of the applicable Initial Term Loans outstanding immediately prior to such amendment that are subject to an effective pricing reduction pursuant to such Repricing Transaction.</w:t>
      </w:r>
    </w:p>
    <w:p>
      <w:pPr>
        <w:spacing w:after="0" w:line="182" w:lineRule="exact"/>
        <w:rPr>
          <w:rFonts w:ascii="Arial" w:cs="Arial" w:eastAsia="Arial" w:hAnsi="Arial"/>
          <w:sz w:val="18"/>
          <w:szCs w:val="18"/>
          <w:color w:val="auto"/>
        </w:rPr>
      </w:pPr>
    </w:p>
    <w:p>
      <w:pPr>
        <w:jc w:val="both"/>
        <w:ind w:firstLine="1304"/>
        <w:spacing w:after="0" w:line="256" w:lineRule="auto"/>
        <w:tabs>
          <w:tab w:leader="none" w:pos="171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188" w:lineRule="exact"/>
        <w:rPr>
          <w:sz w:val="20"/>
          <w:szCs w:val="20"/>
          <w:color w:val="auto"/>
        </w:rPr>
      </w:pPr>
    </w:p>
    <w:p>
      <w:pPr>
        <w:jc w:val="both"/>
        <w:ind w:left="660" w:firstLine="644"/>
        <w:spacing w:after="0" w:line="278" w:lineRule="auto"/>
        <w:tabs>
          <w:tab w:leader="none" w:pos="17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Holdings, any Intermediate Parent, the Borrower or any of their respective Subsidiaries shall have the right to make a voluntary prepayment of Term Loans at a discount to par (such prepayment, the “</w:t>
      </w:r>
      <w:r>
        <w:rPr>
          <w:rFonts w:ascii="Arial" w:cs="Arial" w:eastAsia="Arial" w:hAnsi="Arial"/>
          <w:sz w:val="16"/>
          <w:szCs w:val="16"/>
          <w:u w:val="single" w:color="auto"/>
          <w:color w:val="auto"/>
        </w:rPr>
        <w:t>Discounted Term Loan Prepayment</w:t>
      </w:r>
      <w:r>
        <w:rPr>
          <w:rFonts w:ascii="Arial" w:cs="Arial" w:eastAsia="Arial" w:hAnsi="Arial"/>
          <w:sz w:val="16"/>
          <w:szCs w:val="16"/>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11" w:name="page112"/>
    <w:bookmarkEnd w:id="111"/>
    <w:p>
      <w:pPr>
        <w:jc w:val="both"/>
        <w:ind w:left="4"/>
        <w:spacing w:after="0" w:line="274" w:lineRule="auto"/>
        <w:rPr>
          <w:sz w:val="20"/>
          <w:szCs w:val="20"/>
          <w:color w:val="auto"/>
        </w:rPr>
      </w:pPr>
      <w:r>
        <w:rPr>
          <w:rFonts w:ascii="Arial" w:cs="Arial" w:eastAsia="Arial" w:hAnsi="Arial"/>
          <w:sz w:val="16"/>
          <w:szCs w:val="16"/>
          <w:color w:val="auto"/>
        </w:rPr>
        <w:t>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Arial" w:cs="Arial" w:eastAsia="Arial" w:hAnsi="Arial"/>
          <w:sz w:val="16"/>
          <w:szCs w:val="16"/>
          <w:u w:val="single" w:color="auto"/>
          <w:color w:val="auto"/>
        </w:rPr>
        <w:t>Excluded Information</w:t>
      </w:r>
      <w:r>
        <w:rPr>
          <w:rFonts w:ascii="Arial" w:cs="Arial" w:eastAsia="Arial" w:hAnsi="Arial"/>
          <w:sz w:val="16"/>
          <w:szCs w:val="16"/>
          <w:color w:val="auto"/>
        </w:rPr>
        <w:t>”),</w:t>
      </w:r>
    </w:p>
    <w:p>
      <w:pPr>
        <w:spacing w:after="0" w:line="4" w:lineRule="exact"/>
        <w:rPr>
          <w:sz w:val="20"/>
          <w:szCs w:val="20"/>
          <w:color w:val="auto"/>
        </w:rPr>
      </w:pPr>
    </w:p>
    <w:p>
      <w:pPr>
        <w:jc w:val="both"/>
        <w:ind w:left="4" w:hanging="4"/>
        <w:spacing w:after="0" w:line="260" w:lineRule="auto"/>
        <w:tabs>
          <w:tab w:leader="none" w:pos="26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such Lender has independently and, 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Term Loan that is prepaid will be automatically and irrevocably cancelled.</w:t>
      </w:r>
    </w:p>
    <w:p>
      <w:pPr>
        <w:spacing w:after="0" w:line="175" w:lineRule="exact"/>
        <w:rPr>
          <w:rFonts w:ascii="Arial" w:cs="Arial" w:eastAsia="Arial" w:hAnsi="Arial"/>
          <w:sz w:val="17"/>
          <w:szCs w:val="17"/>
          <w:color w:val="auto"/>
        </w:rPr>
      </w:pPr>
    </w:p>
    <w:p>
      <w:pPr>
        <w:jc w:val="both"/>
        <w:ind w:left="4" w:firstLine="644"/>
        <w:spacing w:after="0" w:line="276" w:lineRule="auto"/>
        <w:tabs>
          <w:tab w:leader="none" w:pos="112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Arial" w:cs="Arial" w:eastAsia="Arial" w:hAnsi="Arial"/>
          <w:sz w:val="16"/>
          <w:szCs w:val="16"/>
          <w:u w:val="single" w:color="auto"/>
          <w:color w:val="auto"/>
        </w:rPr>
        <w:t>Specified Discount Prepayment Amount</w:t>
      </w:r>
      <w:r>
        <w:rPr>
          <w:rFonts w:ascii="Arial" w:cs="Arial" w:eastAsia="Arial" w:hAnsi="Arial"/>
          <w:sz w:val="16"/>
          <w:szCs w:val="16"/>
          <w:color w:val="auto"/>
        </w:rPr>
        <w:t>”) with respect to each applicable tranche, the tranche or tranches of Term Loans subject to such offer and the specific percentage discount to par (the “</w:t>
      </w:r>
      <w:r>
        <w:rPr>
          <w:rFonts w:ascii="Arial" w:cs="Arial" w:eastAsia="Arial" w:hAnsi="Arial"/>
          <w:sz w:val="16"/>
          <w:szCs w:val="16"/>
          <w:u w:val="single" w:color="auto"/>
          <w:color w:val="auto"/>
        </w:rPr>
        <w:t>Specified Discount</w:t>
      </w:r>
      <w:r>
        <w:rPr>
          <w:rFonts w:ascii="Arial" w:cs="Arial" w:eastAsia="Arial" w:hAnsi="Arial"/>
          <w:sz w:val="16"/>
          <w:szCs w:val="16"/>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Specified Discount Prepayment Response Date</w:t>
      </w:r>
      <w:r>
        <w:rPr>
          <w:rFonts w:ascii="Arial" w:cs="Arial" w:eastAsia="Arial" w:hAnsi="Arial"/>
          <w:sz w:val="16"/>
          <w:szCs w:val="16"/>
          <w:color w:val="auto"/>
        </w:rPr>
        <w:t>”).</w:t>
      </w:r>
    </w:p>
    <w:p>
      <w:pPr>
        <w:spacing w:after="0" w:line="183" w:lineRule="exact"/>
        <w:rPr>
          <w:sz w:val="20"/>
          <w:szCs w:val="20"/>
          <w:color w:val="auto"/>
        </w:rPr>
      </w:pPr>
    </w:p>
    <w:p>
      <w:pPr>
        <w:jc w:val="both"/>
        <w:ind w:left="4" w:firstLine="644"/>
        <w:spacing w:after="0" w:line="244" w:lineRule="auto"/>
        <w:tabs>
          <w:tab w:leader="none" w:pos="118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200" w:lineRule="exact"/>
        <w:rPr>
          <w:rFonts w:ascii="Arial" w:cs="Arial" w:eastAsia="Arial" w:hAnsi="Arial"/>
          <w:sz w:val="18"/>
          <w:szCs w:val="18"/>
          <w:color w:val="auto"/>
        </w:rPr>
      </w:pPr>
    </w:p>
    <w:p>
      <w:pPr>
        <w:jc w:val="both"/>
        <w:ind w:left="4" w:firstLine="644"/>
        <w:spacing w:after="0" w:line="278" w:lineRule="auto"/>
        <w:tabs>
          <w:tab w:leader="none" w:pos="111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584"/>
          </w:cols>
          <w:pgMar w:left="976" w:top="1421" w:right="339" w:bottom="1440" w:gutter="0" w:footer="0" w:header="0"/>
        </w:sectPr>
      </w:pPr>
    </w:p>
    <w:bookmarkStart w:id="112" w:name="page113"/>
    <w:bookmarkEnd w:id="112"/>
    <w:p>
      <w:pPr>
        <w:jc w:val="both"/>
        <w:spacing w:after="0" w:line="276" w:lineRule="auto"/>
        <w:rPr>
          <w:sz w:val="20"/>
          <w:szCs w:val="20"/>
          <w:color w:val="auto"/>
        </w:rPr>
      </w:pPr>
      <w:r>
        <w:rPr>
          <w:rFonts w:ascii="Arial" w:cs="Arial" w:eastAsia="Arial" w:hAnsi="Arial"/>
          <w:sz w:val="16"/>
          <w:szCs w:val="16"/>
          <w:color w:val="auto"/>
        </w:rPr>
        <w:t xml:space="preserve">Specified Discount Prepayment Response given pursuant to subsection (2);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Arial" w:cs="Arial" w:eastAsia="Arial" w:hAnsi="Arial"/>
          <w:sz w:val="16"/>
          <w:szCs w:val="16"/>
          <w:u w:val="single" w:color="auto"/>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w:t>
      </w:r>
    </w:p>
    <w:p>
      <w:pPr>
        <w:spacing w:after="0" w:line="165" w:lineRule="exact"/>
        <w:rPr>
          <w:sz w:val="20"/>
          <w:szCs w:val="20"/>
          <w:color w:val="auto"/>
        </w:rPr>
      </w:pPr>
    </w:p>
    <w:p>
      <w:pPr>
        <w:jc w:val="both"/>
        <w:ind w:firstLine="644"/>
        <w:spacing w:after="0" w:line="275" w:lineRule="auto"/>
        <w:tabs>
          <w:tab w:leader="none" w:pos="112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6"/>
          <w:szCs w:val="16"/>
          <w:u w:val="single" w:color="auto"/>
          <w:color w:val="auto"/>
        </w:rPr>
        <w:t>Discount Range Prepayment Amount</w:t>
      </w:r>
      <w:r>
        <w:rPr>
          <w:rFonts w:ascii="Arial" w:cs="Arial" w:eastAsia="Arial" w:hAnsi="Arial"/>
          <w:sz w:val="16"/>
          <w:szCs w:val="16"/>
          <w:color w:val="auto"/>
        </w:rPr>
        <w:t>”), the tranche or tranches of Term Loans subject to such offer and the maximum and minimum percentage discounts to par (the “</w:t>
      </w:r>
      <w:r>
        <w:rPr>
          <w:rFonts w:ascii="Arial" w:cs="Arial" w:eastAsia="Arial" w:hAnsi="Arial"/>
          <w:sz w:val="16"/>
          <w:szCs w:val="16"/>
          <w:u w:val="single" w:color="auto"/>
          <w:color w:val="auto"/>
        </w:rPr>
        <w:t>Discount Range</w:t>
      </w:r>
      <w:r>
        <w:rPr>
          <w:rFonts w:ascii="Arial" w:cs="Arial" w:eastAsia="Arial" w:hAnsi="Arial"/>
          <w:sz w:val="16"/>
          <w:szCs w:val="16"/>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Discount Range Prepayment Response Date</w:t>
      </w:r>
      <w:r>
        <w:rPr>
          <w:rFonts w:ascii="Arial" w:cs="Arial" w:eastAsia="Arial" w:hAnsi="Arial"/>
          <w:sz w:val="16"/>
          <w:szCs w:val="16"/>
          <w:color w:val="auto"/>
        </w:rPr>
        <w:t>”). Each relevant Term Lender’s Discount Range Prepayment Offer shall be irrevocable and shall specify a discount to par within the Discount Range (the “</w:t>
      </w:r>
      <w:r>
        <w:rPr>
          <w:rFonts w:ascii="Arial" w:cs="Arial" w:eastAsia="Arial" w:hAnsi="Arial"/>
          <w:sz w:val="16"/>
          <w:szCs w:val="16"/>
          <w:u w:val="single" w:color="auto"/>
          <w:color w:val="auto"/>
        </w:rPr>
        <w:t>Submitted Discount</w:t>
      </w:r>
      <w:r>
        <w:rPr>
          <w:rFonts w:ascii="Arial" w:cs="Arial" w:eastAsia="Arial" w:hAnsi="Arial"/>
          <w:sz w:val="16"/>
          <w:szCs w:val="16"/>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6"/>
          <w:szCs w:val="16"/>
          <w:u w:val="single" w:color="auto"/>
          <w:color w:val="auto"/>
        </w:rPr>
        <w:t>Submitted Amount</w:t>
      </w:r>
      <w:r>
        <w:rPr>
          <w:rFonts w:ascii="Arial" w:cs="Arial" w:eastAsia="Arial" w:hAnsi="Arial"/>
          <w:sz w:val="16"/>
          <w:szCs w:val="16"/>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379" w:lineRule="exact"/>
        <w:rPr>
          <w:sz w:val="20"/>
          <w:szCs w:val="20"/>
          <w:color w:val="auto"/>
        </w:rPr>
      </w:pPr>
    </w:p>
    <w:p>
      <w:pPr>
        <w:ind w:firstLine="644"/>
        <w:spacing w:after="0" w:line="277" w:lineRule="auto"/>
        <w:tabs>
          <w:tab w:leader="none" w:pos="11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Auction Agent shall review all Discount Range Prepayment Offers received on or before the applicable Discount Range Prepayment Response Date and shall determine (in consultation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580"/>
          </w:cols>
          <w:pgMar w:left="980" w:top="1421" w:right="339" w:bottom="1440" w:gutter="0" w:footer="0" w:header="0"/>
        </w:sectPr>
      </w:pPr>
    </w:p>
    <w:bookmarkStart w:id="113" w:name="page114"/>
    <w:bookmarkEnd w:id="113"/>
    <w:p>
      <w:pPr>
        <w:jc w:val="both"/>
        <w:spacing w:after="0" w:line="260" w:lineRule="auto"/>
        <w:rPr>
          <w:sz w:val="20"/>
          <w:szCs w:val="20"/>
          <w:color w:val="auto"/>
        </w:rPr>
      </w:pPr>
      <w:r>
        <w:rPr>
          <w:rFonts w:ascii="Arial" w:cs="Arial" w:eastAsia="Arial" w:hAnsi="Arial"/>
          <w:sz w:val="17"/>
          <w:szCs w:val="17"/>
          <w:color w:val="auto"/>
        </w:rPr>
        <w:t>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7"/>
          <w:szCs w:val="17"/>
          <w:u w:val="single" w:color="auto"/>
          <w:color w:val="auto"/>
        </w:rPr>
        <w:t>Applicable Discount</w:t>
      </w:r>
      <w:r>
        <w:rPr>
          <w:rFonts w:ascii="Arial" w:cs="Arial" w:eastAsia="Arial" w:hAnsi="Arial"/>
          <w:sz w:val="17"/>
          <w:szCs w:val="17"/>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7"/>
          <w:szCs w:val="17"/>
          <w:u w:val="single" w:color="auto"/>
          <w:color w:val="auto"/>
        </w:rPr>
        <w:t>Participating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w:t>
      </w:r>
    </w:p>
    <w:p>
      <w:pPr>
        <w:spacing w:after="0" w:line="172" w:lineRule="exact"/>
        <w:rPr>
          <w:sz w:val="20"/>
          <w:szCs w:val="20"/>
          <w:color w:val="auto"/>
        </w:rPr>
      </w:pPr>
    </w:p>
    <w:p>
      <w:pPr>
        <w:jc w:val="both"/>
        <w:ind w:firstLine="644"/>
        <w:spacing w:after="0" w:line="276" w:lineRule="auto"/>
        <w:tabs>
          <w:tab w:leader="none" w:pos="105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6"/>
          <w:szCs w:val="16"/>
          <w:u w:val="single" w:color="auto"/>
          <w:color w:val="auto"/>
        </w:rPr>
        <w:t>Identified Participating Lenders</w:t>
      </w:r>
      <w:r>
        <w:rPr>
          <w:rFonts w:ascii="Arial" w:cs="Arial" w:eastAsia="Arial" w:hAnsi="Arial"/>
          <w:sz w:val="16"/>
          <w:szCs w:val="16"/>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6"/>
          <w:szCs w:val="16"/>
          <w:u w:val="single" w:color="auto"/>
          <w:color w:val="auto"/>
        </w:rPr>
        <w:t>Discount Range Proration</w:t>
      </w:r>
      <w:r>
        <w:rPr>
          <w:rFonts w:ascii="Arial" w:cs="Arial" w:eastAsia="Arial" w:hAnsi="Arial"/>
          <w:sz w:val="16"/>
          <w:szCs w:val="16"/>
          <w:color w:val="auto"/>
        </w:rPr>
        <w:t>”). The Auction Agent shall promptly, and in any case within five (5) 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spacing w:after="0" w:line="165" w:lineRule="exact"/>
        <w:rPr>
          <w:sz w:val="20"/>
          <w:szCs w:val="20"/>
          <w:color w:val="auto"/>
        </w:rPr>
      </w:pPr>
    </w:p>
    <w:p>
      <w:pPr>
        <w:jc w:val="both"/>
        <w:ind w:firstLine="644"/>
        <w:spacing w:after="0" w:line="246" w:lineRule="auto"/>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580"/>
          </w:cols>
          <w:pgMar w:left="980" w:top="1421" w:right="339" w:bottom="1440" w:gutter="0" w:footer="0" w:header="0"/>
        </w:sectPr>
      </w:pPr>
    </w:p>
    <w:bookmarkStart w:id="114" w:name="page115"/>
    <w:bookmarkEnd w:id="114"/>
    <w:p>
      <w:pPr>
        <w:jc w:val="both"/>
        <w:spacing w:after="0" w:line="260" w:lineRule="auto"/>
        <w:rPr>
          <w:sz w:val="20"/>
          <w:szCs w:val="20"/>
          <w:color w:val="auto"/>
        </w:rPr>
      </w:pPr>
      <w:r>
        <w:rPr>
          <w:rFonts w:ascii="Arial" w:cs="Arial" w:eastAsia="Arial" w:hAnsi="Arial"/>
          <w:sz w:val="17"/>
          <w:szCs w:val="17"/>
          <w:color w:val="auto"/>
        </w:rPr>
        <w:t>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7"/>
          <w:szCs w:val="17"/>
          <w:u w:val="single" w:color="auto"/>
          <w:color w:val="auto"/>
        </w:rPr>
        <w:t>Solicited Discounted Prepayment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Response Date</w:t>
      </w:r>
      <w:r>
        <w:rPr>
          <w:rFonts w:ascii="Arial" w:cs="Arial" w:eastAsia="Arial" w:hAnsi="Arial"/>
          <w:sz w:val="17"/>
          <w:szCs w:val="17"/>
          <w:color w:val="auto"/>
        </w:rPr>
        <w:t>”). Each Term Lender’s Solicited Discounted Prepayment Offer shall (x) be irrevocable, (y) remain outstanding until the Acceptance Date, and (z) specify both a discount to par (the “</w:t>
      </w:r>
      <w:r>
        <w:rPr>
          <w:rFonts w:ascii="Arial" w:cs="Arial" w:eastAsia="Arial" w:hAnsi="Arial"/>
          <w:sz w:val="17"/>
          <w:szCs w:val="17"/>
          <w:u w:val="single" w:color="auto"/>
          <w:color w:val="auto"/>
        </w:rPr>
        <w:t>Offered Discount</w:t>
      </w:r>
      <w:r>
        <w:rPr>
          <w:rFonts w:ascii="Arial" w:cs="Arial" w:eastAsia="Arial" w:hAnsi="Arial"/>
          <w:sz w:val="17"/>
          <w:szCs w:val="17"/>
          <w:color w:val="auto"/>
        </w:rPr>
        <w:t>”) such Term Lender is willing to allow to be applied to the prepayment of its then outstanding Term Loan and the maximum aggregate principal amount and tranches of such Term Loans (the “</w:t>
      </w:r>
      <w:r>
        <w:rPr>
          <w:rFonts w:ascii="Arial" w:cs="Arial" w:eastAsia="Arial" w:hAnsi="Arial"/>
          <w:sz w:val="17"/>
          <w:szCs w:val="17"/>
          <w:u w:val="single" w:color="auto"/>
          <w:color w:val="auto"/>
        </w:rPr>
        <w:t>Offered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72" w:lineRule="exact"/>
        <w:rPr>
          <w:sz w:val="20"/>
          <w:szCs w:val="20"/>
          <w:color w:val="auto"/>
        </w:rPr>
      </w:pPr>
    </w:p>
    <w:p>
      <w:pPr>
        <w:jc w:val="both"/>
        <w:ind w:firstLine="644"/>
        <w:spacing w:after="0" w:line="277" w:lineRule="auto"/>
        <w:tabs>
          <w:tab w:leader="none" w:pos="107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Arial" w:cs="Arial" w:eastAsia="Arial" w:hAnsi="Arial"/>
          <w:sz w:val="16"/>
          <w:szCs w:val="16"/>
          <w:u w:val="single" w:color="auto"/>
          <w:color w:val="auto"/>
        </w:rPr>
        <w:t>Acceptable Discount</w:t>
      </w:r>
      <w:r>
        <w:rPr>
          <w:rFonts w:ascii="Arial" w:cs="Arial" w:eastAsia="Arial" w:hAnsi="Arial"/>
          <w:sz w:val="16"/>
          <w:szCs w:val="16"/>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Arial" w:cs="Arial" w:eastAsia="Arial" w:hAnsi="Arial"/>
          <w:sz w:val="16"/>
          <w:szCs w:val="16"/>
          <w:u w:val="single" w:color="auto"/>
          <w:color w:val="auto"/>
        </w:rPr>
        <w:t>Acceptance Date</w:t>
      </w:r>
      <w:r>
        <w:rPr>
          <w:rFonts w:ascii="Arial" w:cs="Arial" w:eastAsia="Arial" w:hAnsi="Arial"/>
          <w:sz w:val="16"/>
          <w:szCs w:val="16"/>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pacing w:after="0" w:line="168" w:lineRule="exact"/>
        <w:rPr>
          <w:rFonts w:ascii="Arial" w:cs="Arial" w:eastAsia="Arial" w:hAnsi="Arial"/>
          <w:sz w:val="16"/>
          <w:szCs w:val="16"/>
          <w:color w:val="auto"/>
        </w:rPr>
      </w:pPr>
    </w:p>
    <w:p>
      <w:pPr>
        <w:jc w:val="both"/>
        <w:ind w:firstLine="644"/>
        <w:spacing w:after="0" w:line="259" w:lineRule="auto"/>
        <w:tabs>
          <w:tab w:leader="none" w:pos="108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7"/>
          <w:szCs w:val="17"/>
          <w:u w:val="single" w:color="auto"/>
          <w:color w:val="auto"/>
        </w:rPr>
        <w:t>Discounted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 Determination Date</w:t>
      </w:r>
      <w:r>
        <w:rPr>
          <w:rFonts w:ascii="Arial" w:cs="Arial" w:eastAsia="Arial" w:hAnsi="Arial"/>
          <w:sz w:val="17"/>
          <w:szCs w:val="17"/>
          <w:color w:val="auto"/>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Arial" w:cs="Arial" w:eastAsia="Arial" w:hAnsi="Arial"/>
          <w:sz w:val="17"/>
          <w:szCs w:val="17"/>
          <w:u w:val="single" w:color="auto"/>
          <w:color w:val="auto"/>
        </w:rPr>
        <w:t>Acceptable Prepayment Amount</w:t>
      </w:r>
      <w:r>
        <w:rPr>
          <w:rFonts w:ascii="Arial" w:cs="Arial" w:eastAsia="Arial" w:hAnsi="Arial"/>
          <w:sz w:val="17"/>
          <w:szCs w:val="17"/>
          <w:color w:val="auto"/>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7"/>
          <w:szCs w:val="17"/>
          <w:u w:val="single" w:color="auto"/>
          <w:color w:val="auto"/>
        </w:rPr>
        <w:t>Qualifying Lender</w:t>
      </w:r>
      <w:r>
        <w:rPr>
          <w:rFonts w:ascii="Arial" w:cs="Arial" w:eastAsia="Arial" w:hAnsi="Arial"/>
          <w:sz w:val="17"/>
          <w:szCs w:val="17"/>
          <w:color w:val="auto"/>
        </w:rPr>
        <w:t>”).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580"/>
          </w:cols>
          <w:pgMar w:left="980" w:top="1421" w:right="339" w:bottom="1440" w:gutter="0" w:footer="0" w:header="0"/>
        </w:sectPr>
      </w:pPr>
    </w:p>
    <w:bookmarkStart w:id="115" w:name="page116"/>
    <w:bookmarkEnd w:id="115"/>
    <w:p>
      <w:pPr>
        <w:jc w:val="both"/>
        <w:spacing w:after="0" w:line="259" w:lineRule="auto"/>
        <w:rPr>
          <w:sz w:val="20"/>
          <w:szCs w:val="20"/>
          <w:color w:val="auto"/>
        </w:rPr>
      </w:pPr>
      <w:r>
        <w:rPr>
          <w:rFonts w:ascii="Arial" w:cs="Arial" w:eastAsia="Arial" w:hAnsi="Arial"/>
          <w:sz w:val="17"/>
          <w:szCs w:val="17"/>
          <w:color w:val="auto"/>
        </w:rPr>
        <w:t xml:space="preserve">the Acceptable Discount;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7"/>
          <w:szCs w:val="17"/>
          <w:u w:val="single" w:color="auto"/>
          <w:color w:val="auto"/>
        </w:rPr>
        <w:t>Identified Qualifying Lenders</w:t>
      </w:r>
      <w:r>
        <w:rPr>
          <w:rFonts w:ascii="Arial" w:cs="Arial" w:eastAsia="Arial" w:hAnsi="Arial"/>
          <w:sz w:val="17"/>
          <w:szCs w:val="17"/>
          <w:color w:val="auto"/>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7"/>
          <w:szCs w:val="17"/>
          <w:u w:val="single" w:color="auto"/>
          <w:color w:val="auto"/>
        </w:rPr>
        <w:t>Solicited Discount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Proration</w:t>
      </w:r>
      <w:r>
        <w:rPr>
          <w:rFonts w:ascii="Arial" w:cs="Arial" w:eastAsia="Arial" w:hAnsi="Arial"/>
          <w:sz w:val="17"/>
          <w:szCs w:val="17"/>
          <w:color w:val="auto"/>
        </w:rPr>
        <w:t>”).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75" w:lineRule="exact"/>
        <w:rPr>
          <w:sz w:val="20"/>
          <w:szCs w:val="20"/>
          <w:color w:val="auto"/>
        </w:rPr>
      </w:pPr>
    </w:p>
    <w:p>
      <w:pPr>
        <w:jc w:val="both"/>
        <w:ind w:firstLine="644"/>
        <w:spacing w:after="0" w:line="254" w:lineRule="auto"/>
        <w:tabs>
          <w:tab w:leader="none" w:pos="117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spacing w:after="0" w:line="176" w:lineRule="exact"/>
        <w:rPr>
          <w:rFonts w:ascii="Arial" w:cs="Arial" w:eastAsia="Arial" w:hAnsi="Arial"/>
          <w:sz w:val="18"/>
          <w:szCs w:val="18"/>
          <w:color w:val="auto"/>
        </w:rPr>
      </w:pPr>
    </w:p>
    <w:p>
      <w:pPr>
        <w:jc w:val="both"/>
        <w:ind w:firstLine="644"/>
        <w:spacing w:after="0" w:line="279" w:lineRule="auto"/>
        <w:tabs>
          <w:tab w:leader="none" w:pos="105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58" w:lineRule="exact"/>
        <w:rPr>
          <w:rFonts w:ascii="Arial" w:cs="Arial" w:eastAsia="Arial" w:hAnsi="Arial"/>
          <w:sz w:val="16"/>
          <w:szCs w:val="16"/>
          <w:color w:val="auto"/>
        </w:rPr>
      </w:pPr>
    </w:p>
    <w:p>
      <w:pPr>
        <w:jc w:val="both"/>
        <w:ind w:firstLine="644"/>
        <w:spacing w:after="0" w:line="278" w:lineRule="auto"/>
        <w:tabs>
          <w:tab w:leader="none" w:pos="119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spacing w:after="0" w:line="157" w:lineRule="exact"/>
        <w:rPr>
          <w:rFonts w:ascii="Arial" w:cs="Arial" w:eastAsia="Arial" w:hAnsi="Arial"/>
          <w:sz w:val="17"/>
          <w:szCs w:val="17"/>
          <w:color w:val="auto"/>
        </w:rPr>
      </w:pPr>
    </w:p>
    <w:p>
      <w:pPr>
        <w:jc w:val="both"/>
        <w:ind w:firstLine="644"/>
        <w:spacing w:after="0" w:line="278" w:lineRule="auto"/>
        <w:tabs>
          <w:tab w:leader="none" w:pos="110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7"/>
          <w:szCs w:val="17"/>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580"/>
          </w:cols>
          <w:pgMar w:left="980" w:top="1421" w:right="339" w:bottom="1440" w:gutter="0" w:footer="0" w:header="0"/>
        </w:sectPr>
      </w:pPr>
    </w:p>
    <w:bookmarkStart w:id="116" w:name="page117"/>
    <w:bookmarkEnd w:id="116"/>
    <w:p>
      <w:pPr>
        <w:ind w:left="660"/>
        <w:spacing w:after="0" w:line="261" w:lineRule="auto"/>
        <w:rPr>
          <w:sz w:val="20"/>
          <w:szCs w:val="20"/>
          <w:color w:val="auto"/>
        </w:rPr>
      </w:pPr>
      <w:r>
        <w:rPr>
          <w:rFonts w:ascii="Arial" w:cs="Arial" w:eastAsia="Arial" w:hAnsi="Arial"/>
          <w:sz w:val="18"/>
          <w:szCs w:val="18"/>
          <w:color w:val="auto"/>
        </w:rPr>
        <w:t>that any notice or communication actually received outside of normal business hours shall be deemed to have been given as of the opening of business on the next Business Day.</w:t>
      </w:r>
    </w:p>
    <w:p>
      <w:pPr>
        <w:spacing w:after="0" w:line="184" w:lineRule="exact"/>
        <w:rPr>
          <w:sz w:val="20"/>
          <w:szCs w:val="20"/>
          <w:color w:val="auto"/>
        </w:rPr>
      </w:pPr>
    </w:p>
    <w:p>
      <w:pPr>
        <w:jc w:val="both"/>
        <w:ind w:left="660" w:firstLine="644"/>
        <w:spacing w:after="0" w:line="246" w:lineRule="auto"/>
        <w:tabs>
          <w:tab w:leader="none" w:pos="169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spacing w:after="0" w:line="198" w:lineRule="exact"/>
        <w:rPr>
          <w:rFonts w:ascii="Arial" w:cs="Arial" w:eastAsia="Arial" w:hAnsi="Arial"/>
          <w:sz w:val="18"/>
          <w:szCs w:val="18"/>
          <w:color w:val="auto"/>
        </w:rPr>
      </w:pPr>
    </w:p>
    <w:p>
      <w:pPr>
        <w:jc w:val="both"/>
        <w:ind w:left="660" w:firstLine="644"/>
        <w:spacing w:after="0" w:line="244" w:lineRule="auto"/>
        <w:tabs>
          <w:tab w:leader="none" w:pos="169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 Section 7.01 or otherwise).</w:t>
      </w:r>
    </w:p>
    <w:p>
      <w:pPr>
        <w:spacing w:after="0" w:line="200" w:lineRule="exact"/>
        <w:rPr>
          <w:rFonts w:ascii="Arial" w:cs="Arial" w:eastAsia="Arial" w:hAnsi="Arial"/>
          <w:sz w:val="18"/>
          <w:szCs w:val="18"/>
          <w:color w:val="auto"/>
        </w:rPr>
      </w:pPr>
    </w:p>
    <w:p>
      <w:pPr>
        <w:jc w:val="both"/>
        <w:ind w:firstLine="1094"/>
        <w:spacing w:after="0" w:line="249" w:lineRule="auto"/>
        <w:tabs>
          <w:tab w:leader="none" w:pos="15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 Section 2.05(j)) in an aggregate amount necessary to eliminate such excess.</w:t>
      </w:r>
    </w:p>
    <w:p>
      <w:pPr>
        <w:spacing w:after="0" w:line="194" w:lineRule="exact"/>
        <w:rPr>
          <w:rFonts w:ascii="Arial" w:cs="Arial" w:eastAsia="Arial" w:hAnsi="Arial"/>
          <w:sz w:val="18"/>
          <w:szCs w:val="18"/>
          <w:color w:val="auto"/>
        </w:rPr>
      </w:pPr>
    </w:p>
    <w:p>
      <w:pPr>
        <w:jc w:val="both"/>
        <w:ind w:firstLine="1104"/>
        <w:spacing w:after="0" w:line="275" w:lineRule="auto"/>
        <w:tabs>
          <w:tab w:leader="none" w:pos="154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the Borrower or its Restricted Subsidiaries in respect of any Prepayment Event described in clause (a) of the 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100% of the amount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may use a portion of such Net Proceeds to prepay or repurchase any other Indebtedness that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spacing w:after="0" w:line="177" w:lineRule="exact"/>
        <w:rPr>
          <w:rFonts w:ascii="Arial" w:cs="Arial" w:eastAsia="Arial" w:hAnsi="Arial"/>
          <w:sz w:val="16"/>
          <w:szCs w:val="16"/>
          <w:color w:val="auto"/>
        </w:rPr>
      </w:pPr>
    </w:p>
    <w:p>
      <w:pPr>
        <w:jc w:val="both"/>
        <w:ind w:firstLine="1094"/>
        <w:spacing w:after="0" w:line="256" w:lineRule="auto"/>
        <w:tabs>
          <w:tab w:leader="none" w:pos="159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Following the end of each fiscal year of the Borrower, commencing with the fiscal year ending December 31, 2020, the Borrower shall prepay Term Borrowings in an aggregate amount equal to the ECF Percentage of Excess Cash Flow for such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shall, at the option of the Borrower, be reduced on a dollar-for-dollar basis for such fiscal year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21" w:right="339" w:bottom="1440" w:gutter="0" w:footer="0" w:header="0"/>
        </w:sectPr>
      </w:pPr>
    </w:p>
    <w:bookmarkStart w:id="117" w:name="page118"/>
    <w:bookmarkEnd w:id="117"/>
    <w:p>
      <w:pPr>
        <w:jc w:val="both"/>
        <w:ind w:firstLine="745"/>
        <w:spacing w:after="0" w:line="280" w:lineRule="auto"/>
        <w:tabs>
          <w:tab w:leader="none" w:pos="190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aggregate amount of prepayments and repurchases of (A) Term Loans (and, to the extent the Revolving Commitments are reduced in a corresponding amount pursuant to Section 2.08, Revolving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spacing w:after="0" w:line="160" w:lineRule="exact"/>
        <w:rPr>
          <w:rFonts w:ascii="Arial" w:cs="Arial" w:eastAsia="Arial" w:hAnsi="Arial"/>
          <w:sz w:val="16"/>
          <w:szCs w:val="16"/>
          <w:color w:val="auto"/>
        </w:rPr>
      </w:pPr>
    </w:p>
    <w:p>
      <w:pPr>
        <w:jc w:val="both"/>
        <w:ind w:firstLine="695"/>
        <w:spacing w:after="0" w:line="249" w:lineRule="auto"/>
        <w:tabs>
          <w:tab w:leader="none" w:pos="15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w:t>
      </w:r>
    </w:p>
    <w:p>
      <w:pPr>
        <w:spacing w:after="0" w:line="194" w:lineRule="exact"/>
        <w:rPr>
          <w:rFonts w:ascii="Arial" w:cs="Arial" w:eastAsia="Arial" w:hAnsi="Arial"/>
          <w:sz w:val="18"/>
          <w:szCs w:val="18"/>
          <w:color w:val="auto"/>
        </w:rPr>
      </w:pPr>
    </w:p>
    <w:p>
      <w:pPr>
        <w:jc w:val="both"/>
        <w:ind w:firstLine="646"/>
        <w:spacing w:after="0" w:line="268" w:lineRule="auto"/>
        <w:tabs>
          <w:tab w:leader="none" w:pos="160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w:t>
      </w:r>
    </w:p>
    <w:p>
      <w:pPr>
        <w:spacing w:after="0" w:line="179" w:lineRule="exact"/>
        <w:rPr>
          <w:rFonts w:ascii="Arial" w:cs="Arial" w:eastAsia="Arial" w:hAnsi="Arial"/>
          <w:sz w:val="17"/>
          <w:szCs w:val="17"/>
          <w:color w:val="auto"/>
        </w:rPr>
      </w:pPr>
    </w:p>
    <w:p>
      <w:pPr>
        <w:jc w:val="both"/>
        <w:ind w:firstLine="655"/>
        <w:spacing w:after="0" w:line="249" w:lineRule="auto"/>
        <w:tabs>
          <w:tab w:leader="none" w:pos="16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w:t>
      </w:r>
    </w:p>
    <w:p>
      <w:pPr>
        <w:spacing w:after="0" w:line="181" w:lineRule="exact"/>
        <w:rPr>
          <w:rFonts w:ascii="Arial" w:cs="Arial" w:eastAsia="Arial" w:hAnsi="Arial"/>
          <w:sz w:val="18"/>
          <w:szCs w:val="18"/>
          <w:color w:val="auto"/>
        </w:rPr>
      </w:pPr>
    </w:p>
    <w:p>
      <w:pPr>
        <w:jc w:val="both"/>
        <w:ind w:firstLine="705"/>
        <w:spacing w:after="0" w:line="277" w:lineRule="auto"/>
        <w:tabs>
          <w:tab w:leader="none" w:pos="15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Arial" w:cs="Arial" w:eastAsia="Arial" w:hAnsi="Arial"/>
          <w:sz w:val="16"/>
          <w:szCs w:val="16"/>
          <w:u w:val="single" w:color="auto"/>
          <w:color w:val="auto"/>
        </w:rPr>
        <w:t>Planned Expenditures</w:t>
      </w:r>
      <w:r>
        <w:rPr>
          <w:rFonts w:ascii="Arial" w:cs="Arial" w:eastAsia="Arial" w:hAnsi="Arial"/>
          <w:sz w:val="16"/>
          <w:szCs w:val="16"/>
          <w:color w:val="auto"/>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21" w:right="339" w:bottom="1440" w:gutter="0" w:footer="0" w:header="0"/>
        </w:sectPr>
      </w:pPr>
    </w:p>
    <w:bookmarkStart w:id="118" w:name="page119"/>
    <w:bookmarkEnd w:id="118"/>
    <w:p>
      <w:pPr>
        <w:jc w:val="both"/>
        <w:spacing w:after="0" w:line="249" w:lineRule="auto"/>
        <w:rPr>
          <w:sz w:val="20"/>
          <w:szCs w:val="20"/>
          <w:color w:val="auto"/>
        </w:rPr>
      </w:pPr>
      <w:r>
        <w:rPr>
          <w:rFonts w:ascii="Arial" w:cs="Arial" w:eastAsia="Arial" w:hAnsi="Arial"/>
          <w:sz w:val="18"/>
          <w:szCs w:val="18"/>
          <w:color w:val="auto"/>
        </w:rPr>
        <w:t>such payments which may be due from time to time). The Borrower or 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w:t>
      </w:r>
    </w:p>
    <w:p>
      <w:pPr>
        <w:spacing w:after="0" w:line="182" w:lineRule="exact"/>
        <w:rPr>
          <w:sz w:val="20"/>
          <w:szCs w:val="20"/>
          <w:color w:val="auto"/>
        </w:rPr>
      </w:pPr>
    </w:p>
    <w:p>
      <w:pPr>
        <w:jc w:val="both"/>
        <w:ind w:firstLine="1104"/>
        <w:spacing w:after="0" w:line="258" w:lineRule="auto"/>
        <w:tabs>
          <w:tab w:leader="none" w:pos="152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subject to any requirement to repay Second Lien Notes under the Second Lien Debt Documents, be retained by the Borrower (such amounts, “</w:t>
      </w:r>
      <w:r>
        <w:rPr>
          <w:rFonts w:ascii="Arial" w:cs="Arial" w:eastAsia="Arial" w:hAnsi="Arial"/>
          <w:sz w:val="17"/>
          <w:szCs w:val="17"/>
          <w:u w:val="single" w:color="auto"/>
          <w:color w:val="auto"/>
        </w:rPr>
        <w:t>Retained Declined Proceeds</w:t>
      </w:r>
      <w:r>
        <w:rPr>
          <w:rFonts w:ascii="Arial" w:cs="Arial" w:eastAsia="Arial" w:hAnsi="Arial"/>
          <w:sz w:val="17"/>
          <w:szCs w:val="17"/>
          <w:color w:val="auto"/>
        </w:rPr>
        <w:t xml:space="preserve">”). An amount equal to any portion of a mandatory prepayment of Term Borrowings that is declined by the Lenders under this Section 2.11(e) may, to the extent not prohibited hereunder or under the documentation governing the Permitted Second Priority Refinancing Debt or First Lien Pari Passu Intercreditor Agreement (if applicable), be applied by the Borrower to prepay the Second Lien Facilities (and Permitted Refinancings thereof) pursuant to the Second Lien Debt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Term Benchmark</w:t>
      </w:r>
      <w:r>
        <w:rPr>
          <w:rFonts w:ascii="Arial" w:cs="Arial" w:eastAsia="Arial" w:hAnsi="Arial"/>
          <w:sz w:val="17"/>
          <w:szCs w:val="17"/>
          <w:color w:val="FF0000"/>
        </w:rPr>
        <w:t xml:space="preserve"> </w:t>
      </w:r>
      <w:r>
        <w:rPr>
          <w:rFonts w:ascii="Arial" w:cs="Arial" w:eastAsia="Arial" w:hAnsi="Arial"/>
          <w:sz w:val="17"/>
          <w:szCs w:val="17"/>
          <w:color w:val="000000"/>
        </w:rPr>
        <w:t>Loans.</w:t>
      </w:r>
    </w:p>
    <w:p>
      <w:pPr>
        <w:spacing w:after="0" w:line="179" w:lineRule="exact"/>
        <w:rPr>
          <w:rFonts w:ascii="Arial" w:cs="Arial" w:eastAsia="Arial" w:hAnsi="Arial"/>
          <w:sz w:val="17"/>
          <w:szCs w:val="17"/>
          <w:color w:val="auto"/>
        </w:rPr>
      </w:pPr>
    </w:p>
    <w:p>
      <w:pPr>
        <w:jc w:val="both"/>
        <w:ind w:firstLine="1124"/>
        <w:spacing w:after="0" w:line="261" w:lineRule="auto"/>
        <w:tabs>
          <w:tab w:leader="none" w:pos="158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w:t>
      </w:r>
      <w:r>
        <w:rPr>
          <w:rFonts w:ascii="Arial" w:cs="Arial" w:eastAsia="Arial" w:hAnsi="Arial"/>
          <w:sz w:val="17"/>
          <w:szCs w:val="17"/>
          <w:color w:val="FF0000"/>
          <w:strike w:val="1"/>
        </w:rPr>
        <w:t>Eurodollar Borrowing,</w:t>
      </w:r>
      <w:r>
        <w:rPr>
          <w:rFonts w:ascii="Arial" w:cs="Arial" w:eastAsia="Arial" w:hAnsi="Arial"/>
          <w:sz w:val="17"/>
          <w:szCs w:val="17"/>
          <w:color w:val="auto"/>
        </w:rPr>
        <w:t xml:space="preserve"> Term Benchmark Borrowing or RFR Borrowing denominated in Dollars or Canadian Dollars, not later than 11:00 a.m., New York City time, three (3) Business Days before the date of prepayment (or, in the sole discretion of the First Lien Administrative Agent, one (1) Business Day), (ii) in the case of prepayment of an ABR Borrowing, not later than 11:00 a.m., New York City time, one (1) Business Day before the date of prepayment, (iii) in the case of prepayment of a SONIA Borrowing, not later than 11:00 a.m., London, England time, five (5) Business Days before the date of prepayment (or, in the sole discretion of the First Lien Administrative Agent, one (1) Business Day) or (iv) in the case of a prepayment of Term Benchmark Borrowing denominated in Euro, not later than 12:00 p.m., New York City time, three (3) Business Days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optional prepayment may state that such notice is conditional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21" w:right="339" w:bottom="1440" w:gutter="0" w:footer="0" w:header="0"/>
        </w:sectPr>
      </w:pPr>
    </w:p>
    <w:bookmarkStart w:id="119" w:name="page120"/>
    <w:bookmarkEnd w:id="119"/>
    <w:p>
      <w:pPr>
        <w:jc w:val="both"/>
        <w:spacing w:after="0" w:line="260" w:lineRule="auto"/>
        <w:rPr>
          <w:sz w:val="20"/>
          <w:szCs w:val="20"/>
          <w:color w:val="auto"/>
        </w:rPr>
      </w:pPr>
      <w:r>
        <w:rPr>
          <w:rFonts w:ascii="Arial" w:cs="Arial" w:eastAsia="Arial" w:hAnsi="Arial"/>
          <w:sz w:val="17"/>
          <w:szCs w:val="17"/>
          <w:color w:val="auto"/>
        </w:rPr>
        <w:t>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spacing w:after="0" w:line="191" w:lineRule="exact"/>
        <w:rPr>
          <w:sz w:val="20"/>
          <w:szCs w:val="20"/>
          <w:color w:val="auto"/>
        </w:rPr>
      </w:pPr>
    </w:p>
    <w:p>
      <w:pPr>
        <w:jc w:val="both"/>
        <w:ind w:firstLine="1094"/>
        <w:spacing w:after="0" w:line="275" w:lineRule="auto"/>
        <w:tabs>
          <w:tab w:leader="none" w:pos="152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Arial" w:cs="Arial" w:eastAsia="Arial" w:hAnsi="Arial"/>
          <w:sz w:val="16"/>
          <w:szCs w:val="16"/>
          <w:u w:val="single" w:color="auto"/>
          <w:color w:val="auto"/>
        </w:rPr>
        <w:t>Restricted Prepayment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w:t>
      </w:r>
    </w:p>
    <w:p>
      <w:pPr>
        <w:spacing w:after="0" w:line="16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firstLine="1104"/>
        <w:spacing w:after="0" w:line="261" w:lineRule="auto"/>
        <w:tabs>
          <w:tab w:leader="none" w:pos="152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21" w:right="339" w:bottom="1440" w:gutter="0" w:footer="0" w:header="0"/>
        </w:sectPr>
      </w:pPr>
    </w:p>
    <w:bookmarkStart w:id="120" w:name="page121"/>
    <w:bookmarkEnd w:id="120"/>
    <w:p>
      <w:pPr>
        <w:spacing w:after="0" w:line="261" w:lineRule="auto"/>
        <w:rPr>
          <w:sz w:val="20"/>
          <w:szCs w:val="20"/>
          <w:color w:val="auto"/>
        </w:rPr>
      </w:pPr>
      <w:r>
        <w:rPr>
          <w:rFonts w:ascii="Arial" w:cs="Arial" w:eastAsia="Arial" w:hAnsi="Arial"/>
          <w:sz w:val="18"/>
          <w:szCs w:val="18"/>
          <w:color w:val="auto"/>
        </w:rPr>
        <w:t>a Lender shall be deemed to be used to the extent of the outstanding Revolving Loans and LC Exposure of such Lender (and the Swingline Exposure of such Lender shall be disregarded for such purpose).</w:t>
      </w:r>
    </w:p>
    <w:p>
      <w:pPr>
        <w:spacing w:after="0" w:line="184" w:lineRule="exact"/>
        <w:rPr>
          <w:sz w:val="20"/>
          <w:szCs w:val="20"/>
          <w:color w:val="auto"/>
        </w:rPr>
      </w:pPr>
    </w:p>
    <w:p>
      <w:pPr>
        <w:jc w:val="both"/>
        <w:ind w:firstLine="1094"/>
        <w:spacing w:after="0" w:line="275" w:lineRule="auto"/>
        <w:tabs>
          <w:tab w:leader="none" w:pos="153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4" w:lineRule="exact"/>
        <w:rPr>
          <w:rFonts w:ascii="Arial" w:cs="Arial" w:eastAsia="Arial" w:hAnsi="Arial"/>
          <w:sz w:val="16"/>
          <w:szCs w:val="16"/>
          <w:color w:val="auto"/>
        </w:rPr>
      </w:pPr>
    </w:p>
    <w:p>
      <w:pPr>
        <w:ind w:firstLine="1104"/>
        <w:spacing w:after="0" w:line="277" w:lineRule="auto"/>
        <w:tabs>
          <w:tab w:leader="none" w:pos="15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156" w:lineRule="exact"/>
        <w:rPr>
          <w:rFonts w:ascii="Arial" w:cs="Arial" w:eastAsia="Arial" w:hAnsi="Arial"/>
          <w:sz w:val="18"/>
          <w:szCs w:val="18"/>
          <w:color w:val="auto"/>
        </w:rPr>
      </w:pPr>
    </w:p>
    <w:p>
      <w:pPr>
        <w:ind w:firstLine="1094"/>
        <w:spacing w:after="0" w:line="261" w:lineRule="auto"/>
        <w:tabs>
          <w:tab w:leader="none" w:pos="15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the foregoing, and subject to Section 2.22, the Borrower shall not be obligated to pay any amounts to any Defaulting Lender pursuant to this Section 2.12.</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56" w:lineRule="auto"/>
        <w:tabs>
          <w:tab w:leader="none" w:pos="16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 Loans comprising each ABR Borrowing shall bear interest at the rate set forth in clause (b)(i) of the definition of “Applicable Rate”. The Revolving Loans comprising each ABR Borrowing (including each Swingline Loan) denominated in Dollars or Canadian Dollars shall bear interest at the rate set forth in clause (d)(i) and (e)(i) of the definition of “Applicable Rate”, as applicable.</w:t>
      </w:r>
    </w:p>
    <w:p>
      <w:pPr>
        <w:spacing w:after="0" w:line="188" w:lineRule="exact"/>
        <w:rPr>
          <w:rFonts w:ascii="Arial" w:cs="Arial" w:eastAsia="Arial" w:hAnsi="Arial"/>
          <w:sz w:val="18"/>
          <w:szCs w:val="18"/>
          <w:color w:val="auto"/>
        </w:rPr>
      </w:pPr>
    </w:p>
    <w:p>
      <w:pPr>
        <w:jc w:val="both"/>
        <w:ind w:firstLine="1094"/>
        <w:spacing w:after="0" w:line="245" w:lineRule="auto"/>
        <w:tabs>
          <w:tab w:leader="none" w:pos="15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 The Term Loans comprising each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shall bear interest at the rate set forth in clause (b)(ii) of the definition of Applicable Rate, (ii) the Revolving Loans comprising each Term Benchmark Borrowing denominated in (a) Dollars, shall bear interest at the rate set forth in clause (e)(ii) of the definition of “Applicable Rate”, (b) Euros shall bear interest at the rate set forth in clause (c) of the definition of “Applicable Rate” and (c) Canadian Dollars shall bear interest at the rate set forth in clause (d)(ii) of the definition of “Applicable Rate”</w:t>
      </w:r>
      <w:r>
        <w:rPr>
          <w:rFonts w:ascii="Arial" w:cs="Arial" w:eastAsia="Arial" w:hAnsi="Arial"/>
          <w:sz w:val="18"/>
          <w:szCs w:val="18"/>
          <w:color w:val="FF0000"/>
          <w:strike w:val="1"/>
        </w:rPr>
        <w:t>. The</w:t>
      </w:r>
      <w:r>
        <w:rPr>
          <w:rFonts w:ascii="Arial" w:cs="Arial" w:eastAsia="Arial" w:hAnsi="Arial"/>
          <w:sz w:val="18"/>
          <w:szCs w:val="18"/>
          <w:u w:val="single" w:color="auto"/>
          <w:color w:val="0000FF"/>
        </w:rPr>
        <w:t>, (iii) the</w:t>
      </w:r>
      <w:r>
        <w:rPr>
          <w:rFonts w:ascii="Arial" w:cs="Arial" w:eastAsia="Arial" w:hAnsi="Arial"/>
          <w:sz w:val="18"/>
          <w:szCs w:val="18"/>
          <w:color w:val="auto"/>
        </w:rPr>
        <w:t xml:space="preserve"> Revolving Loans comprising each SONIA Borrowing shall bear interest at the rate set forth in clause (a) of the definition of “Applicable Rate”</w:t>
      </w:r>
      <w:r>
        <w:rPr>
          <w:rFonts w:ascii="Arial" w:cs="Arial" w:eastAsia="Arial" w:hAnsi="Arial"/>
          <w:sz w:val="18"/>
          <w:szCs w:val="18"/>
          <w:color w:val="FF0000"/>
          <w:strike w:val="1"/>
        </w:rPr>
        <w:t>.</w:t>
      </w:r>
      <w:r>
        <w:rPr>
          <w:rFonts w:ascii="Arial" w:cs="Arial" w:eastAsia="Arial" w:hAnsi="Arial"/>
          <w:sz w:val="18"/>
          <w:szCs w:val="18"/>
          <w:u w:val="single" w:color="auto"/>
          <w:color w:val="0000FF"/>
        </w:rPr>
        <w:t>, (iv)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Loans comprising each RFR Borrowing denominated in Dollars shall bear interest at the rate set forth in clause (b)(iii) of the definition of “Applicable Rate” and (v) the Revolving Loans comprising each RFR Borrowing denominated in Dollars shall bear interest at the rate set forth in clause (e)(iii) of the definition of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21" w:right="339" w:bottom="1440" w:gutter="0" w:footer="0" w:header="0"/>
        </w:sectPr>
      </w:pPr>
    </w:p>
    <w:bookmarkStart w:id="121" w:name="page122"/>
    <w:bookmarkEnd w:id="121"/>
    <w:p>
      <w:pPr>
        <w:ind w:left="1580" w:hanging="476"/>
        <w:spacing w:after="0"/>
        <w:tabs>
          <w:tab w:leader="none" w:pos="15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Notwithstanding the foregoing, if upon the occurrence and during the continuance of any Event of Default under paragraph (a), (b),</w:t>
      </w:r>
    </w:p>
    <w:p>
      <w:pPr>
        <w:spacing w:after="0" w:line="34" w:lineRule="exact"/>
        <w:rPr>
          <w:rFonts w:ascii="Arial" w:cs="Arial" w:eastAsia="Arial" w:hAnsi="Arial"/>
          <w:sz w:val="16"/>
          <w:szCs w:val="16"/>
          <w:color w:val="auto"/>
        </w:rPr>
      </w:pPr>
    </w:p>
    <w:p>
      <w:pPr>
        <w:ind w:left="280" w:hanging="272"/>
        <w:spacing w:after="0"/>
        <w:tabs>
          <w:tab w:leader="none" w:pos="2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or (i) of Section 7.01 any principal of or interest on any Loan or any fee or other amount payable by the Borrower hereunder is not paid when due,</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shall be payable pursuant to this Section 2.13(c) to a Defaulting Lender so long as such Lender shall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174" w:lineRule="exact"/>
        <w:rPr>
          <w:sz w:val="20"/>
          <w:szCs w:val="20"/>
          <w:color w:val="auto"/>
        </w:rPr>
      </w:pPr>
    </w:p>
    <w:p>
      <w:pPr>
        <w:jc w:val="both"/>
        <w:ind w:firstLine="1094"/>
        <w:spacing w:after="0" w:line="263" w:lineRule="auto"/>
        <w:tabs>
          <w:tab w:leader="none" w:pos="154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w:t>
      </w:r>
      <w:r>
        <w:rPr>
          <w:rFonts w:ascii="Arial" w:cs="Arial" w:eastAsia="Arial" w:hAnsi="Arial"/>
          <w:sz w:val="17"/>
          <w:szCs w:val="17"/>
          <w:color w:val="FF0000"/>
          <w:strike w:val="1"/>
        </w:rPr>
        <w:t>Eurodollar Loan or</w:t>
      </w:r>
      <w:r>
        <w:rPr>
          <w:rFonts w:ascii="Arial" w:cs="Arial" w:eastAsia="Arial" w:hAnsi="Arial"/>
          <w:sz w:val="17"/>
          <w:szCs w:val="17"/>
          <w:color w:val="auto"/>
        </w:rPr>
        <w:t xml:space="preserve"> Term Benchmark Loan prior to the end of the current Interest Period therefor, accrued interest on such Loan shall be payable on the effective date of such conversion.</w:t>
      </w:r>
    </w:p>
    <w:p>
      <w:pPr>
        <w:spacing w:after="0" w:line="172" w:lineRule="exact"/>
        <w:rPr>
          <w:rFonts w:ascii="Arial" w:cs="Arial" w:eastAsia="Arial" w:hAnsi="Arial"/>
          <w:sz w:val="17"/>
          <w:szCs w:val="17"/>
          <w:color w:val="auto"/>
        </w:rPr>
      </w:pPr>
    </w:p>
    <w:p>
      <w:pPr>
        <w:jc w:val="both"/>
        <w:ind w:firstLine="1104"/>
        <w:spacing w:after="0" w:line="249" w:lineRule="auto"/>
        <w:tabs>
          <w:tab w:leader="none" w:pos="15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All interest hereunder shall be computed on the basis of a year of 360 days, except that interest computed by reference to the Alternate Base Rate, the Canadian Base Rate, the BA Rate,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BA</w:t>
      </w:r>
      <w:r>
        <w:rPr>
          <w:rFonts w:ascii="Arial" w:cs="Arial" w:eastAsia="Arial" w:hAnsi="Arial"/>
          <w:sz w:val="18"/>
          <w:szCs w:val="18"/>
          <w:color w:val="auto"/>
        </w:rPr>
        <w:t xml:space="preserve"> Rate, Adjusted </w:t>
      </w:r>
      <w:r>
        <w:rPr>
          <w:rFonts w:ascii="Arial" w:cs="Arial" w:eastAsia="Arial" w:hAnsi="Arial"/>
          <w:sz w:val="18"/>
          <w:szCs w:val="18"/>
          <w:color w:val="FF0000"/>
          <w:strike w:val="1"/>
        </w:rPr>
        <w:t>BA Rate. Adjusted</w:t>
      </w:r>
      <w:r>
        <w:rPr>
          <w:rFonts w:ascii="Arial" w:cs="Arial" w:eastAsia="Arial" w:hAnsi="Arial"/>
          <w:sz w:val="18"/>
          <w:szCs w:val="18"/>
          <w:color w:val="auto"/>
        </w:rPr>
        <w:t xml:space="preserve"> EURIBOR, Adjusted Daily Simple SONIA, Adjusted Term SOFR Rate or Adjusted Daily Simple SOFR and shall be determined by the First Lien Administrative Agent, and such determination shall be conclusive absent manifest error.</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25" w:lineRule="exact"/>
        <w:rPr>
          <w:sz w:val="20"/>
          <w:szCs w:val="20"/>
          <w:color w:val="auto"/>
        </w:rPr>
      </w:pPr>
    </w:p>
    <w:p>
      <w:pPr>
        <w:ind w:left="1720" w:hanging="416"/>
        <w:spacing w:after="0"/>
        <w:tabs>
          <w:tab w:leader="none" w:pos="17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Subject to clauses (b), (c), (d), (e), (f) and (g) of this Section 2.14, if:</w:t>
      </w:r>
    </w:p>
    <w:p>
      <w:pPr>
        <w:spacing w:after="0" w:line="211" w:lineRule="exact"/>
        <w:rPr>
          <w:rFonts w:ascii="Arial" w:cs="Arial" w:eastAsia="Arial" w:hAnsi="Arial"/>
          <w:sz w:val="18"/>
          <w:szCs w:val="18"/>
          <w:color w:val="auto"/>
        </w:rPr>
      </w:pPr>
    </w:p>
    <w:p>
      <w:pPr>
        <w:jc w:val="both"/>
        <w:ind w:firstLine="899"/>
        <w:spacing w:after="0" w:line="271" w:lineRule="auto"/>
        <w:tabs>
          <w:tab w:leader="none" w:pos="134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the First Lien Administrative Agent determines (which determination shall be conclusive absent manifest error) (A) at least two (2) Business Days prior to the commencement of any Interest Period for a Term Benchmark Borrowing </w:t>
      </w:r>
      <w:r>
        <w:rPr>
          <w:rFonts w:ascii="Arial" w:cs="Arial" w:eastAsia="Arial" w:hAnsi="Arial"/>
          <w:sz w:val="17"/>
          <w:szCs w:val="17"/>
          <w:color w:val="FF0000"/>
          <w:strike w:val="1"/>
        </w:rPr>
        <w:t>or a Eurodollar Borrowing</w:t>
      </w:r>
      <w:r>
        <w:rPr>
          <w:rFonts w:ascii="Arial" w:cs="Arial" w:eastAsia="Arial" w:hAnsi="Arial"/>
          <w:sz w:val="17"/>
          <w:szCs w:val="17"/>
          <w:color w:val="auto"/>
        </w:rPr>
        <w:t xml:space="preserve"> that adequate and reasonable means do not exist for ascertaining the Adjusted Term SOFR Rate (including because the Term SOFR Reference Rate is not available or published on a current basis)</w:t>
      </w:r>
      <w:r>
        <w:rPr>
          <w:rFonts w:ascii="Arial" w:cs="Arial" w:eastAsia="Arial" w:hAnsi="Arial"/>
          <w:sz w:val="17"/>
          <w:szCs w:val="17"/>
          <w:color w:val="FF0000"/>
          <w:strike w:val="1"/>
        </w:rPr>
        <w:t>, the Adjusted LIBO Rate</w:t>
      </w:r>
      <w:r>
        <w:rPr>
          <w:rFonts w:ascii="Arial" w:cs="Arial" w:eastAsia="Arial" w:hAnsi="Arial"/>
          <w:sz w:val="17"/>
          <w:szCs w:val="17"/>
          <w:color w:val="auto"/>
        </w:rPr>
        <w:t>, the Adjusted BA Rate or Adjusted EURIBOR, as applicable, for such Interest Period or (B) at any time, that adequate and reasonable means do not exist for ascertaining the applicable Daily Simple RFR; or</w:t>
      </w:r>
    </w:p>
    <w:p>
      <w:pPr>
        <w:spacing w:after="0" w:line="178" w:lineRule="exact"/>
        <w:rPr>
          <w:rFonts w:ascii="Arial" w:cs="Arial" w:eastAsia="Arial" w:hAnsi="Arial"/>
          <w:sz w:val="17"/>
          <w:szCs w:val="17"/>
          <w:color w:val="auto"/>
        </w:rPr>
      </w:pPr>
    </w:p>
    <w:p>
      <w:pPr>
        <w:jc w:val="both"/>
        <w:ind w:firstLine="899"/>
        <w:spacing w:after="0" w:line="246" w:lineRule="auto"/>
        <w:tabs>
          <w:tab w:leader="none" w:pos="13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First Lien Administrative Agent is advised by the Required Lenders that (A) prior to the commencement of any Interest Period for a </w:t>
      </w:r>
      <w:r>
        <w:rPr>
          <w:rFonts w:ascii="Arial" w:cs="Arial" w:eastAsia="Arial" w:hAnsi="Arial"/>
          <w:sz w:val="18"/>
          <w:szCs w:val="18"/>
          <w:color w:val="FF0000"/>
          <w:strike w:val="1"/>
        </w:rPr>
        <w:t>Eurodollar Borrowing or</w:t>
      </w:r>
      <w:r>
        <w:rPr>
          <w:rFonts w:ascii="Arial" w:cs="Arial" w:eastAsia="Arial" w:hAnsi="Arial"/>
          <w:sz w:val="18"/>
          <w:szCs w:val="18"/>
          <w:color w:val="FF0000"/>
        </w:rPr>
        <w:t xml:space="preserve"> </w:t>
      </w:r>
      <w:r>
        <w:rPr>
          <w:rFonts w:ascii="Arial" w:cs="Arial" w:eastAsia="Arial" w:hAnsi="Arial"/>
          <w:sz w:val="18"/>
          <w:szCs w:val="18"/>
          <w:color w:val="000000"/>
        </w:rPr>
        <w:t>Term Benchmark Borrowing, the Adjusted Term SOFR</w:t>
      </w:r>
      <w:r>
        <w:rPr>
          <w:rFonts w:ascii="Arial" w:cs="Arial" w:eastAsia="Arial" w:hAnsi="Arial"/>
          <w:sz w:val="18"/>
          <w:szCs w:val="18"/>
          <w:color w:val="FF0000"/>
        </w:rPr>
        <w:t xml:space="preserve"> </w:t>
      </w:r>
      <w:r>
        <w:rPr>
          <w:rFonts w:ascii="Arial" w:cs="Arial" w:eastAsia="Arial" w:hAnsi="Arial"/>
          <w:sz w:val="18"/>
          <w:szCs w:val="18"/>
          <w:color w:val="FF0000"/>
          <w:strike w:val="1"/>
        </w:rPr>
        <w:t>Rate, the Adjusted LIBO</w:t>
      </w:r>
      <w:r>
        <w:rPr>
          <w:rFonts w:ascii="Arial" w:cs="Arial" w:eastAsia="Arial" w:hAnsi="Arial"/>
          <w:sz w:val="18"/>
          <w:szCs w:val="18"/>
          <w:color w:val="FF0000"/>
        </w:rPr>
        <w:t xml:space="preserve"> </w:t>
      </w:r>
      <w:r>
        <w:rPr>
          <w:rFonts w:ascii="Arial" w:cs="Arial" w:eastAsia="Arial" w:hAnsi="Arial"/>
          <w:sz w:val="18"/>
          <w:szCs w:val="18"/>
          <w:color w:val="000000"/>
        </w:rPr>
        <w:t>Rate, the Adjusted BA Rate or Adjusted</w:t>
      </w:r>
      <w:r>
        <w:rPr>
          <w:rFonts w:ascii="Arial" w:cs="Arial" w:eastAsia="Arial" w:hAnsi="Arial"/>
          <w:sz w:val="18"/>
          <w:szCs w:val="18"/>
          <w:color w:val="FF0000"/>
        </w:rPr>
        <w:t xml:space="preserve"> </w:t>
      </w:r>
      <w:r>
        <w:rPr>
          <w:rFonts w:ascii="Arial" w:cs="Arial" w:eastAsia="Arial" w:hAnsi="Arial"/>
          <w:sz w:val="18"/>
          <w:szCs w:val="18"/>
          <w:color w:val="000000"/>
        </w:rPr>
        <w:t>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Arial" w:cs="Arial" w:eastAsia="Arial" w:hAnsi="Arial"/>
          <w:sz w:val="18"/>
          <w:szCs w:val="18"/>
          <w:u w:val="single" w:color="auto"/>
          <w:color w:val="000000"/>
        </w:rPr>
        <w:t>Impacted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Loans</w:t>
      </w:r>
      <w:r>
        <w:rPr>
          <w:rFonts w:ascii="Arial" w:cs="Arial" w:eastAsia="Arial" w:hAnsi="Arial"/>
          <w:sz w:val="18"/>
          <w:szCs w:val="18"/>
          <w:color w:val="000000"/>
        </w:rPr>
        <w:t>”) or (B) at any time, the applicable Daily Simple RFR will not adequately and fairly reflect the cost to such Lenders (or Lender) of making or maintaining their Loans (or its Loan) included in such Borrowing;</w:t>
      </w:r>
    </w:p>
    <w:p>
      <w:pPr>
        <w:spacing w:after="0" w:line="199"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21" w:right="339" w:bottom="1440" w:gutter="0" w:footer="0" w:header="0"/>
        </w:sectPr>
      </w:pPr>
    </w:p>
    <w:bookmarkStart w:id="122" w:name="page123"/>
    <w:bookmarkEnd w:id="122"/>
    <w:p>
      <w:pPr>
        <w:jc w:val="both"/>
        <w:spacing w:after="0" w:line="274" w:lineRule="auto"/>
        <w:rPr>
          <w:sz w:val="20"/>
          <w:szCs w:val="20"/>
          <w:color w:val="auto"/>
        </w:rPr>
      </w:pPr>
      <w:r>
        <w:rPr>
          <w:rFonts w:ascii="Arial" w:cs="Arial" w:eastAsia="Arial" w:hAnsi="Arial"/>
          <w:sz w:val="16"/>
          <w:szCs w:val="16"/>
          <w:color w:val="auto"/>
        </w:rPr>
        <w:t xml:space="preserve">the conversion of any Borrowing in Dollars or Canadian Dollars to, or continuation of any Borrowing in Dollars or Canadian Dollars as, a </w:t>
      </w:r>
      <w:r>
        <w:rPr>
          <w:rFonts w:ascii="Arial" w:cs="Arial" w:eastAsia="Arial" w:hAnsi="Arial"/>
          <w:sz w:val="16"/>
          <w:szCs w:val="16"/>
          <w:color w:val="FF0000"/>
          <w:strike w:val="1"/>
        </w:rPr>
        <w:t>Eurodollar</w:t>
      </w:r>
      <w:r>
        <w:rPr>
          <w:rFonts w:ascii="Arial" w:cs="Arial" w:eastAsia="Arial" w:hAnsi="Arial"/>
          <w:sz w:val="16"/>
          <w:szCs w:val="16"/>
          <w:color w:val="auto"/>
        </w:rPr>
        <w:t xml:space="preserve"> </w:t>
      </w:r>
      <w:r>
        <w:rPr>
          <w:rFonts w:ascii="Arial" w:cs="Arial" w:eastAsia="Arial" w:hAnsi="Arial"/>
          <w:sz w:val="16"/>
          <w:szCs w:val="16"/>
          <w:color w:val="FF0000"/>
          <w:strike w:val="1"/>
        </w:rPr>
        <w:t>Borrowing or a</w:t>
      </w:r>
      <w:r>
        <w:rPr>
          <w:rFonts w:ascii="Arial" w:cs="Arial" w:eastAsia="Arial" w:hAnsi="Arial"/>
          <w:sz w:val="16"/>
          <w:szCs w:val="16"/>
          <w:color w:val="FF0000"/>
        </w:rPr>
        <w:t xml:space="preserve"> </w:t>
      </w:r>
      <w:r>
        <w:rPr>
          <w:rFonts w:ascii="Arial" w:cs="Arial" w:eastAsia="Arial" w:hAnsi="Arial"/>
          <w:sz w:val="16"/>
          <w:szCs w:val="16"/>
          <w:color w:val="000000"/>
        </w:rPr>
        <w:t>Term Benchmark Borrowing</w:t>
      </w:r>
      <w:r>
        <w:rPr>
          <w:rFonts w:ascii="Arial" w:cs="Arial" w:eastAsia="Arial" w:hAnsi="Arial"/>
          <w:sz w:val="16"/>
          <w:szCs w:val="16"/>
          <w:color w:val="FF0000"/>
          <w:strike w:val="1"/>
        </w:rPr>
        <w:t>, as applicable,</w:t>
      </w:r>
      <w:r>
        <w:rPr>
          <w:rFonts w:ascii="Arial" w:cs="Arial" w:eastAsia="Arial" w:hAnsi="Arial"/>
          <w:sz w:val="16"/>
          <w:szCs w:val="16"/>
          <w:color w:val="FF0000"/>
        </w:rPr>
        <w:t xml:space="preserve"> </w:t>
      </w:r>
      <w:r>
        <w:rPr>
          <w:rFonts w:ascii="Arial" w:cs="Arial" w:eastAsia="Arial" w:hAnsi="Arial"/>
          <w:sz w:val="16"/>
          <w:szCs w:val="16"/>
          <w:color w:val="000000"/>
        </w:rPr>
        <w:t>shall be ineffective, (y) if any Borrowing Request requests a</w:t>
      </w:r>
      <w:r>
        <w:rPr>
          <w:rFonts w:ascii="Arial" w:cs="Arial" w:eastAsia="Arial" w:hAnsi="Arial"/>
          <w:sz w:val="16"/>
          <w:szCs w:val="16"/>
          <w:color w:val="FF0000"/>
        </w:rPr>
        <w:t xml:space="preserve"> </w:t>
      </w:r>
      <w:r>
        <w:rPr>
          <w:rFonts w:ascii="Arial" w:cs="Arial" w:eastAsia="Arial" w:hAnsi="Arial"/>
          <w:sz w:val="16"/>
          <w:szCs w:val="16"/>
          <w:color w:val="FF0000"/>
          <w:strike w:val="1"/>
        </w:rPr>
        <w:t>Eurodollar Borrowing or a</w:t>
      </w:r>
      <w:r>
        <w:rPr>
          <w:rFonts w:ascii="Arial" w:cs="Arial" w:eastAsia="Arial" w:hAnsi="Arial"/>
          <w:sz w:val="16"/>
          <w:szCs w:val="16"/>
          <w:color w:val="FF0000"/>
        </w:rPr>
        <w:t xml:space="preserve"> </w:t>
      </w:r>
      <w:r>
        <w:rPr>
          <w:rFonts w:ascii="Arial" w:cs="Arial" w:eastAsia="Arial" w:hAnsi="Arial"/>
          <w:sz w:val="16"/>
          <w:szCs w:val="16"/>
          <w:color w:val="000000"/>
        </w:rPr>
        <w:t>Term</w:t>
      </w:r>
      <w:r>
        <w:rPr>
          <w:rFonts w:ascii="Arial" w:cs="Arial" w:eastAsia="Arial" w:hAnsi="Arial"/>
          <w:sz w:val="16"/>
          <w:szCs w:val="16"/>
          <w:color w:val="FF0000"/>
        </w:rPr>
        <w:t xml:space="preserve"> </w:t>
      </w:r>
      <w:r>
        <w:rPr>
          <w:rFonts w:ascii="Arial" w:cs="Arial" w:eastAsia="Arial" w:hAnsi="Arial"/>
          <w:sz w:val="16"/>
          <w:szCs w:val="16"/>
          <w:color w:val="000000"/>
        </w:rPr>
        <w:t>Benchmark Borrowing in Canadian Dollars, then such Borrowing shall be made as an ABR Borrowing and (z) if any Borrowing Request requests a Term Benchmark Borrowing in Dollars, then such Borrowing shall be made as (1) an RFR Borrowing denominated in Dollars so long as the Adjusted Daily Simple SOFR is not also the subject of Section 2.14(a)(i) or (ii) above or (y) an ABR Borrowing if the Adjusted Daily Simple SOFR also is the subject of Section 2.14(a)(i) or (ii) above, (ii) in the event any Loans denominated in Euro are so affected, the relevant interest rate shall be determined in accordance with clause (ii) of the definition of “EURIBOR” and (iii) in the event any Loans denominated in Sterling are so affected, any Borrowing Request that requests a SONIA Borrowing shall be ineffective. Furthermore, if any SONIA Loan is outstanding on the date of the Borrower’s receipt of the notice from the First Lien Administrative Agent referred to in this Section 2.14(a) with respect to a SONIA Loan, then until (x) the First Lien Administrative Agent notifies the Borrower and the Lenders that the circumstances giving rise to such notice no longer exist with respect to Adjusted Daily Simple SONIA and</w:t>
      </w:r>
    </w:p>
    <w:p>
      <w:pPr>
        <w:spacing w:after="0" w:line="6" w:lineRule="exact"/>
        <w:rPr>
          <w:sz w:val="20"/>
          <w:szCs w:val="20"/>
          <w:color w:val="auto"/>
        </w:rPr>
      </w:pPr>
    </w:p>
    <w:p>
      <w:pPr>
        <w:jc w:val="both"/>
        <w:ind w:firstLine="8"/>
        <w:spacing w:after="0" w:line="243" w:lineRule="auto"/>
        <w:tabs>
          <w:tab w:leader="none" w:pos="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 (B) be prepaid in full immediately;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the Borrower may revoke any Borrowing Request that is pending when such notice is received.</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71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First Lien Loan Document, if a Benchmark Transition Event </w:t>
      </w:r>
      <w:r>
        <w:rPr>
          <w:rFonts w:ascii="Arial" w:cs="Arial" w:eastAsia="Arial" w:hAnsi="Arial"/>
          <w:sz w:val="16"/>
          <w:szCs w:val="16"/>
          <w:color w:val="FF0000"/>
          <w:strike w:val="1"/>
        </w:rPr>
        <w:t>or an</w:t>
      </w:r>
      <w:r>
        <w:rPr>
          <w:rFonts w:ascii="Arial" w:cs="Arial" w:eastAsia="Arial" w:hAnsi="Arial"/>
          <w:sz w:val="16"/>
          <w:szCs w:val="16"/>
          <w:color w:val="auto"/>
        </w:rPr>
        <w:t xml:space="preserve"> </w:t>
      </w:r>
      <w:r>
        <w:rPr>
          <w:rFonts w:ascii="Arial" w:cs="Arial" w:eastAsia="Arial" w:hAnsi="Arial"/>
          <w:sz w:val="16"/>
          <w:szCs w:val="16"/>
          <w:color w:val="FF0000"/>
          <w:strike w:val="1"/>
        </w:rPr>
        <w:t>Early Opt-in Election, as applicable,</w:t>
      </w:r>
      <w:r>
        <w:rPr>
          <w:rFonts w:ascii="Arial" w:cs="Arial" w:eastAsia="Arial" w:hAnsi="Arial"/>
          <w:sz w:val="16"/>
          <w:szCs w:val="16"/>
          <w:color w:val="FF0000"/>
        </w:rPr>
        <w:t xml:space="preserve"> </w:t>
      </w:r>
      <w:r>
        <w:rPr>
          <w:rFonts w:ascii="Arial" w:cs="Arial" w:eastAsia="Arial" w:hAnsi="Arial"/>
          <w:sz w:val="16"/>
          <w:szCs w:val="16"/>
          <w:color w:val="000000"/>
        </w:rPr>
        <w:t>and its related Benchmark Replacement Date have occurred prior to the Reference Time in respect of any setting of the</w:t>
      </w:r>
      <w:r>
        <w:rPr>
          <w:rFonts w:ascii="Arial" w:cs="Arial" w:eastAsia="Arial" w:hAnsi="Arial"/>
          <w:sz w:val="16"/>
          <w:szCs w:val="16"/>
          <w:color w:val="FF0000"/>
        </w:rPr>
        <w:t xml:space="preserve"> </w:t>
      </w:r>
      <w:r>
        <w:rPr>
          <w:rFonts w:ascii="Arial" w:cs="Arial" w:eastAsia="Arial" w:hAnsi="Arial"/>
          <w:sz w:val="16"/>
          <w:szCs w:val="16"/>
          <w:color w:val="000000"/>
        </w:rPr>
        <w:t xml:space="preserve">then-current Benchmark, then (x) if a Benchmark Replacement is determined in accordance with clause (1) </w:t>
      </w:r>
      <w:r>
        <w:rPr>
          <w:rFonts w:ascii="Arial" w:cs="Arial" w:eastAsia="Arial" w:hAnsi="Arial"/>
          <w:sz w:val="16"/>
          <w:szCs w:val="16"/>
          <w:color w:val="FF0000"/>
          <w:strike w:val="1"/>
        </w:rPr>
        <w:t>or (2)</w:t>
      </w:r>
      <w:r>
        <w:rPr>
          <w:rFonts w:ascii="Arial" w:cs="Arial" w:eastAsia="Arial" w:hAnsi="Arial"/>
          <w:sz w:val="16"/>
          <w:szCs w:val="16"/>
          <w:color w:val="000000"/>
        </w:rPr>
        <w:t xml:space="preserve">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w:t>
      </w:r>
      <w:r>
        <w:rPr>
          <w:rFonts w:ascii="Arial" w:cs="Arial" w:eastAsia="Arial" w:hAnsi="Arial"/>
          <w:sz w:val="16"/>
          <w:szCs w:val="16"/>
          <w:color w:val="FF0000"/>
          <w:strike w:val="1"/>
        </w:rPr>
        <w:t>3</w:t>
      </w:r>
      <w:r>
        <w:rPr>
          <w:rFonts w:ascii="Arial" w:cs="Arial" w:eastAsia="Arial" w:hAnsi="Arial"/>
          <w:sz w:val="16"/>
          <w:szCs w:val="16"/>
          <w:u w:val="single" w:color="auto"/>
          <w:color w:val="0000FF"/>
        </w:rPr>
        <w:t>2</w:t>
      </w:r>
      <w:r>
        <w:rPr>
          <w:rFonts w:ascii="Arial" w:cs="Arial" w:eastAsia="Arial" w:hAnsi="Arial"/>
          <w:sz w:val="16"/>
          <w:szCs w:val="16"/>
          <w:color w:val="000000"/>
        </w:rPr>
        <w:t>)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spacing w:after="0" w:line="151" w:lineRule="exact"/>
        <w:rPr>
          <w:rFonts w:ascii="Arial" w:cs="Arial" w:eastAsia="Arial" w:hAnsi="Arial"/>
          <w:sz w:val="16"/>
          <w:szCs w:val="16"/>
          <w:color w:val="auto"/>
        </w:rPr>
      </w:pPr>
    </w:p>
    <w:p>
      <w:pPr>
        <w:ind w:left="1560" w:hanging="256"/>
        <w:spacing w:after="0"/>
        <w:tabs>
          <w:tab w:leader="none" w:pos="1560" w:val="left"/>
        </w:tabs>
        <w:numPr>
          <w:ilvl w:val="1"/>
          <w:numId w:val="132"/>
        </w:numPr>
        <w:rPr>
          <w:rFonts w:ascii="Arial" w:cs="Arial" w:eastAsia="Arial" w:hAnsi="Arial"/>
          <w:sz w:val="16"/>
          <w:szCs w:val="16"/>
          <w:color w:val="FF0000"/>
          <w:strike w:val="1"/>
        </w:rPr>
      </w:pPr>
      <w:r>
        <w:rPr>
          <w:rFonts w:ascii="Arial" w:cs="Arial" w:eastAsia="Arial" w:hAnsi="Arial"/>
          <w:sz w:val="19"/>
          <w:szCs w:val="19"/>
          <w:color w:val="FF0000"/>
          <w:strike w:val="1"/>
        </w:rPr>
        <w:t>Notwithstanding anything to the contrary herein or in any other First Lien Loan Document and subject to the</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FF0000"/>
          <w:strike w:val="1"/>
        </w:rPr>
        <w:t>proviso below in this paragraph, solely with respect to a Term Loan denominated in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First Lien Loan Document in respect of such Benchmark setting and subsequent Benchmark settings, without any amendment to, or further action or consent of any other party to, this Agreement or any other First Lien Loan Document; provided that, this clause (c) shall not be effective unless the First Lien Administrative Agent has delivered to the Lenders and the Borrower a Term SOFR Notice. For the avoidance of doubt, the First Lien Administrative Agent shall not be required to deliver a Term SOFR Notice after a Term SOFR Transition Event and may do so in its sole discretion.</w:t>
      </w:r>
    </w:p>
    <w:p>
      <w:pPr>
        <w:spacing w:after="0" w:line="157" w:lineRule="exact"/>
        <w:rPr>
          <w:sz w:val="20"/>
          <w:szCs w:val="20"/>
          <w:color w:val="auto"/>
        </w:rPr>
      </w:pPr>
    </w:p>
    <w:p>
      <w:pPr>
        <w:jc w:val="both"/>
        <w:ind w:firstLine="1096"/>
        <w:spacing w:after="0" w:line="277" w:lineRule="auto"/>
        <w:rPr>
          <w:sz w:val="20"/>
          <w:szCs w:val="20"/>
          <w:color w:val="auto"/>
        </w:rPr>
      </w:pPr>
      <w:r>
        <w:rPr>
          <w:rFonts w:ascii="Arial" w:cs="Arial" w:eastAsia="Arial" w:hAnsi="Arial"/>
          <w:sz w:val="18"/>
          <w:szCs w:val="18"/>
          <w:u w:val="single" w:color="auto"/>
          <w:color w:val="0000FF"/>
        </w:rPr>
        <w:t>(c)</w:t>
      </w:r>
      <w:r>
        <w:rPr>
          <w:rFonts w:ascii="Arial" w:cs="Arial" w:eastAsia="Arial" w:hAnsi="Arial"/>
          <w:sz w:val="18"/>
          <w:szCs w:val="18"/>
          <w:color w:val="FF0000"/>
          <w:strike w:val="1"/>
        </w:rPr>
        <w:t>(d)</w:t>
      </w:r>
      <w:r>
        <w:rPr>
          <w:rFonts w:ascii="Arial" w:cs="Arial" w:eastAsia="Arial" w:hAnsi="Arial"/>
          <w:sz w:val="18"/>
          <w:szCs w:val="18"/>
          <w:color w:val="0000FF"/>
        </w:rPr>
        <w:t xml:space="preserve"> </w:t>
      </w:r>
      <w:r>
        <w:rPr>
          <w:rFonts w:ascii="Arial" w:cs="Arial" w:eastAsia="Arial" w:hAnsi="Arial"/>
          <w:sz w:val="18"/>
          <w:szCs w:val="18"/>
          <w:color w:val="000000"/>
        </w:rPr>
        <w:t>In connection with the implementation of a Benchmark Replacement, the First Lien Administrative Agent will have the right to make</w:t>
      </w:r>
      <w:r>
        <w:rPr>
          <w:rFonts w:ascii="Arial" w:cs="Arial" w:eastAsia="Arial" w:hAnsi="Arial"/>
          <w:sz w:val="18"/>
          <w:szCs w:val="18"/>
          <w:color w:val="0000FF"/>
        </w:rPr>
        <w:t xml:space="preserve"> </w:t>
      </w:r>
      <w:r>
        <w:rPr>
          <w:rFonts w:ascii="Arial" w:cs="Arial" w:eastAsia="Arial" w:hAnsi="Arial"/>
          <w:sz w:val="18"/>
          <w:szCs w:val="18"/>
          <w:color w:val="000000"/>
        </w:rPr>
        <w:t>Benchmark Replacement Conforming Changes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21" w:right="339" w:bottom="1440" w:gutter="0" w:footer="0" w:header="0"/>
        </w:sectPr>
      </w:pPr>
    </w:p>
    <w:bookmarkStart w:id="123" w:name="page124"/>
    <w:bookmarkEnd w:id="123"/>
    <w:p>
      <w:pPr>
        <w:jc w:val="both"/>
        <w:spacing w:after="0" w:line="256" w:lineRule="auto"/>
        <w:rPr>
          <w:sz w:val="20"/>
          <w:szCs w:val="20"/>
          <w:color w:val="auto"/>
        </w:rPr>
      </w:pPr>
      <w:r>
        <w:rPr>
          <w:rFonts w:ascii="Arial" w:cs="Arial" w:eastAsia="Arial" w:hAnsi="Arial"/>
          <w:sz w:val="18"/>
          <w:szCs w:val="18"/>
          <w:color w:val="auto"/>
        </w:rPr>
        <w:t>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spacing w:after="0" w:line="175" w:lineRule="exact"/>
        <w:rPr>
          <w:sz w:val="20"/>
          <w:szCs w:val="20"/>
          <w:color w:val="auto"/>
        </w:rPr>
      </w:pPr>
    </w:p>
    <w:p>
      <w:pPr>
        <w:jc w:val="both"/>
        <w:ind w:firstLine="1086"/>
        <w:spacing w:after="0" w:line="262" w:lineRule="auto"/>
        <w:rPr>
          <w:sz w:val="20"/>
          <w:szCs w:val="20"/>
          <w:color w:val="auto"/>
        </w:rPr>
      </w:pPr>
      <w:r>
        <w:rPr>
          <w:rFonts w:ascii="Arial" w:cs="Arial" w:eastAsia="Arial" w:hAnsi="Arial"/>
          <w:sz w:val="17"/>
          <w:szCs w:val="17"/>
          <w:u w:val="single" w:color="auto"/>
          <w:color w:val="0000FF"/>
        </w:rPr>
        <w:t>(d)</w:t>
      </w:r>
      <w:r>
        <w:rPr>
          <w:rFonts w:ascii="Arial" w:cs="Arial" w:eastAsia="Arial" w:hAnsi="Arial"/>
          <w:sz w:val="17"/>
          <w:szCs w:val="17"/>
          <w:color w:val="FF0000"/>
          <w:strike w:val="1"/>
        </w:rPr>
        <w:t>(e)</w:t>
      </w:r>
      <w:r>
        <w:rPr>
          <w:rFonts w:ascii="Arial" w:cs="Arial" w:eastAsia="Arial" w:hAnsi="Arial"/>
          <w:sz w:val="17"/>
          <w:szCs w:val="17"/>
          <w:color w:val="0000FF"/>
        </w:rPr>
        <w:t xml:space="preserve"> </w:t>
      </w:r>
      <w:r>
        <w:rPr>
          <w:rFonts w:ascii="Arial" w:cs="Arial" w:eastAsia="Arial" w:hAnsi="Arial"/>
          <w:sz w:val="17"/>
          <w:szCs w:val="17"/>
          <w:color w:val="000000"/>
        </w:rPr>
        <w:t>The First Lien Administrative Agent will promptly notify the Borrower and the Lenders of (i) any occurrence of a Benchmark</w:t>
      </w:r>
      <w:r>
        <w:rPr>
          <w:rFonts w:ascii="Arial" w:cs="Arial" w:eastAsia="Arial" w:hAnsi="Arial"/>
          <w:sz w:val="17"/>
          <w:szCs w:val="17"/>
          <w:color w:val="0000FF"/>
        </w:rPr>
        <w:t xml:space="preserve"> </w:t>
      </w:r>
      <w:r>
        <w:rPr>
          <w:rFonts w:ascii="Arial" w:cs="Arial" w:eastAsia="Arial" w:hAnsi="Arial"/>
          <w:sz w:val="17"/>
          <w:szCs w:val="17"/>
          <w:color w:val="000000"/>
        </w:rPr>
        <w:t>Transition Event</w:t>
      </w:r>
      <w:r>
        <w:rPr>
          <w:rFonts w:ascii="Arial" w:cs="Arial" w:eastAsia="Arial" w:hAnsi="Arial"/>
          <w:sz w:val="17"/>
          <w:szCs w:val="17"/>
          <w:color w:val="FF0000"/>
          <w:strike w:val="1"/>
        </w:rPr>
        <w:t>, a Term SOFR Transition Event or an Early Opt-in Election, as applicable,</w:t>
      </w:r>
      <w:r>
        <w:rPr>
          <w:rFonts w:ascii="Arial" w:cs="Arial" w:eastAsia="Arial" w:hAnsi="Arial"/>
          <w:sz w:val="17"/>
          <w:szCs w:val="17"/>
          <w:color w:val="000000"/>
        </w:rPr>
        <w:t xml:space="preserve">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72" w:lineRule="exact"/>
        <w:rPr>
          <w:sz w:val="20"/>
          <w:szCs w:val="20"/>
          <w:color w:val="auto"/>
        </w:rPr>
      </w:pPr>
    </w:p>
    <w:p>
      <w:pPr>
        <w:jc w:val="both"/>
        <w:ind w:firstLine="1096"/>
        <w:spacing w:after="0" w:line="262" w:lineRule="auto"/>
        <w:rPr>
          <w:sz w:val="20"/>
          <w:szCs w:val="20"/>
          <w:color w:val="auto"/>
        </w:rPr>
      </w:pPr>
      <w:r>
        <w:rPr>
          <w:rFonts w:ascii="Arial" w:cs="Arial" w:eastAsia="Arial" w:hAnsi="Arial"/>
          <w:sz w:val="17"/>
          <w:szCs w:val="17"/>
          <w:u w:val="single" w:color="auto"/>
          <w:color w:val="0000FF"/>
        </w:rPr>
        <w:t>(e)</w:t>
      </w:r>
      <w:r>
        <w:rPr>
          <w:rFonts w:ascii="Arial" w:cs="Arial" w:eastAsia="Arial" w:hAnsi="Arial"/>
          <w:sz w:val="17"/>
          <w:szCs w:val="17"/>
          <w:color w:val="FF0000"/>
          <w:strike w:val="1"/>
        </w:rPr>
        <w:t>(f)</w:t>
      </w:r>
      <w:r>
        <w:rPr>
          <w:rFonts w:ascii="Arial" w:cs="Arial" w:eastAsia="Arial" w:hAnsi="Arial"/>
          <w:sz w:val="17"/>
          <w:szCs w:val="17"/>
          <w:color w:val="0000FF"/>
        </w:rPr>
        <w:t xml:space="preserve"> </w:t>
      </w:r>
      <w:r>
        <w:rPr>
          <w:rFonts w:ascii="Arial" w:cs="Arial" w:eastAsia="Arial" w:hAnsi="Arial"/>
          <w:sz w:val="17"/>
          <w:szCs w:val="17"/>
          <w:color w:val="000000"/>
        </w:rPr>
        <w:t>Notwithstanding anything to the contrary herein or in any other First Lien Loan Document, at any time (including in connection with</w:t>
      </w:r>
      <w:r>
        <w:rPr>
          <w:rFonts w:ascii="Arial" w:cs="Arial" w:eastAsia="Arial" w:hAnsi="Arial"/>
          <w:sz w:val="17"/>
          <w:szCs w:val="17"/>
          <w:color w:val="0000FF"/>
        </w:rPr>
        <w:t xml:space="preserve"> </w:t>
      </w:r>
      <w:r>
        <w:rPr>
          <w:rFonts w:ascii="Arial" w:cs="Arial" w:eastAsia="Arial" w:hAnsi="Arial"/>
          <w:sz w:val="17"/>
          <w:szCs w:val="17"/>
          <w:color w:val="000000"/>
        </w:rPr>
        <w:t xml:space="preserve">the implementation of a Benchmark Replacement), (i) if the then-current Benchmark is a term rate (including Term SOFR </w:t>
      </w:r>
      <w:r>
        <w:rPr>
          <w:rFonts w:ascii="Arial" w:cs="Arial" w:eastAsia="Arial" w:hAnsi="Arial"/>
          <w:sz w:val="17"/>
          <w:szCs w:val="17"/>
          <w:color w:val="FF0000"/>
        </w:rPr>
        <w:t>or the LIBO Rate</w:t>
      </w:r>
      <w:r>
        <w:rPr>
          <w:rFonts w:ascii="Arial" w:cs="Arial" w:eastAsia="Arial" w:hAnsi="Arial"/>
          <w:sz w:val="17"/>
          <w:szCs w:val="17"/>
          <w:color w:val="000000"/>
        </w:rPr>
        <w:t>) and either (A) 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5599430</wp:posOffset>
            </wp:positionH>
            <wp:positionV relativeFrom="paragraph">
              <wp:posOffset>-1148080</wp:posOffset>
            </wp:positionV>
            <wp:extent cx="828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155" w:lineRule="exact"/>
        <w:rPr>
          <w:sz w:val="20"/>
          <w:szCs w:val="20"/>
          <w:color w:val="auto"/>
        </w:rPr>
      </w:pPr>
    </w:p>
    <w:p>
      <w:pPr>
        <w:jc w:val="both"/>
        <w:ind w:firstLine="1116"/>
        <w:spacing w:after="0" w:line="273" w:lineRule="auto"/>
        <w:rPr>
          <w:sz w:val="20"/>
          <w:szCs w:val="20"/>
          <w:color w:val="auto"/>
        </w:rPr>
      </w:pPr>
      <w:r>
        <w:rPr>
          <w:rFonts w:ascii="Arial" w:cs="Arial" w:eastAsia="Arial" w:hAnsi="Arial"/>
          <w:sz w:val="16"/>
          <w:szCs w:val="16"/>
          <w:u w:val="single" w:color="auto"/>
          <w:color w:val="0000FF"/>
        </w:rPr>
        <w:t>(f)</w:t>
      </w:r>
      <w:r>
        <w:rPr>
          <w:rFonts w:ascii="Arial" w:cs="Arial" w:eastAsia="Arial" w:hAnsi="Arial"/>
          <w:sz w:val="16"/>
          <w:szCs w:val="16"/>
          <w:color w:val="FF0000"/>
          <w:strike w:val="1"/>
        </w:rPr>
        <w:t>(g)</w:t>
      </w:r>
      <w:r>
        <w:rPr>
          <w:rFonts w:ascii="Arial" w:cs="Arial" w:eastAsia="Arial" w:hAnsi="Arial"/>
          <w:sz w:val="16"/>
          <w:szCs w:val="16"/>
          <w:color w:val="0000FF"/>
        </w:rPr>
        <w:t xml:space="preserve"> </w:t>
      </w:r>
      <w:r>
        <w:rPr>
          <w:rFonts w:ascii="Arial" w:cs="Arial" w:eastAsia="Arial" w:hAnsi="Arial"/>
          <w:sz w:val="16"/>
          <w:szCs w:val="16"/>
          <w:color w:val="000000"/>
        </w:rPr>
        <w:t>Upon the Borrower’s receipt of notice of the commencement of a Benchmark Unavailability Period, the Borrower may revoke any</w:t>
      </w:r>
      <w:r>
        <w:rPr>
          <w:rFonts w:ascii="Arial" w:cs="Arial" w:eastAsia="Arial" w:hAnsi="Arial"/>
          <w:sz w:val="16"/>
          <w:szCs w:val="16"/>
          <w:color w:val="0000FF"/>
        </w:rPr>
        <w:t xml:space="preserve"> </w:t>
      </w:r>
      <w:r>
        <w:rPr>
          <w:rFonts w:ascii="Arial" w:cs="Arial" w:eastAsia="Arial" w:hAnsi="Arial"/>
          <w:sz w:val="16"/>
          <w:szCs w:val="16"/>
          <w:color w:val="000000"/>
        </w:rPr>
        <w:t xml:space="preserve">request for a Borrowing of, conversion to or continuation of affected Loans to be made, converted or continued during any Benchmark Unavailability Period and, failing that, either (x) (i) the Borrower will be deemed to have converted any request for a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 Benchmark</w:t>
      </w:r>
      <w:r>
        <w:rPr>
          <w:rFonts w:ascii="Arial" w:cs="Arial" w:eastAsia="Arial" w:hAnsi="Arial"/>
          <w:sz w:val="16"/>
          <w:szCs w:val="16"/>
          <w:color w:val="000000"/>
        </w:rPr>
        <w:t xml:space="preserve"> Term Borrowing or Term Benchmark Revolving Borrowing denominated in Canadian Dollars into a request for a Borrowing of or conversion to ABR Loans and (ii) the Borrower will be deemed to have converted any request for a Term Benchmark Revolving Borrowing denominated in Dollars into a request for a Borrowing of or conversion to (1) a RFR Borrowing denominated in Dollars so long as the Adjusted Daily Simple SOFR is not also the subject of Section 2.14(a)(i) or (ii) above or (y) an ABR Borrowing if the Adjusted Daily Simple SOFR also is the subject of Section 2.14(a)(i) or (ii) above or (y) any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Loan in Dollars or any Alternative Currency is outstanding on the date of the Borrower’s receipt of notice of the commencement of a Benchmark Unavailability Period with respect to a Relevant Rate applicable to such Loan, then (i) if such Loan is a Term Loan denominated in Dollars or a Revolving Loan denominated in Canadian Dollars, then on the last day of the Interest Period applicable to such Loan (or the next succeeding Business Day if such day is not a Business Day), such Loan shall be converted by the First Lien Administrative Agent to, and shall constitute, an ABR Loan denominated in Dollars or Canadian Dollars, as the case may be, on such day, (ii) if such Loan is a Revolving Loan denominated in Dollars, then on the last day of the Interest Period applicable to such Loan (or the next succeeding Business Day if such day is not a Business Day), such Loan shall be converted by the First Lien Administrative Agent to, and shall constitute</w:t>
      </w:r>
    </w:p>
    <w:p>
      <w:pPr>
        <w:spacing w:after="0" w:line="2" w:lineRule="exact"/>
        <w:rPr>
          <w:sz w:val="20"/>
          <w:szCs w:val="20"/>
          <w:color w:val="auto"/>
        </w:rPr>
      </w:pPr>
    </w:p>
    <w:p>
      <w:pPr>
        <w:jc w:val="both"/>
        <w:ind w:firstLine="8"/>
        <w:spacing w:after="0" w:line="246" w:lineRule="auto"/>
        <w:tabs>
          <w:tab w:leader="none" w:pos="25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RFR Borrowing denominated in Dollars so long as the Adjusted Daily Simple SOFR is not also the subject of Section 2.14(a)(i) or (ii) above or (y) an ABR Borrowing if the Adjusted Daily Simple SOFR also is the subject of Section 2.14(a)(i) or (ii) above or (iii) if such Loan is denominated in any Agreed Currency (other than Dollars or Canadian Dollars), then such Loan shall, on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21" w:right="339" w:bottom="1440" w:gutter="0" w:footer="0" w:header="0"/>
        </w:sectPr>
      </w:pPr>
    </w:p>
    <w:bookmarkStart w:id="124" w:name="page125"/>
    <w:bookmarkEnd w:id="124"/>
    <w:p>
      <w:pPr>
        <w:jc w:val="both"/>
        <w:spacing w:after="0" w:line="280" w:lineRule="auto"/>
        <w:rPr>
          <w:sz w:val="20"/>
          <w:szCs w:val="20"/>
          <w:color w:val="auto"/>
        </w:rPr>
      </w:pPr>
      <w:r>
        <w:rPr>
          <w:rFonts w:ascii="Arial" w:cs="Arial" w:eastAsia="Arial" w:hAnsi="Arial"/>
          <w:sz w:val="16"/>
          <w:szCs w:val="16"/>
          <w:color w:val="auto"/>
        </w:rPr>
        <w:t>of the Interest Period applicable to such Loan (or the next succeeding Business Day if such day is not a Business Day) or, in the case of a SONIA Loan, on the next succeeding Business Day, at the Borrower’s election prior to such day: (A) be prepaid by the Borrower on such day or (B) be converted by the First Lien Administrative Agent to, and (subject to the remainder of this subclause (B)) shall constitute, an ABR Loan denominated in Dollars (in an amount equal to the Dollar Equivalent of such Alternative Currency) on such day (it being understood and agreed that if the Borrower does not so prepay such Loan on such day by 12:00 noon, local time, the First Lien Administrative Agent is authorized to effect such conversion of such Loan into an ABR Loan denominated in Dollars), and, in the case of such subclause (B), upon any subsequent implementation of a Benchmark Replacement in respect of such Agreed Currency pursuant to this Section 2.14, such ABR Loan denominated in Dollars shall then be converted by the First Lien Administrative Agent to, and shall constitute, a Loan denominated in such original currency (in an amount equal to the Alternative Currency Equivalent of such Agreed Currency) on the day of such implementation, giving effect to such Benchmark Replacement in respect of such Agreed Currency.</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(a)If any Change in Law shall:</w:t>
      </w:r>
    </w:p>
    <w:p>
      <w:pPr>
        <w:spacing w:after="0" w:line="212" w:lineRule="exact"/>
        <w:rPr>
          <w:sz w:val="20"/>
          <w:szCs w:val="20"/>
          <w:color w:val="auto"/>
        </w:rPr>
      </w:pPr>
    </w:p>
    <w:p>
      <w:pPr>
        <w:jc w:val="both"/>
        <w:ind w:left="420" w:firstLine="730"/>
        <w:spacing w:after="0" w:line="256" w:lineRule="auto"/>
        <w:tabs>
          <w:tab w:leader="none" w:pos="19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by, any Lender or any Issuing Bank (except any such reserve requirement reflected in </w:t>
      </w:r>
      <w:r>
        <w:rPr>
          <w:rFonts w:ascii="Arial" w:cs="Arial" w:eastAsia="Arial" w:hAnsi="Arial"/>
          <w:sz w:val="18"/>
          <w:szCs w:val="18"/>
          <w:color w:val="FF0000"/>
          <w:strike w:val="1"/>
        </w:rPr>
        <w:t>the Adjusted LIBO Rate or</w:t>
      </w:r>
      <w:r>
        <w:rPr>
          <w:rFonts w:ascii="Arial" w:cs="Arial" w:eastAsia="Arial" w:hAnsi="Arial"/>
          <w:sz w:val="18"/>
          <w:szCs w:val="18"/>
          <w:color w:val="auto"/>
        </w:rPr>
        <w:t xml:space="preserve"> any Term Benchmark Rate, as applicable); or</w:t>
      </w:r>
    </w:p>
    <w:p>
      <w:pPr>
        <w:spacing w:after="0" w:line="174" w:lineRule="exact"/>
        <w:rPr>
          <w:rFonts w:ascii="Arial" w:cs="Arial" w:eastAsia="Arial" w:hAnsi="Arial"/>
          <w:sz w:val="18"/>
          <w:szCs w:val="18"/>
          <w:color w:val="auto"/>
        </w:rPr>
      </w:pPr>
    </w:p>
    <w:p>
      <w:pPr>
        <w:jc w:val="both"/>
        <w:ind w:left="420" w:firstLine="680"/>
        <w:spacing w:after="0" w:line="256" w:lineRule="auto"/>
        <w:tabs>
          <w:tab w:leader="none" w:pos="19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impose on any Lender or any Issuing Bank or </w:t>
      </w:r>
      <w:r>
        <w:rPr>
          <w:rFonts w:ascii="Arial" w:cs="Arial" w:eastAsia="Arial" w:hAnsi="Arial"/>
          <w:sz w:val="18"/>
          <w:szCs w:val="18"/>
          <w:color w:val="FF0000"/>
          <w:strike w:val="1"/>
        </w:rPr>
        <w:t>the London</w:t>
      </w:r>
      <w:r>
        <w:rPr>
          <w:rFonts w:ascii="Arial" w:cs="Arial" w:eastAsia="Arial" w:hAnsi="Arial"/>
          <w:sz w:val="18"/>
          <w:szCs w:val="18"/>
          <w:u w:val="single" w:color="auto"/>
          <w:color w:val="0000FF"/>
        </w:rPr>
        <w:t>any applicable</w:t>
      </w:r>
      <w:r>
        <w:rPr>
          <w:rFonts w:ascii="Arial" w:cs="Arial" w:eastAsia="Arial" w:hAnsi="Arial"/>
          <w:sz w:val="18"/>
          <w:szCs w:val="18"/>
          <w:color w:val="auto"/>
        </w:rPr>
        <w:t xml:space="preserve"> interbank market any other condition, cost or expense (other than Taxes) affecting this Agreement or </w:t>
      </w:r>
      <w:r>
        <w:rPr>
          <w:rFonts w:ascii="Arial" w:cs="Arial" w:eastAsia="Arial" w:hAnsi="Arial"/>
          <w:sz w:val="18"/>
          <w:szCs w:val="18"/>
          <w:color w:val="FF0000"/>
          <w:strike w:val="1"/>
        </w:rPr>
        <w:t>Eurodollar Loans or</w:t>
      </w:r>
      <w:r>
        <w:rPr>
          <w:rFonts w:ascii="Arial" w:cs="Arial" w:eastAsia="Arial" w:hAnsi="Arial"/>
          <w:sz w:val="18"/>
          <w:szCs w:val="18"/>
          <w:color w:val="auto"/>
        </w:rPr>
        <w:t xml:space="preserve"> Term Benchmark Loans made by such Lender or any Letter of Credit or participation therein;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173" w:lineRule="exact"/>
        <w:rPr>
          <w:sz w:val="20"/>
          <w:szCs w:val="20"/>
          <w:color w:val="auto"/>
        </w:rPr>
      </w:pPr>
    </w:p>
    <w:p>
      <w:pPr>
        <w:jc w:val="both"/>
        <w:ind w:firstLine="1094"/>
        <w:spacing w:after="0" w:line="264" w:lineRule="auto"/>
        <w:tabs>
          <w:tab w:leader="none" w:pos="153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69" w:lineRule="exact"/>
        <w:rPr>
          <w:rFonts w:ascii="Arial" w:cs="Arial" w:eastAsia="Arial" w:hAnsi="Arial"/>
          <w:sz w:val="17"/>
          <w:szCs w:val="17"/>
          <w:color w:val="auto"/>
        </w:rPr>
      </w:pPr>
    </w:p>
    <w:p>
      <w:pPr>
        <w:jc w:val="both"/>
        <w:ind w:firstLine="1104"/>
        <w:spacing w:after="0" w:line="249" w:lineRule="auto"/>
        <w:tabs>
          <w:tab w:leader="none" w:pos="160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194" w:lineRule="exact"/>
        <w:rPr>
          <w:rFonts w:ascii="Arial" w:cs="Arial" w:eastAsia="Arial" w:hAnsi="Arial"/>
          <w:sz w:val="18"/>
          <w:szCs w:val="18"/>
          <w:color w:val="auto"/>
        </w:rPr>
      </w:pPr>
    </w:p>
    <w:p>
      <w:pPr>
        <w:jc w:val="both"/>
        <w:ind w:firstLine="1094"/>
        <w:spacing w:after="0" w:line="256" w:lineRule="auto"/>
        <w:tabs>
          <w:tab w:leader="none" w:pos="152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Issuing Bank to demand compensation pursuant to this Section 2.15 shall not constitute a waiver of such Lender’s or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Issuing Bank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21" w:right="339" w:bottom="1440" w:gutter="0" w:footer="0" w:header="0"/>
        </w:sectPr>
      </w:pPr>
    </w:p>
    <w:bookmarkStart w:id="125" w:name="page126"/>
    <w:bookmarkEnd w:id="125"/>
    <w:p>
      <w:pPr>
        <w:jc w:val="both"/>
        <w:spacing w:after="0" w:line="249" w:lineRule="auto"/>
        <w:rPr>
          <w:sz w:val="20"/>
          <w:szCs w:val="20"/>
          <w:color w:val="auto"/>
        </w:rPr>
      </w:pPr>
      <w:r>
        <w:rPr>
          <w:rFonts w:ascii="Arial" w:cs="Arial" w:eastAsia="Arial" w:hAnsi="Arial"/>
          <w:sz w:val="18"/>
          <w:szCs w:val="18"/>
          <w:color w:val="auto"/>
        </w:rPr>
        <w:t xml:space="preserve">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94" w:lineRule="exact"/>
        <w:rPr>
          <w:sz w:val="20"/>
          <w:szCs w:val="20"/>
          <w:color w:val="auto"/>
        </w:rPr>
      </w:pPr>
    </w:p>
    <w:p>
      <w:pPr>
        <w:jc w:val="both"/>
        <w:ind w:firstLine="1104"/>
        <w:spacing w:after="0" w:line="268" w:lineRule="auto"/>
        <w:tabs>
          <w:tab w:leader="none" w:pos="154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Break Funding Payments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 xml:space="preserve">In the event of (a) the payment of any principal of any </w:t>
      </w:r>
      <w:r>
        <w:rPr>
          <w:rFonts w:ascii="Arial" w:cs="Arial" w:eastAsia="Arial" w:hAnsi="Arial"/>
          <w:sz w:val="16"/>
          <w:szCs w:val="16"/>
          <w:color w:val="FF0000"/>
          <w:strike w:val="1"/>
        </w:rPr>
        <w:t>Eurodollar Loan or</w:t>
      </w:r>
      <w:r>
        <w:rPr>
          <w:rFonts w:ascii="Arial" w:cs="Arial" w:eastAsia="Arial" w:hAnsi="Arial"/>
          <w:sz w:val="16"/>
          <w:szCs w:val="16"/>
          <w:color w:val="auto"/>
        </w:rPr>
        <w:t xml:space="preserve"> Term Benchmark Loan other than on the last day of an Interest Period applicable thereto or of any SONIA Loan other than on an Interest Payment Date therefor (including as a result of an Event of Default), (b) the conversion of any </w:t>
      </w:r>
      <w:r>
        <w:rPr>
          <w:rFonts w:ascii="Arial" w:cs="Arial" w:eastAsia="Arial" w:hAnsi="Arial"/>
          <w:sz w:val="16"/>
          <w:szCs w:val="16"/>
          <w:color w:val="FF0000"/>
          <w:strike w:val="1"/>
        </w:rPr>
        <w:t>Eurodollar Loan or</w:t>
      </w:r>
      <w:r>
        <w:rPr>
          <w:rFonts w:ascii="Arial" w:cs="Arial" w:eastAsia="Arial" w:hAnsi="Arial"/>
          <w:sz w:val="16"/>
          <w:szCs w:val="16"/>
          <w:color w:val="auto"/>
        </w:rPr>
        <w:t xml:space="preserve"> Term Benchmark Loan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w:t>
      </w:r>
      <w:r>
        <w:rPr>
          <w:rFonts w:ascii="Arial" w:cs="Arial" w:eastAsia="Arial" w:hAnsi="Arial"/>
          <w:sz w:val="16"/>
          <w:szCs w:val="16"/>
          <w:color w:val="FF0000"/>
          <w:strike w:val="1"/>
        </w:rPr>
        <w:t>Eurodollar Loan or</w:t>
      </w:r>
      <w:r>
        <w:rPr>
          <w:rFonts w:ascii="Arial" w:cs="Arial" w:eastAsia="Arial" w:hAnsi="Arial"/>
          <w:sz w:val="16"/>
          <w:szCs w:val="16"/>
          <w:color w:val="auto"/>
        </w:rPr>
        <w:t xml:space="preserve"> Term Benchmark Loan other than on the last day of the Interest Period applicable thereto, or of any SONIA Loan other than on an Interest Payment Date therefor, in each case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with respect to any </w:t>
      </w:r>
      <w:r>
        <w:rPr>
          <w:rFonts w:ascii="Arial" w:cs="Arial" w:eastAsia="Arial" w:hAnsi="Arial"/>
          <w:sz w:val="16"/>
          <w:szCs w:val="16"/>
          <w:color w:val="FF0000"/>
          <w:strike w:val="1"/>
        </w:rPr>
        <w:t>Eurodollar Loan or</w:t>
      </w:r>
      <w:r>
        <w:rPr>
          <w:rFonts w:ascii="Arial" w:cs="Arial" w:eastAsia="Arial" w:hAnsi="Arial"/>
          <w:sz w:val="16"/>
          <w:szCs w:val="16"/>
          <w:color w:val="auto"/>
        </w:rPr>
        <w:t xml:space="preserve"> Term Benchmark Loan, each Lender shall be deemed to have funded each </w:t>
      </w:r>
      <w:r>
        <w:rPr>
          <w:rFonts w:ascii="Arial" w:cs="Arial" w:eastAsia="Arial" w:hAnsi="Arial"/>
          <w:sz w:val="16"/>
          <w:szCs w:val="16"/>
          <w:color w:val="FF0000"/>
          <w:strike w:val="1"/>
        </w:rPr>
        <w:t>Eurodollar Loan or</w:t>
      </w:r>
      <w:r>
        <w:rPr>
          <w:rFonts w:ascii="Arial" w:cs="Arial" w:eastAsia="Arial" w:hAnsi="Arial"/>
          <w:sz w:val="16"/>
          <w:szCs w:val="16"/>
          <w:color w:val="auto"/>
        </w:rPr>
        <w:t xml:space="preserve"> Term Benchmark Loan made by it at the </w:t>
      </w:r>
      <w:r>
        <w:rPr>
          <w:rFonts w:ascii="Arial" w:cs="Arial" w:eastAsia="Arial" w:hAnsi="Arial"/>
          <w:sz w:val="16"/>
          <w:szCs w:val="16"/>
          <w:color w:val="FF0000"/>
          <w:strike w:val="1"/>
        </w:rPr>
        <w:t>Adjusted LIBO Rate or the</w:t>
      </w:r>
      <w:r>
        <w:rPr>
          <w:rFonts w:ascii="Arial" w:cs="Arial" w:eastAsia="Arial" w:hAnsi="Arial"/>
          <w:sz w:val="16"/>
          <w:szCs w:val="16"/>
          <w:color w:val="auto"/>
        </w:rPr>
        <w:t xml:space="preserve"> Term Benchmark Rate</w:t>
      </w:r>
      <w:r>
        <w:rPr>
          <w:rFonts w:ascii="Arial" w:cs="Arial" w:eastAsia="Arial" w:hAnsi="Arial"/>
          <w:sz w:val="16"/>
          <w:szCs w:val="16"/>
          <w:color w:val="FF0000"/>
          <w:strike w:val="1"/>
        </w:rPr>
        <w:t>, as</w:t>
      </w:r>
      <w:r>
        <w:rPr>
          <w:rFonts w:ascii="Arial" w:cs="Arial" w:eastAsia="Arial" w:hAnsi="Arial"/>
          <w:sz w:val="16"/>
          <w:szCs w:val="16"/>
          <w:color w:val="auto"/>
        </w:rPr>
        <w:t xml:space="preserve"> </w:t>
      </w:r>
      <w:r>
        <w:rPr>
          <w:rFonts w:ascii="Arial" w:cs="Arial" w:eastAsia="Arial" w:hAnsi="Arial"/>
          <w:sz w:val="16"/>
          <w:szCs w:val="16"/>
          <w:color w:val="FF0000"/>
          <w:strike w:val="1"/>
        </w:rPr>
        <w:t>applicable,</w:t>
      </w:r>
      <w:r>
        <w:rPr>
          <w:rFonts w:ascii="Arial" w:cs="Arial" w:eastAsia="Arial" w:hAnsi="Arial"/>
          <w:sz w:val="16"/>
          <w:szCs w:val="16"/>
          <w:color w:val="FF0000"/>
        </w:rPr>
        <w:t xml:space="preserve"> </w:t>
      </w:r>
      <w:r>
        <w:rPr>
          <w:rFonts w:ascii="Arial" w:cs="Arial" w:eastAsia="Arial" w:hAnsi="Arial"/>
          <w:sz w:val="16"/>
          <w:szCs w:val="16"/>
          <w:color w:val="000000"/>
        </w:rPr>
        <w:t>for such Loan by a matching deposit or other borrowing in the applicable interbank eurodollar market or Canadian money market, as applicable,</w:t>
      </w:r>
      <w:r>
        <w:rPr>
          <w:rFonts w:ascii="Arial" w:cs="Arial" w:eastAsia="Arial" w:hAnsi="Arial"/>
          <w:sz w:val="16"/>
          <w:szCs w:val="16"/>
          <w:color w:val="FF0000"/>
        </w:rPr>
        <w:t xml:space="preserve"> </w:t>
      </w:r>
      <w:r>
        <w:rPr>
          <w:rFonts w:ascii="Arial" w:cs="Arial" w:eastAsia="Arial" w:hAnsi="Arial"/>
          <w:sz w:val="16"/>
          <w:szCs w:val="16"/>
          <w:color w:val="000000"/>
        </w:rPr>
        <w:t xml:space="preserve">for a comparable amount and for a comparable period, whether or not such </w:t>
      </w:r>
      <w:r>
        <w:rPr>
          <w:rFonts w:ascii="Arial" w:cs="Arial" w:eastAsia="Arial" w:hAnsi="Arial"/>
          <w:sz w:val="16"/>
          <w:szCs w:val="16"/>
          <w:color w:val="FF0000"/>
          <w:strike w:val="1"/>
        </w:rPr>
        <w:t>Eurodollar Loan or</w:t>
      </w:r>
      <w:r>
        <w:rPr>
          <w:rFonts w:ascii="Arial" w:cs="Arial" w:eastAsia="Arial" w:hAnsi="Arial"/>
          <w:sz w:val="16"/>
          <w:szCs w:val="16"/>
          <w:color w:val="000000"/>
        </w:rPr>
        <w:t xml:space="preserve"> Term Benchmark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spacing w:after="0" w:line="3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104"/>
        <w:spacing w:after="0" w:line="261" w:lineRule="auto"/>
        <w:tabs>
          <w:tab w:leader="none" w:pos="155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21" w:right="339" w:bottom="1440" w:gutter="0" w:footer="0" w:header="0"/>
        </w:sectPr>
      </w:pPr>
    </w:p>
    <w:bookmarkStart w:id="126" w:name="page127"/>
    <w:bookmarkEnd w:id="126"/>
    <w:p>
      <w:pPr>
        <w:spacing w:after="0" w:line="261" w:lineRule="auto"/>
        <w:rPr>
          <w:sz w:val="20"/>
          <w:szCs w:val="20"/>
          <w:color w:val="auto"/>
        </w:rPr>
      </w:pPr>
      <w:r>
        <w:rPr>
          <w:rFonts w:ascii="Arial" w:cs="Arial" w:eastAsia="Arial" w:hAnsi="Arial"/>
          <w:sz w:val="18"/>
          <w:szCs w:val="18"/>
          <w:color w:val="auto"/>
        </w:rPr>
        <w:t>the First Lien Administrative Agent for its own account, the First Lien Administrative Agent) receives an amount equal to the sum it would have received had no such deductions been made.</w:t>
      </w:r>
    </w:p>
    <w:p>
      <w:pPr>
        <w:spacing w:after="0" w:line="184" w:lineRule="exact"/>
        <w:rPr>
          <w:sz w:val="20"/>
          <w:szCs w:val="20"/>
          <w:color w:val="auto"/>
        </w:rPr>
      </w:pPr>
    </w:p>
    <w:p>
      <w:pPr>
        <w:jc w:val="both"/>
        <w:ind w:firstLine="1094"/>
        <w:spacing w:after="0" w:line="256" w:lineRule="auto"/>
        <w:tabs>
          <w:tab w:leader="none" w:pos="155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174" w:lineRule="exact"/>
        <w:rPr>
          <w:rFonts w:ascii="Arial" w:cs="Arial" w:eastAsia="Arial" w:hAnsi="Arial"/>
          <w:sz w:val="18"/>
          <w:szCs w:val="18"/>
          <w:color w:val="auto"/>
        </w:rPr>
      </w:pPr>
    </w:p>
    <w:p>
      <w:pPr>
        <w:jc w:val="both"/>
        <w:ind w:firstLine="1104"/>
        <w:spacing w:after="0" w:line="261" w:lineRule="auto"/>
        <w:tabs>
          <w:tab w:leader="none" w:pos="154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w:t>
      </w:r>
    </w:p>
    <w:p>
      <w:pPr>
        <w:spacing w:after="0" w:line="189" w:lineRule="exact"/>
        <w:rPr>
          <w:rFonts w:ascii="Arial" w:cs="Arial" w:eastAsia="Arial" w:hAnsi="Arial"/>
          <w:sz w:val="17"/>
          <w:szCs w:val="17"/>
          <w:color w:val="auto"/>
        </w:rPr>
      </w:pPr>
    </w:p>
    <w:p>
      <w:pPr>
        <w:jc w:val="both"/>
        <w:ind w:firstLine="1094"/>
        <w:spacing w:after="0" w:line="259" w:lineRule="auto"/>
        <w:tabs>
          <w:tab w:leader="none" w:pos="156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175" w:lineRule="exact"/>
        <w:rPr>
          <w:rFonts w:ascii="Arial" w:cs="Arial" w:eastAsia="Arial" w:hAnsi="Arial"/>
          <w:sz w:val="17"/>
          <w:szCs w:val="17"/>
          <w:color w:val="auto"/>
        </w:rPr>
      </w:pPr>
    </w:p>
    <w:p>
      <w:pPr>
        <w:jc w:val="both"/>
        <w:ind w:firstLine="1104"/>
        <w:spacing w:after="0" w:line="278" w:lineRule="auto"/>
        <w:tabs>
          <w:tab w:leader="none" w:pos="153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171" w:lineRule="exact"/>
        <w:rPr>
          <w:rFonts w:ascii="Arial" w:cs="Arial" w:eastAsia="Arial" w:hAnsi="Arial"/>
          <w:sz w:val="17"/>
          <w:szCs w:val="17"/>
          <w:color w:val="auto"/>
        </w:rPr>
      </w:pPr>
    </w:p>
    <w:p>
      <w:pPr>
        <w:jc w:val="both"/>
        <w:ind w:firstLine="1124"/>
        <w:spacing w:after="0" w:line="261" w:lineRule="auto"/>
        <w:tabs>
          <w:tab w:leader="none" w:pos="161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21" w:right="339" w:bottom="1440" w:gutter="0" w:footer="0" w:header="0"/>
        </w:sectPr>
      </w:pPr>
    </w:p>
    <w:bookmarkStart w:id="127" w:name="page128"/>
    <w:bookmarkEnd w:id="127"/>
    <w:p>
      <w:pPr>
        <w:jc w:val="both"/>
        <w:spacing w:after="0" w:line="283" w:lineRule="auto"/>
        <w:rPr>
          <w:sz w:val="20"/>
          <w:szCs w:val="20"/>
          <w:color w:val="auto"/>
        </w:rPr>
      </w:pPr>
      <w:r>
        <w:rPr>
          <w:rFonts w:ascii="Arial" w:cs="Arial" w:eastAsia="Arial" w:hAnsi="Arial"/>
          <w:sz w:val="16"/>
          <w:szCs w:val="16"/>
          <w:color w:val="auto"/>
        </w:rPr>
        <w:t>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spacing w:after="0" w:line="155" w:lineRule="exact"/>
        <w:rPr>
          <w:sz w:val="20"/>
          <w:szCs w:val="20"/>
          <w:color w:val="auto"/>
        </w:rPr>
      </w:pPr>
    </w:p>
    <w:p>
      <w:pPr>
        <w:ind w:left="1560" w:hanging="256"/>
        <w:spacing w:after="0"/>
        <w:tabs>
          <w:tab w:leader="none" w:pos="15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660" w:firstLine="482"/>
        <w:spacing w:after="0" w:line="268" w:lineRule="auto"/>
        <w:tabs>
          <w:tab w:leader="none" w:pos="152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166" w:lineRule="exact"/>
        <w:rPr>
          <w:sz w:val="20"/>
          <w:szCs w:val="20"/>
          <w:color w:val="auto"/>
        </w:rPr>
      </w:pPr>
    </w:p>
    <w:p>
      <w:pPr>
        <w:jc w:val="both"/>
        <w:ind w:left="660" w:firstLine="644"/>
        <w:spacing w:after="0" w:line="256" w:lineRule="auto"/>
        <w:tabs>
          <w:tab w:leader="none" w:pos="18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pacing w:after="0" w:line="188" w:lineRule="exact"/>
        <w:rPr>
          <w:rFonts w:ascii="Arial" w:cs="Arial" w:eastAsia="Arial" w:hAnsi="Arial"/>
          <w:sz w:val="18"/>
          <w:szCs w:val="18"/>
          <w:color w:val="auto"/>
        </w:rPr>
      </w:pPr>
    </w:p>
    <w:p>
      <w:pPr>
        <w:ind w:left="1300" w:firstLine="652"/>
        <w:spacing w:after="0" w:line="261" w:lineRule="auto"/>
        <w:tabs>
          <w:tab w:leader="none" w:pos="242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184" w:lineRule="exact"/>
        <w:rPr>
          <w:rFonts w:ascii="Arial" w:cs="Arial" w:eastAsia="Arial" w:hAnsi="Arial"/>
          <w:sz w:val="18"/>
          <w:szCs w:val="18"/>
          <w:color w:val="auto"/>
        </w:rPr>
      </w:pPr>
    </w:p>
    <w:p>
      <w:pPr>
        <w:ind w:left="2380" w:hanging="428"/>
        <w:spacing w:after="0"/>
        <w:tabs>
          <w:tab w:leader="none" w:pos="23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two properly completed and duly signed copies of Internal Revenue Service Form W-8ECI (or any successor forms),</w:t>
      </w:r>
    </w:p>
    <w:p>
      <w:pPr>
        <w:spacing w:after="0" w:line="223" w:lineRule="exact"/>
        <w:rPr>
          <w:rFonts w:ascii="Arial" w:cs="Arial" w:eastAsia="Arial" w:hAnsi="Arial"/>
          <w:sz w:val="17"/>
          <w:szCs w:val="17"/>
          <w:color w:val="auto"/>
        </w:rPr>
      </w:pPr>
    </w:p>
    <w:p>
      <w:pPr>
        <w:jc w:val="both"/>
        <w:ind w:left="1300" w:firstLine="652"/>
        <w:spacing w:after="0" w:line="254" w:lineRule="auto"/>
        <w:tabs>
          <w:tab w:leader="none" w:pos="246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and (y) two properly completed and duly signed copies of Internal Revenue Service Form W-8BEN-E (or any successor forms),</w:t>
      </w:r>
    </w:p>
    <w:p>
      <w:pPr>
        <w:spacing w:after="0" w:line="176" w:lineRule="exact"/>
        <w:rPr>
          <w:rFonts w:ascii="Arial" w:cs="Arial" w:eastAsia="Arial" w:hAnsi="Arial"/>
          <w:sz w:val="18"/>
          <w:szCs w:val="18"/>
          <w:color w:val="auto"/>
        </w:rPr>
      </w:pPr>
    </w:p>
    <w:p>
      <w:pPr>
        <w:jc w:val="both"/>
        <w:ind w:left="1300" w:firstLine="652"/>
        <w:spacing w:after="0" w:line="264" w:lineRule="auto"/>
        <w:tabs>
          <w:tab w:leader="none" w:pos="2536"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168" w:lineRule="exact"/>
        <w:rPr>
          <w:rFonts w:ascii="Arial" w:cs="Arial" w:eastAsia="Arial" w:hAnsi="Arial"/>
          <w:sz w:val="17"/>
          <w:szCs w:val="17"/>
          <w:color w:val="auto"/>
        </w:rPr>
      </w:pPr>
    </w:p>
    <w:p>
      <w:pPr>
        <w:jc w:val="both"/>
        <w:ind w:left="1300" w:firstLine="652"/>
        <w:spacing w:after="0" w:line="254" w:lineRule="auto"/>
        <w:tabs>
          <w:tab w:leader="none" w:pos="236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21" w:right="339" w:bottom="1440" w:gutter="0" w:footer="0" w:header="0"/>
        </w:sectPr>
      </w:pPr>
    </w:p>
    <w:bookmarkStart w:id="128" w:name="page129"/>
    <w:bookmarkEnd w:id="128"/>
    <w:p>
      <w:pPr>
        <w:jc w:val="both"/>
        <w:ind w:left="660" w:firstLine="644"/>
        <w:spacing w:after="0" w:line="280" w:lineRule="auto"/>
        <w:tabs>
          <w:tab w:leader="none" w:pos="1781" w:val="left"/>
        </w:tabs>
        <w:numPr>
          <w:ilvl w:val="3"/>
          <w:numId w:val="142"/>
        </w:numPr>
        <w:rPr>
          <w:rFonts w:ascii="Arial" w:cs="Arial" w:eastAsia="Arial" w:hAnsi="Arial"/>
          <w:sz w:val="16"/>
          <w:szCs w:val="16"/>
          <w:color w:val="auto"/>
        </w:rPr>
      </w:pPr>
      <w:r>
        <w:rPr>
          <w:rFonts w:ascii="Arial" w:cs="Arial" w:eastAsia="Arial" w:hAnsi="Arial"/>
          <w:sz w:val="16"/>
          <w:szCs w:val="16"/>
          <w:color w:val="auto"/>
        </w:rPr>
        <w:t>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spacing w:after="0" w:line="160" w:lineRule="exact"/>
        <w:rPr>
          <w:rFonts w:ascii="Arial" w:cs="Arial" w:eastAsia="Arial" w:hAnsi="Arial"/>
          <w:sz w:val="16"/>
          <w:szCs w:val="16"/>
          <w:color w:val="auto"/>
        </w:rPr>
      </w:pPr>
    </w:p>
    <w:p>
      <w:pPr>
        <w:ind w:left="660" w:firstLine="186"/>
        <w:spacing w:after="0" w:line="277" w:lineRule="auto"/>
        <w:tabs>
          <w:tab w:leader="none" w:pos="12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any other provision of this clause (f), a Lender shall not be required to deliver any form or certification that such Lender is not legally eligible to deliver.</w:t>
      </w:r>
    </w:p>
    <w:p>
      <w:pPr>
        <w:spacing w:after="0" w:line="156" w:lineRule="exact"/>
        <w:rPr>
          <w:rFonts w:ascii="Arial" w:cs="Arial" w:eastAsia="Arial" w:hAnsi="Arial"/>
          <w:sz w:val="18"/>
          <w:szCs w:val="18"/>
          <w:color w:val="auto"/>
        </w:rPr>
      </w:pPr>
    </w:p>
    <w:p>
      <w:pPr>
        <w:ind w:left="660" w:firstLine="286"/>
        <w:spacing w:after="0" w:line="291" w:lineRule="auto"/>
        <w:tabs>
          <w:tab w:leader="none" w:pos="145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160" w:lineRule="exact"/>
        <w:rPr>
          <w:rFonts w:ascii="Arial" w:cs="Arial" w:eastAsia="Arial" w:hAnsi="Arial"/>
          <w:sz w:val="17"/>
          <w:szCs w:val="17"/>
          <w:color w:val="auto"/>
        </w:rPr>
      </w:pPr>
    </w:p>
    <w:p>
      <w:pPr>
        <w:jc w:val="both"/>
        <w:ind w:firstLine="1094"/>
        <w:spacing w:after="0" w:line="275" w:lineRule="auto"/>
        <w:tabs>
          <w:tab w:leader="none" w:pos="1578" w:val="left"/>
        </w:tabs>
        <w:numPr>
          <w:ilvl w:val="2"/>
          <w:numId w:val="143"/>
        </w:numPr>
        <w:rPr>
          <w:rFonts w:ascii="Arial" w:cs="Arial" w:eastAsia="Arial" w:hAnsi="Arial"/>
          <w:sz w:val="16"/>
          <w:szCs w:val="16"/>
          <w:color w:val="auto"/>
        </w:rPr>
      </w:pPr>
      <w:r>
        <w:rPr>
          <w:rFonts w:ascii="Arial" w:cs="Arial" w:eastAsia="Arial" w:hAnsi="Arial"/>
          <w:sz w:val="16"/>
          <w:szCs w:val="16"/>
          <w:color w:val="auto"/>
        </w:rPr>
        <w:t xml:space="preserve">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 (c) 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spacing w:after="0" w:line="179" w:lineRule="exact"/>
        <w:rPr>
          <w:rFonts w:ascii="Arial" w:cs="Arial" w:eastAsia="Arial" w:hAnsi="Arial"/>
          <w:sz w:val="16"/>
          <w:szCs w:val="16"/>
          <w:color w:val="auto"/>
        </w:rPr>
      </w:pPr>
    </w:p>
    <w:p>
      <w:pPr>
        <w:jc w:val="both"/>
        <w:ind w:firstLine="1094"/>
        <w:spacing w:after="0" w:line="248" w:lineRule="auto"/>
        <w:tabs>
          <w:tab w:leader="none" w:pos="1656" w:val="left"/>
        </w:tabs>
        <w:numPr>
          <w:ilvl w:val="2"/>
          <w:numId w:val="143"/>
        </w:numPr>
        <w:rPr>
          <w:rFonts w:ascii="Arial" w:cs="Arial" w:eastAsia="Arial" w:hAnsi="Arial"/>
          <w:sz w:val="18"/>
          <w:szCs w:val="18"/>
          <w:color w:val="auto"/>
        </w:rPr>
      </w:pPr>
      <w:r>
        <w:rPr>
          <w:rFonts w:ascii="Arial" w:cs="Arial" w:eastAsia="Arial" w:hAnsi="Arial"/>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195" w:lineRule="exact"/>
        <w:rPr>
          <w:rFonts w:ascii="Arial" w:cs="Arial" w:eastAsia="Arial" w:hAnsi="Arial"/>
          <w:sz w:val="18"/>
          <w:szCs w:val="18"/>
          <w:color w:val="auto"/>
        </w:rPr>
      </w:pPr>
    </w:p>
    <w:p>
      <w:pPr>
        <w:ind w:firstLine="1134"/>
        <w:spacing w:after="0" w:line="261" w:lineRule="auto"/>
        <w:tabs>
          <w:tab w:leader="none" w:pos="1688" w:val="left"/>
        </w:tabs>
        <w:numPr>
          <w:ilvl w:val="2"/>
          <w:numId w:val="143"/>
        </w:numPr>
        <w:rPr>
          <w:rFonts w:ascii="Arial" w:cs="Arial" w:eastAsia="Arial" w:hAnsi="Arial"/>
          <w:sz w:val="18"/>
          <w:szCs w:val="18"/>
          <w:color w:val="auto"/>
        </w:rPr>
      </w:pPr>
      <w:r>
        <w:rPr>
          <w:rFonts w:ascii="Arial" w:cs="Arial" w:eastAsia="Arial" w:hAnsi="Arial"/>
          <w:sz w:val="18"/>
          <w:szCs w:val="18"/>
          <w:color w:val="auto"/>
        </w:rPr>
        <w:t>For purposes of this Section 2.17, the term “Lender” shall include any Issuing Bank and the Swingline Lender and the term “applicable Requirements of Law”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21" w:right="339" w:bottom="1440" w:gutter="0" w:footer="0" w:header="0"/>
        </w:sectPr>
      </w:pPr>
    </w:p>
    <w:bookmarkStart w:id="129" w:name="page130"/>
    <w:bookmarkEnd w:id="129"/>
    <w:p>
      <w:pPr>
        <w:ind w:left="1300"/>
        <w:spacing w:after="0"/>
        <w:tabs>
          <w:tab w:leader="none" w:pos="258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74" w:lineRule="auto"/>
        <w:tabs>
          <w:tab w:leader="none" w:pos="152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12:00 p.m., New York City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w:t>
      </w:r>
      <w:r>
        <w:rPr>
          <w:rFonts w:ascii="Arial" w:cs="Arial" w:eastAsia="Arial" w:hAnsi="Arial"/>
          <w:sz w:val="16"/>
          <w:szCs w:val="16"/>
          <w:color w:val="FF0000"/>
          <w:strike w:val="1"/>
        </w:rPr>
        <w:t>Eurodollar Loan or</w:t>
      </w:r>
      <w:r>
        <w:rPr>
          <w:rFonts w:ascii="Arial" w:cs="Arial" w:eastAsia="Arial" w:hAnsi="Arial"/>
          <w:sz w:val="16"/>
          <w:szCs w:val="16"/>
          <w:color w:val="auto"/>
        </w:rPr>
        <w:t xml:space="preserve">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190" w:lineRule="exact"/>
        <w:rPr>
          <w:rFonts w:ascii="Arial" w:cs="Arial" w:eastAsia="Arial" w:hAnsi="Arial"/>
          <w:sz w:val="16"/>
          <w:szCs w:val="16"/>
          <w:color w:val="auto"/>
        </w:rPr>
      </w:pPr>
    </w:p>
    <w:p>
      <w:pPr>
        <w:jc w:val="both"/>
        <w:ind w:firstLine="1094"/>
        <w:spacing w:after="0" w:line="267" w:lineRule="auto"/>
        <w:tabs>
          <w:tab w:leader="none" w:pos="162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If at any time insufficient funds are received by and available to the First Lien Administrative Agent to pay fully all amounts of principal, unreimbursed LC Disbursements, interest and fees then due hereunder, such funds shall be applied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7"/>
          <w:szCs w:val="17"/>
          <w:u w:val="single" w:color="auto"/>
          <w:color w:val="auto"/>
        </w:rPr>
        <w:t>second</w:t>
      </w:r>
      <w:r>
        <w:rPr>
          <w:rFonts w:ascii="Arial" w:cs="Arial" w:eastAsia="Arial" w:hAnsi="Arial"/>
          <w:sz w:val="17"/>
          <w:szCs w:val="17"/>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68" w:lineRule="exact"/>
        <w:rPr>
          <w:rFonts w:ascii="Arial" w:cs="Arial" w:eastAsia="Arial" w:hAnsi="Arial"/>
          <w:sz w:val="17"/>
          <w:szCs w:val="17"/>
          <w:color w:val="auto"/>
        </w:rPr>
      </w:pPr>
    </w:p>
    <w:p>
      <w:pPr>
        <w:jc w:val="both"/>
        <w:ind w:firstLine="1104"/>
        <w:spacing w:after="0" w:line="278" w:lineRule="auto"/>
        <w:tabs>
          <w:tab w:leader="none" w:pos="15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21" w:right="339" w:bottom="1440" w:gutter="0" w:footer="0" w:header="0"/>
        </w:sectPr>
      </w:pPr>
    </w:p>
    <w:bookmarkStart w:id="130" w:name="page131"/>
    <w:bookmarkEnd w:id="130"/>
    <w:p>
      <w:pPr>
        <w:jc w:val="both"/>
        <w:spacing w:after="0" w:line="264" w:lineRule="auto"/>
        <w:rPr>
          <w:sz w:val="20"/>
          <w:szCs w:val="20"/>
          <w:color w:val="auto"/>
        </w:rPr>
      </w:pPr>
      <w:r>
        <w:rPr>
          <w:rFonts w:ascii="Arial" w:cs="Arial" w:eastAsia="Arial" w:hAnsi="Arial"/>
          <w:sz w:val="17"/>
          <w:szCs w:val="17"/>
          <w:color w:val="auto"/>
        </w:rPr>
        <w:t>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pacing w:after="0" w:line="169" w:lineRule="exact"/>
        <w:rPr>
          <w:sz w:val="20"/>
          <w:szCs w:val="20"/>
          <w:color w:val="auto"/>
        </w:rPr>
      </w:pPr>
    </w:p>
    <w:p>
      <w:pPr>
        <w:jc w:val="both"/>
        <w:ind w:firstLine="1094"/>
        <w:spacing w:after="0" w:line="280" w:lineRule="auto"/>
        <w:tabs>
          <w:tab w:leader="none" w:pos="157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the BA Rate (if denominated in Canadian Dollars) and a rate determined by the First Lien Administrative Agent in accordance with banking industry rules on interbank compensation.</w:t>
      </w:r>
    </w:p>
    <w:p>
      <w:pPr>
        <w:spacing w:after="0" w:line="160" w:lineRule="exact"/>
        <w:rPr>
          <w:rFonts w:ascii="Arial" w:cs="Arial" w:eastAsia="Arial" w:hAnsi="Arial"/>
          <w:sz w:val="16"/>
          <w:szCs w:val="16"/>
          <w:color w:val="auto"/>
        </w:rPr>
      </w:pPr>
    </w:p>
    <w:p>
      <w:pPr>
        <w:jc w:val="both"/>
        <w:ind w:firstLine="1104"/>
        <w:spacing w:after="0" w:line="249" w:lineRule="auto"/>
        <w:tabs>
          <w:tab w:leader="none" w:pos="153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47" w:lineRule="auto"/>
        <w:tabs>
          <w:tab w:leader="none" w:pos="153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85" w:lineRule="exact"/>
        <w:rPr>
          <w:rFonts w:ascii="Arial" w:cs="Arial" w:eastAsia="Arial" w:hAnsi="Arial"/>
          <w:sz w:val="18"/>
          <w:szCs w:val="18"/>
          <w:color w:val="auto"/>
        </w:rPr>
      </w:pPr>
    </w:p>
    <w:p>
      <w:pPr>
        <w:jc w:val="both"/>
        <w:ind w:firstLine="1094"/>
        <w:spacing w:after="0" w:line="262" w:lineRule="auto"/>
        <w:tabs>
          <w:tab w:leader="none" w:pos="152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21" w:right="339" w:bottom="1440" w:gutter="0" w:footer="0" w:header="0"/>
        </w:sectPr>
      </w:pPr>
    </w:p>
    <w:bookmarkStart w:id="131" w:name="page132"/>
    <w:bookmarkEnd w:id="131"/>
    <w:p>
      <w:pPr>
        <w:jc w:val="both"/>
        <w:spacing w:after="0" w:line="261" w:lineRule="auto"/>
        <w:rPr>
          <w:sz w:val="20"/>
          <w:szCs w:val="20"/>
          <w:color w:val="auto"/>
        </w:rPr>
      </w:pPr>
      <w:r>
        <w:rPr>
          <w:rFonts w:ascii="Arial" w:cs="Arial" w:eastAsia="Arial" w:hAnsi="Arial"/>
          <w:sz w:val="17"/>
          <w:szCs w:val="17"/>
          <w:color w:val="auto"/>
        </w:rPr>
        <w:t>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Incremental Credit Extensions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59" w:lineRule="auto"/>
        <w:tabs>
          <w:tab w:leader="none" w:pos="155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Arial" w:cs="Arial" w:eastAsia="Arial" w:hAnsi="Arial"/>
          <w:sz w:val="17"/>
          <w:szCs w:val="17"/>
          <w:u w:val="single" w:color="auto"/>
          <w:color w:val="auto"/>
        </w:rPr>
        <w:t>First Lien Incremental Term Facility</w:t>
      </w:r>
      <w:r>
        <w:rPr>
          <w:rFonts w:ascii="Arial" w:cs="Arial" w:eastAsia="Arial" w:hAnsi="Arial"/>
          <w:sz w:val="17"/>
          <w:szCs w:val="17"/>
          <w:color w:val="auto"/>
        </w:rPr>
        <w:t>”), (ii) one or more additional term loans of the same Class of any existing Class of term loans (each an “</w:t>
      </w:r>
      <w:r>
        <w:rPr>
          <w:rFonts w:ascii="Arial" w:cs="Arial" w:eastAsia="Arial" w:hAnsi="Arial"/>
          <w:sz w:val="17"/>
          <w:szCs w:val="17"/>
          <w:u w:val="single" w:color="auto"/>
          <w:color w:val="auto"/>
        </w:rPr>
        <w:t>First Lien Incremental Term Increase</w:t>
      </w:r>
      <w:r>
        <w:rPr>
          <w:rFonts w:ascii="Arial" w:cs="Arial" w:eastAsia="Arial" w:hAnsi="Arial"/>
          <w:sz w:val="17"/>
          <w:szCs w:val="17"/>
          <w:color w:val="auto"/>
        </w:rPr>
        <w:t>”), (iii) one or more increases in the amount of the Revolving Commitments of any Class (each such increase, an “</w:t>
      </w:r>
      <w:r>
        <w:rPr>
          <w:rFonts w:ascii="Arial" w:cs="Arial" w:eastAsia="Arial" w:hAnsi="Arial"/>
          <w:sz w:val="17"/>
          <w:szCs w:val="17"/>
          <w:u w:val="single" w:color="auto"/>
          <w:color w:val="auto"/>
        </w:rPr>
        <w:t>Incremental Revolving Commitment Increase</w:t>
      </w:r>
      <w:r>
        <w:rPr>
          <w:rFonts w:ascii="Arial" w:cs="Arial" w:eastAsia="Arial" w:hAnsi="Arial"/>
          <w:sz w:val="17"/>
          <w:szCs w:val="17"/>
          <w:color w:val="auto"/>
        </w:rPr>
        <w:t>”) and/or (iv) one or more additional Classes of Revolving Commitments (the “</w:t>
      </w:r>
      <w:r>
        <w:rPr>
          <w:rFonts w:ascii="Arial" w:cs="Arial" w:eastAsia="Arial" w:hAnsi="Arial"/>
          <w:sz w:val="17"/>
          <w:szCs w:val="17"/>
          <w:u w:val="single" w:color="auto"/>
          <w:color w:val="auto"/>
        </w:rPr>
        <w:t>Additional/Replacement Revolving Commitments</w:t>
      </w:r>
      <w:r>
        <w:rPr>
          <w:rFonts w:ascii="Arial" w:cs="Arial" w:eastAsia="Arial" w:hAnsi="Arial"/>
          <w:sz w:val="17"/>
          <w:szCs w:val="17"/>
          <w:color w:val="auto"/>
        </w:rPr>
        <w:t>,” and, together with any First Lien Incremental Term Facility, First Lien Incremental Term Increase and the Incremental Revolving Commitment Increases, the “</w:t>
      </w:r>
      <w:r>
        <w:rPr>
          <w:rFonts w:ascii="Arial" w:cs="Arial" w:eastAsia="Arial" w:hAnsi="Arial"/>
          <w:sz w:val="17"/>
          <w:szCs w:val="17"/>
          <w:u w:val="single" w:color="auto"/>
          <w:color w:val="auto"/>
        </w:rPr>
        <w:t>First Lien 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Facilities</w:t>
      </w:r>
      <w:r>
        <w:rPr>
          <w:rFonts w:ascii="Arial" w:cs="Arial" w:eastAsia="Arial" w:hAnsi="Arial"/>
          <w:sz w:val="17"/>
          <w:szCs w:val="17"/>
          <w:color w:val="auto"/>
        </w:rPr>
        <w:t>” and any Loans thereunder, the “</w:t>
      </w:r>
      <w:r>
        <w:rPr>
          <w:rFonts w:ascii="Arial" w:cs="Arial" w:eastAsia="Arial" w:hAnsi="Arial"/>
          <w:sz w:val="17"/>
          <w:szCs w:val="17"/>
          <w:u w:val="single" w:color="auto"/>
          <w:color w:val="auto"/>
        </w:rPr>
        <w:t>Incremental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180" w:lineRule="exact"/>
        <w:rPr>
          <w:rFonts w:ascii="Arial" w:cs="Arial" w:eastAsia="Arial" w:hAnsi="Arial"/>
          <w:sz w:val="17"/>
          <w:szCs w:val="17"/>
          <w:color w:val="auto"/>
        </w:rPr>
      </w:pPr>
    </w:p>
    <w:p>
      <w:pPr>
        <w:jc w:val="both"/>
        <w:ind w:firstLine="1094"/>
        <w:spacing w:after="0" w:line="260" w:lineRule="auto"/>
        <w:tabs>
          <w:tab w:leader="none" w:pos="153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prepayment terms and premiums and other terms and conditions as determined by the Borrower and the Additional Term Lenders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any First Lien Incremental Term Facility incurred that (x) ranks equal in right of payment with the Refinancing Amendment No. 1 Term Loans and is secured by the Collateral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basis with the Secured Obligations and (y) is denominated in U.S. Dollars, in the event that the Effective Yield for any such First Lien Incremental Term Facility is greater than the Effective Yield for the Refinancing Amendment No. 1 Term Loans by more than 0.50% per annum, then the Effective Yield for the Refinancing Amendment No. 1 Term Loans shall be increased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21" w:right="339" w:bottom="1440" w:gutter="0" w:footer="0" w:header="0"/>
        </w:sectPr>
      </w:pPr>
    </w:p>
    <w:bookmarkStart w:id="132" w:name="page133"/>
    <w:bookmarkEnd w:id="132"/>
    <w:p>
      <w:pPr>
        <w:jc w:val="both"/>
        <w:spacing w:after="0" w:line="258" w:lineRule="auto"/>
        <w:rPr>
          <w:sz w:val="20"/>
          <w:szCs w:val="20"/>
          <w:color w:val="auto"/>
        </w:rPr>
      </w:pPr>
      <w:r>
        <w:rPr>
          <w:rFonts w:ascii="Arial" w:cs="Arial" w:eastAsia="Arial" w:hAnsi="Arial"/>
          <w:sz w:val="17"/>
          <w:szCs w:val="17"/>
          <w:color w:val="auto"/>
        </w:rPr>
        <w:t>the extent necessary so that the Effective Yield for the Refinancing Amendment No. 1 Term Loans is equal to the Effective Yield for such First Lien Incremental Term Facility minus 0.50% per annum (provided that the “</w:t>
      </w:r>
      <w:r>
        <w:rPr>
          <w:rFonts w:ascii="Arial" w:cs="Arial" w:eastAsia="Arial" w:hAnsi="Arial"/>
          <w:sz w:val="17"/>
          <w:szCs w:val="17"/>
          <w:color w:val="FF0000"/>
          <w:strike w:val="1"/>
        </w:rPr>
        <w:t>LIBOR</w:t>
      </w:r>
      <w:r>
        <w:rPr>
          <w:rFonts w:ascii="Arial" w:cs="Arial" w:eastAsia="Arial" w:hAnsi="Arial"/>
          <w:sz w:val="17"/>
          <w:szCs w:val="17"/>
          <w:color w:val="auto"/>
        </w:rPr>
        <w:t xml:space="preserve"> floor” applicable to the outstanding Refinancing Amendment No. 1 Term Loans shall be increased to an amount not to exceed the “</w:t>
      </w:r>
      <w:r>
        <w:rPr>
          <w:rFonts w:ascii="Arial" w:cs="Arial" w:eastAsia="Arial" w:hAnsi="Arial"/>
          <w:sz w:val="17"/>
          <w:szCs w:val="17"/>
          <w:color w:val="FF0000"/>
          <w:strike w:val="1"/>
        </w:rPr>
        <w:t>LIBOR</w:t>
      </w:r>
      <w:r>
        <w:rPr>
          <w:rFonts w:ascii="Arial" w:cs="Arial" w:eastAsia="Arial" w:hAnsi="Arial"/>
          <w:sz w:val="17"/>
          <w:szCs w:val="17"/>
          <w:color w:val="auto"/>
        </w:rPr>
        <w:t xml:space="preserve"> floor” applicable to such First Lien Incremental Term Facility prior to any increase in the Applicable Rate applicable to such Refinancing Amendment No. 1 Term Loans then outstanding); and (e) may otherwise have terms and conditions different from those of the Term Loans (including currency denomination);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to the extent the terms and documentation with respect to such First Lien Incremental Term Loans are not consistent with the existing Term Loans (except with respect to matters contemplated by clauses (b), (c) and (d) above), the covenants, events of default and guarantees of any such First Lien Incremental Term Loans shall not be materially more restrictive to the Borrower, when taken as a whole, than the terms of the Term Loans unless (1) Lenders under the Term Loans also receive the benefit of such more restrictive terms (it being understood that, to the extent that any covenant, event of default or guarantee is added or modified for the benefit of any Incremental Term Facility, no consent shall be required from the First Lien Administrative Agent or any of the Term Lenders to the extent that such covenant, event of default or guarantee is also added or modified for the benefit of the existing Term Loans), (2) any such provisions apply after the Term Maturity Date or (3) such terms are reasonably satisfactory to the First Lien Administrative Agent and the Borrower and (y)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First Lien Incremental Term Increase shall be on the same terms and pursuant to the same documentation applicable to the Term Loans (except with respect to matters contemplated by clauses (b), (c) and (d) above). Any Incremental Term Facility shall be on terms and pursuant to documentation as determined by the Borrower and the Additional Term Lenders providing such Incremental Term Facility, subject to the restrictions and exceptions set forth above.</w:t>
      </w:r>
    </w:p>
    <w:p>
      <w:pPr>
        <w:spacing w:after="0" w:line="187" w:lineRule="exact"/>
        <w:rPr>
          <w:sz w:val="20"/>
          <w:szCs w:val="20"/>
          <w:color w:val="auto"/>
        </w:rPr>
      </w:pPr>
    </w:p>
    <w:p>
      <w:pPr>
        <w:jc w:val="both"/>
        <w:ind w:firstLine="1304"/>
        <w:spacing w:after="0" w:line="247" w:lineRule="auto"/>
        <w:tabs>
          <w:tab w:leader="none" w:pos="18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First Lien Incremental Term Increases shall be treated the same as the Class of Term Loans being increased (including with respect to maturity date thereof) and shall be considered to be part of the Class of Term Loans being increased (excluding upfront fees and customary arranger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spacing w:after="0" w:line="182" w:lineRule="exact"/>
        <w:rPr>
          <w:rFonts w:ascii="Arial" w:cs="Arial" w:eastAsia="Arial" w:hAnsi="Arial"/>
          <w:sz w:val="18"/>
          <w:szCs w:val="18"/>
          <w:color w:val="auto"/>
        </w:rPr>
      </w:pPr>
    </w:p>
    <w:p>
      <w:pPr>
        <w:ind w:firstLine="1304"/>
        <w:spacing w:after="0" w:line="249" w:lineRule="auto"/>
        <w:tabs>
          <w:tab w:leader="none" w:pos="191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183" w:lineRule="exact"/>
        <w:rPr>
          <w:rFonts w:ascii="Arial" w:cs="Arial" w:eastAsia="Arial" w:hAnsi="Arial"/>
          <w:sz w:val="18"/>
          <w:szCs w:val="18"/>
          <w:color w:val="auto"/>
        </w:rPr>
      </w:pPr>
    </w:p>
    <w:p>
      <w:pPr>
        <w:jc w:val="both"/>
        <w:ind w:firstLine="1304"/>
        <w:spacing w:after="0" w:line="280" w:lineRule="auto"/>
        <w:tabs>
          <w:tab w:leader="none" w:pos="181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Additional/Replacement Revolving Commitments (a) shall (i) rank equal or junior in right of payment with the Revolving Loans, (ii) 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75" w:lineRule="auto"/>
        <w:rPr>
          <w:sz w:val="20"/>
          <w:szCs w:val="20"/>
          <w:color w:val="auto"/>
        </w:rPr>
      </w:pPr>
      <w:r>
        <w:rPr>
          <w:rFonts w:ascii="Arial" w:cs="Arial" w:eastAsia="Arial" w:hAnsi="Arial"/>
          <w:sz w:val="16"/>
          <w:szCs w:val="16"/>
          <w:color w:val="auto"/>
        </w:rPr>
        <w:t xml:space="preserve">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the terms and documentation with respect to such Additional/Replacement Revolving Commitments are not consistent with the existing Revolving Commitments (except with respect to matters contemplated by clauses (b), (c), (d) and (e) 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spacing w:after="0" w:line="393" w:lineRule="exact"/>
        <w:rPr>
          <w:sz w:val="20"/>
          <w:szCs w:val="20"/>
          <w:color w:val="auto"/>
        </w:rPr>
      </w:pPr>
    </w:p>
    <w:p>
      <w:pPr>
        <w:jc w:val="both"/>
        <w:ind w:firstLine="1104"/>
        <w:spacing w:after="0" w:line="274" w:lineRule="auto"/>
        <w:tabs>
          <w:tab w:leader="none" w:pos="171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First Lien Incremental Facilities shall become Commitments and Loans, as applicable, under this Agreement pursuant to an amendment (an “</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 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21" w:right="339" w:bottom="1440" w:gutter="0" w:footer="0" w:header="0"/>
        </w:sectPr>
      </w:pPr>
    </w:p>
    <w:bookmarkStart w:id="134" w:name="page135"/>
    <w:bookmarkEnd w:id="134"/>
    <w:p>
      <w:pPr>
        <w:ind w:left="1640" w:hanging="546"/>
        <w:spacing w:after="0"/>
        <w:tabs>
          <w:tab w:leader="none" w:pos="1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Notwithstanding anything to the contrary, this Section 2.20 shall supersede any provisions in Section 2.18 or Section 9.02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contrary.</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u w:val="single" w:color="auto"/>
          <w:color w:val="auto"/>
        </w:rPr>
        <w:t>Refinancing Amendments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73" w:lineRule="auto"/>
        <w:tabs>
          <w:tab w:leader="none" w:pos="167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 outstanding Other Revolving Loans and Other Revolving Commitments) and (iii) all or any portion of First Lien Incremental Equivalent Debt, in the form of (x) Other First Lien Term Loans or Other First Lien Term Commitments or (y) Other Revolving Loans or Other Revolving Commitments, as the case may be, in each case pursuant to a Refinancing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Credit Agreement Refinancing Indebtedness (i) will be unsecured or will be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outstanding Term Loans or reduction of Revolving Commitments being so refinanced or the prepayment, satisfaction and discharge or redemption of outstanding First Lien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 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 First Lien Administrative Agent). Each Class of Credit Agreement Refinancing Indebtedness incurred under this Section 2.21 shall be in an aggregate principal amount that is (x) not less than $10,000,000 in the case of Other Term Loans or $10,000,000 in the case of Other Revolving Loans and (y) an integral multiple of $1,000,000 in excess thereof (in each case unless the Borrower and the First Lien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or Swingline Lender shall be required to act as “issuing bank” or “swingline lender” under any such Refinancing Amendment without its written consent.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Other Revolving Loans, Other Revolving Commitments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21" w:right="339" w:bottom="1440" w:gutter="0" w:footer="0" w:header="0"/>
        </w:sectPr>
      </w:pPr>
    </w:p>
    <w:bookmarkStart w:id="135" w:name="page136"/>
    <w:bookmarkEnd w:id="135"/>
    <w:p>
      <w:pPr>
        <w:ind w:left="1300" w:right="2820" w:hanging="206"/>
        <w:spacing w:after="0" w:line="493" w:lineRule="auto"/>
        <w:tabs>
          <w:tab w:leader="none" w:pos="152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This Section 2.21 shall supersede any provisions in Section 2.18 or Section 9.02 to the contrary. 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ind w:firstLine="1104"/>
        <w:spacing w:after="0" w:line="261" w:lineRule="auto"/>
        <w:tabs>
          <w:tab w:leader="none" w:pos="1523"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84" w:lineRule="exact"/>
        <w:rPr>
          <w:rFonts w:ascii="Arial" w:cs="Arial" w:eastAsia="Arial" w:hAnsi="Arial"/>
          <w:sz w:val="18"/>
          <w:szCs w:val="18"/>
          <w:color w:val="auto"/>
        </w:rPr>
      </w:pPr>
    </w:p>
    <w:p>
      <w:pPr>
        <w:ind w:left="420" w:firstLine="730"/>
        <w:spacing w:after="0" w:line="261" w:lineRule="auto"/>
        <w:tabs>
          <w:tab w:leader="none" w:pos="2205"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Section 9.02.</w:t>
      </w:r>
    </w:p>
    <w:p>
      <w:pPr>
        <w:spacing w:after="0" w:line="184" w:lineRule="exact"/>
        <w:rPr>
          <w:rFonts w:ascii="Arial" w:cs="Arial" w:eastAsia="Arial" w:hAnsi="Arial"/>
          <w:sz w:val="18"/>
          <w:szCs w:val="18"/>
          <w:color w:val="auto"/>
        </w:rPr>
      </w:pPr>
    </w:p>
    <w:p>
      <w:pPr>
        <w:jc w:val="both"/>
        <w:ind w:left="420" w:firstLine="680"/>
        <w:spacing w:after="0" w:line="274" w:lineRule="auto"/>
        <w:tabs>
          <w:tab w:leader="none" w:pos="2263"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that Defaulting Lender to the First Lien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a Revolving Lender, to the payment on a pro rata basis of any amounts owing by that Defaulting Lender to each Issuing Bank and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186" w:lineRule="exact"/>
        <w:rPr>
          <w:rFonts w:ascii="Arial" w:cs="Arial" w:eastAsia="Arial" w:hAnsi="Arial"/>
          <w:sz w:val="16"/>
          <w:szCs w:val="16"/>
          <w:color w:val="auto"/>
        </w:rPr>
      </w:pPr>
    </w:p>
    <w:p>
      <w:pPr>
        <w:jc w:val="both"/>
        <w:ind w:left="420" w:firstLine="631"/>
        <w:spacing w:after="0" w:line="249" w:lineRule="auto"/>
        <w:tabs>
          <w:tab w:leader="none" w:pos="2235"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194" w:lineRule="exact"/>
        <w:rPr>
          <w:rFonts w:ascii="Arial" w:cs="Arial" w:eastAsia="Arial" w:hAnsi="Arial"/>
          <w:sz w:val="18"/>
          <w:szCs w:val="18"/>
          <w:color w:val="auto"/>
        </w:rPr>
      </w:pPr>
    </w:p>
    <w:p>
      <w:pPr>
        <w:jc w:val="both"/>
        <w:ind w:left="420" w:firstLine="640"/>
        <w:spacing w:after="0" w:line="246" w:lineRule="auto"/>
        <w:tabs>
          <w:tab w:leader="none" w:pos="229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During any period in which there is a Defaulting Lender, for purposes of computing the amount of the obligation of each non-Defaulting Lender to acquire, refinance or fund participations in Swingline Loans and Letters of Credit pursuant to Sections 2.04 and 2.05 and the payments of participation fees pursuant to Section 2.12(b), the “Applicable Percentage” of each non-Defaulting Lender shall be computed without giving effect to the Revolving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obligation of each non-Defaulting Lender to acquire, refinance or fund participations in Letters of Credit and Swingline Loans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21" w:right="339" w:bottom="1440" w:gutter="0" w:footer="0" w:header="0"/>
        </w:sectPr>
      </w:pPr>
    </w:p>
    <w:bookmarkStart w:id="136" w:name="page137"/>
    <w:bookmarkEnd w:id="136"/>
    <w:p>
      <w:pPr>
        <w:ind w:left="420"/>
        <w:spacing w:after="0" w:line="261" w:lineRule="auto"/>
        <w:rPr>
          <w:sz w:val="20"/>
          <w:szCs w:val="20"/>
          <w:color w:val="auto"/>
        </w:rPr>
      </w:pPr>
      <w:r>
        <w:rPr>
          <w:rFonts w:ascii="Arial" w:cs="Arial" w:eastAsia="Arial" w:hAnsi="Arial"/>
          <w:sz w:val="18"/>
          <w:szCs w:val="18"/>
          <w:color w:val="auto"/>
        </w:rPr>
        <w:t xml:space="preserve">not exceed the positive difference, if any, of (1) the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principal amount of the Revolving Loans of that non-Defaulting Lender.</w:t>
      </w:r>
    </w:p>
    <w:p>
      <w:pPr>
        <w:spacing w:after="0" w:line="184" w:lineRule="exact"/>
        <w:rPr>
          <w:sz w:val="20"/>
          <w:szCs w:val="20"/>
          <w:color w:val="auto"/>
        </w:rPr>
      </w:pPr>
    </w:p>
    <w:p>
      <w:pPr>
        <w:jc w:val="both"/>
        <w:ind w:left="420" w:firstLine="690"/>
        <w:spacing w:after="0" w:line="249" w:lineRule="auto"/>
        <w:tabs>
          <w:tab w:leader="none" w:pos="232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spacing w:after="0" w:line="194" w:lineRule="exact"/>
        <w:rPr>
          <w:rFonts w:ascii="Arial" w:cs="Arial" w:eastAsia="Arial" w:hAnsi="Arial"/>
          <w:sz w:val="18"/>
          <w:szCs w:val="18"/>
          <w:color w:val="auto"/>
        </w:rPr>
      </w:pPr>
    </w:p>
    <w:p>
      <w:pPr>
        <w:jc w:val="both"/>
        <w:ind w:firstLine="1094"/>
        <w:spacing w:after="0" w:line="259" w:lineRule="auto"/>
        <w:tabs>
          <w:tab w:leader="none" w:pos="1625"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1"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7"/>
          <w:szCs w:val="17"/>
          <w:u w:val="single" w:color="auto"/>
          <w:color w:val="auto"/>
        </w:rPr>
        <w:t>Illegality</w:t>
      </w:r>
      <w:r>
        <w:rPr>
          <w:rFonts w:ascii="Arial" w:cs="Arial" w:eastAsia="Arial" w:hAnsi="Arial"/>
          <w:sz w:val="17"/>
          <w:szCs w:val="17"/>
          <w:color w:val="auto"/>
        </w:rPr>
        <w:t>.</w:t>
      </w:r>
    </w:p>
    <w:p>
      <w:pPr>
        <w:spacing w:after="0" w:line="21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 xml:space="preserve">If any Lender determines that any law has made it unlawful, or that any Governmental Authority has asserted that it is unlawful, for any Lender to make, maintain or fund Loans whose interest is determined by reference to the </w:t>
      </w:r>
      <w:r>
        <w:rPr>
          <w:rFonts w:ascii="Arial" w:cs="Arial" w:eastAsia="Arial" w:hAnsi="Arial"/>
          <w:sz w:val="16"/>
          <w:szCs w:val="16"/>
          <w:color w:val="FF0000"/>
          <w:strike w:val="1"/>
        </w:rPr>
        <w:t>Adjusted LIBO Rate, the</w:t>
      </w:r>
      <w:r>
        <w:rPr>
          <w:rFonts w:ascii="Arial" w:cs="Arial" w:eastAsia="Arial" w:hAnsi="Arial"/>
          <w:sz w:val="16"/>
          <w:szCs w:val="16"/>
          <w:color w:val="auto"/>
        </w:rPr>
        <w:t xml:space="preserve"> Term Benchmark Rate or RFR Rate (whether denominated in Dollars or an Alternative Currency), or to determine or charge interest rates based upon the </w:t>
      </w:r>
      <w:r>
        <w:rPr>
          <w:rFonts w:ascii="Arial" w:cs="Arial" w:eastAsia="Arial" w:hAnsi="Arial"/>
          <w:sz w:val="16"/>
          <w:szCs w:val="16"/>
          <w:color w:val="FF0000"/>
          <w:strike w:val="1"/>
        </w:rPr>
        <w:t>Adjusted LIBO Rate, the</w:t>
      </w:r>
      <w:r>
        <w:rPr>
          <w:rFonts w:ascii="Arial" w:cs="Arial" w:eastAsia="Arial" w:hAnsi="Arial"/>
          <w:sz w:val="16"/>
          <w:szCs w:val="16"/>
          <w:color w:val="auto"/>
        </w:rPr>
        <w:t xml:space="preserve"> Term Benchmark Rate or RFR Rate, then, on notice thereof by such Lender to Borrower through the First Lien Administrative Agent, (i) any obligation of such Lender to make or continue </w:t>
      </w:r>
      <w:r>
        <w:rPr>
          <w:rFonts w:ascii="Arial" w:cs="Arial" w:eastAsia="Arial" w:hAnsi="Arial"/>
          <w:sz w:val="16"/>
          <w:szCs w:val="16"/>
          <w:color w:val="FF0000"/>
          <w:strike w:val="1"/>
        </w:rPr>
        <w:t>Eurodollar Loans,</w:t>
      </w:r>
      <w:r>
        <w:rPr>
          <w:rFonts w:ascii="Arial" w:cs="Arial" w:eastAsia="Arial" w:hAnsi="Arial"/>
          <w:sz w:val="16"/>
          <w:szCs w:val="16"/>
          <w:color w:val="auto"/>
        </w:rPr>
        <w:t xml:space="preserve"> Term Benchmark Loans or RFR Loans in the affected currency or currencies or to convert ABR Loans to </w:t>
      </w:r>
      <w:r>
        <w:rPr>
          <w:rFonts w:ascii="Arial" w:cs="Arial" w:eastAsia="Arial" w:hAnsi="Arial"/>
          <w:sz w:val="16"/>
          <w:szCs w:val="16"/>
          <w:color w:val="FF0000"/>
          <w:strike w:val="1"/>
        </w:rPr>
        <w:t>Eurodollar Loans,</w:t>
      </w:r>
      <w:r>
        <w:rPr>
          <w:rFonts w:ascii="Arial" w:cs="Arial" w:eastAsia="Arial" w:hAnsi="Arial"/>
          <w:sz w:val="16"/>
          <w:szCs w:val="16"/>
          <w:color w:val="FF0000"/>
        </w:rPr>
        <w:t xml:space="preserve"> </w:t>
      </w:r>
      <w:r>
        <w:rPr>
          <w:rFonts w:ascii="Arial" w:cs="Arial" w:eastAsia="Arial" w:hAnsi="Arial"/>
          <w:sz w:val="16"/>
          <w:szCs w:val="16"/>
          <w:color w:val="000000"/>
        </w:rPr>
        <w:t>Term Benchmark Loans or RFR Loans in the affected currency or currencies shall be suspended, and (ii) if such notice asserts the</w:t>
      </w:r>
      <w:r>
        <w:rPr>
          <w:rFonts w:ascii="Arial" w:cs="Arial" w:eastAsia="Arial" w:hAnsi="Arial"/>
          <w:sz w:val="16"/>
          <w:szCs w:val="16"/>
          <w:color w:val="FF0000"/>
        </w:rPr>
        <w:t xml:space="preserve"> </w:t>
      </w:r>
      <w:r>
        <w:rPr>
          <w:rFonts w:ascii="Arial" w:cs="Arial" w:eastAsia="Arial" w:hAnsi="Arial"/>
          <w:sz w:val="16"/>
          <w:szCs w:val="16"/>
          <w:color w:val="000000"/>
        </w:rPr>
        <w:t xml:space="preserve">illegality of such Lender making or maintaining ABR Loans the interest rate on which is determined by reference to the Adjusted </w:t>
      </w:r>
      <w:r>
        <w:rPr>
          <w:rFonts w:ascii="Arial" w:cs="Arial" w:eastAsia="Arial" w:hAnsi="Arial"/>
          <w:sz w:val="16"/>
          <w:szCs w:val="16"/>
          <w:color w:val="FF0000"/>
          <w:strike w:val="1"/>
        </w:rPr>
        <w:t>LIBO Rate or the</w:t>
      </w:r>
      <w:r>
        <w:rPr>
          <w:rFonts w:ascii="Arial" w:cs="Arial" w:eastAsia="Arial" w:hAnsi="Arial"/>
          <w:sz w:val="16"/>
          <w:szCs w:val="16"/>
          <w:color w:val="000000"/>
        </w:rPr>
        <w:t xml:space="preserve"> </w:t>
      </w:r>
      <w:r>
        <w:rPr>
          <w:rFonts w:ascii="Arial" w:cs="Arial" w:eastAsia="Arial" w:hAnsi="Arial"/>
          <w:sz w:val="16"/>
          <w:szCs w:val="16"/>
          <w:color w:val="FF0000"/>
          <w:strike w:val="1"/>
        </w:rPr>
        <w:t>Adjusted</w:t>
      </w:r>
      <w:r>
        <w:rPr>
          <w:rFonts w:ascii="Arial" w:cs="Arial" w:eastAsia="Arial" w:hAnsi="Arial"/>
          <w:sz w:val="16"/>
          <w:szCs w:val="16"/>
          <w:color w:val="FF0000"/>
        </w:rPr>
        <w:t xml:space="preserve"> </w:t>
      </w:r>
      <w:r>
        <w:rPr>
          <w:rFonts w:ascii="Arial" w:cs="Arial" w:eastAsia="Arial" w:hAnsi="Arial"/>
          <w:sz w:val="16"/>
          <w:szCs w:val="16"/>
          <w:color w:val="000000"/>
        </w:rPr>
        <w:t>Term SOFR Rate component of the Alternate Base Rate or the Adjusted BA Rate component of the Canadian Base Rate, the interest rate on such</w:t>
      </w:r>
      <w:r>
        <w:rPr>
          <w:rFonts w:ascii="Arial" w:cs="Arial" w:eastAsia="Arial" w:hAnsi="Arial"/>
          <w:sz w:val="16"/>
          <w:szCs w:val="16"/>
          <w:color w:val="FF0000"/>
        </w:rPr>
        <w:t xml:space="preserve"> </w:t>
      </w:r>
      <w:r>
        <w:rPr>
          <w:rFonts w:ascii="Arial" w:cs="Arial" w:eastAsia="Arial" w:hAnsi="Arial"/>
          <w:sz w:val="16"/>
          <w:szCs w:val="16"/>
          <w:color w:val="000000"/>
        </w:rPr>
        <w:t xml:space="preserve">ABR Loans of such Lender shall, if necessary to avoid such illegality, be determined by the First Lien Administrative Agent without reference to the </w:t>
      </w:r>
      <w:r>
        <w:rPr>
          <w:rFonts w:ascii="Arial" w:cs="Arial" w:eastAsia="Arial" w:hAnsi="Arial"/>
          <w:sz w:val="16"/>
          <w:szCs w:val="16"/>
          <w:color w:val="FF0000"/>
          <w:strike w:val="1"/>
        </w:rPr>
        <w:t>Adjusted LIBO Rate or the</w:t>
      </w:r>
      <w:r>
        <w:rPr>
          <w:rFonts w:ascii="Arial" w:cs="Arial" w:eastAsia="Arial" w:hAnsi="Arial"/>
          <w:sz w:val="16"/>
          <w:szCs w:val="16"/>
          <w:color w:val="FF0000"/>
        </w:rPr>
        <w:t xml:space="preserve"> </w:t>
      </w:r>
      <w:r>
        <w:rPr>
          <w:rFonts w:ascii="Arial" w:cs="Arial" w:eastAsia="Arial" w:hAnsi="Arial"/>
          <w:sz w:val="16"/>
          <w:szCs w:val="16"/>
          <w:color w:val="000000"/>
        </w:rPr>
        <w:t>Adjusted Term SOFR Rate component of the Alternate Base Rate or the Adjusted BA Rate component of the Canadian Base</w:t>
      </w:r>
      <w:r>
        <w:rPr>
          <w:rFonts w:ascii="Arial" w:cs="Arial" w:eastAsia="Arial" w:hAnsi="Arial"/>
          <w:sz w:val="16"/>
          <w:szCs w:val="16"/>
          <w:color w:val="FF0000"/>
        </w:rPr>
        <w:t xml:space="preserve"> </w:t>
      </w:r>
      <w:r>
        <w:rPr>
          <w:rFonts w:ascii="Arial" w:cs="Arial" w:eastAsia="Arial" w:hAnsi="Arial"/>
          <w:sz w:val="16"/>
          <w:szCs w:val="16"/>
          <w:color w:val="000000"/>
        </w:rPr>
        <w:t xml:space="preserve">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w:t>
      </w:r>
      <w:r>
        <w:rPr>
          <w:rFonts w:ascii="Arial" w:cs="Arial" w:eastAsia="Arial" w:hAnsi="Arial"/>
          <w:sz w:val="16"/>
          <w:szCs w:val="16"/>
          <w:color w:val="FF0000"/>
          <w:strike w:val="1"/>
        </w:rPr>
        <w:t>Eurodollar Loans</w:t>
      </w:r>
      <w:r>
        <w:rPr>
          <w:rFonts w:ascii="Arial" w:cs="Arial" w:eastAsia="Arial" w:hAnsi="Arial"/>
          <w:sz w:val="16"/>
          <w:szCs w:val="16"/>
          <w:color w:val="000000"/>
        </w:rPr>
        <w:t xml:space="preserve"> </w:t>
      </w:r>
      <w:r>
        <w:rPr>
          <w:rFonts w:ascii="Arial" w:cs="Arial" w:eastAsia="Arial" w:hAnsi="Arial"/>
          <w:sz w:val="16"/>
          <w:szCs w:val="16"/>
          <w:color w:val="FF0000"/>
          <w:strike w:val="1"/>
        </w:rPr>
        <w:t>or</w:t>
      </w:r>
      <w:r>
        <w:rPr>
          <w:rFonts w:ascii="Arial" w:cs="Arial" w:eastAsia="Arial" w:hAnsi="Arial"/>
          <w:sz w:val="16"/>
          <w:szCs w:val="16"/>
          <w:color w:val="FF0000"/>
        </w:rPr>
        <w:t xml:space="preserve"> </w:t>
      </w:r>
      <w:r>
        <w:rPr>
          <w:rFonts w:ascii="Arial" w:cs="Arial" w:eastAsia="Arial" w:hAnsi="Arial"/>
          <w:sz w:val="16"/>
          <w:szCs w:val="16"/>
          <w:color w:val="000000"/>
        </w:rPr>
        <w:t>Term Benchmark Loans denominated in Dollars or Canadian Dollars of such Lender to ABR Loans (the interest rate on which ABR Loans of such</w:t>
      </w:r>
      <w:r>
        <w:rPr>
          <w:rFonts w:ascii="Arial" w:cs="Arial" w:eastAsia="Arial" w:hAnsi="Arial"/>
          <w:sz w:val="16"/>
          <w:szCs w:val="16"/>
          <w:color w:val="FF0000"/>
        </w:rPr>
        <w:t xml:space="preserve"> </w:t>
      </w:r>
      <w:r>
        <w:rPr>
          <w:rFonts w:ascii="Arial" w:cs="Arial" w:eastAsia="Arial" w:hAnsi="Arial"/>
          <w:sz w:val="16"/>
          <w:szCs w:val="16"/>
          <w:color w:val="000000"/>
        </w:rPr>
        <w:t xml:space="preserve">Lender shall, if necessary to avoid such illegality, be determined by the First Lien Administrative Agent without reference to the Adjusted </w:t>
      </w:r>
      <w:r>
        <w:rPr>
          <w:rFonts w:ascii="Arial" w:cs="Arial" w:eastAsia="Arial" w:hAnsi="Arial"/>
          <w:sz w:val="16"/>
          <w:szCs w:val="16"/>
          <w:color w:val="FF0000"/>
          <w:strike w:val="1"/>
        </w:rPr>
        <w:t>LIBO Rate</w:t>
      </w:r>
      <w:r>
        <w:rPr>
          <w:rFonts w:ascii="Arial" w:cs="Arial" w:eastAsia="Arial" w:hAnsi="Arial"/>
          <w:sz w:val="16"/>
          <w:szCs w:val="16"/>
          <w:color w:val="000000"/>
        </w:rPr>
        <w:t xml:space="preserve"> </w:t>
      </w:r>
      <w:r>
        <w:rPr>
          <w:rFonts w:ascii="Arial" w:cs="Arial" w:eastAsia="Arial" w:hAnsi="Arial"/>
          <w:sz w:val="16"/>
          <w:szCs w:val="16"/>
          <w:color w:val="FF0000"/>
          <w:strike w:val="1"/>
        </w:rPr>
        <w:t>component or the Adjusted</w:t>
      </w:r>
      <w:r>
        <w:rPr>
          <w:rFonts w:ascii="Arial" w:cs="Arial" w:eastAsia="Arial" w:hAnsi="Arial"/>
          <w:sz w:val="16"/>
          <w:szCs w:val="16"/>
          <w:color w:val="FF0000"/>
        </w:rPr>
        <w:t xml:space="preserve"> </w:t>
      </w:r>
      <w:r>
        <w:rPr>
          <w:rFonts w:ascii="Arial" w:cs="Arial" w:eastAsia="Arial" w:hAnsi="Arial"/>
          <w:sz w:val="16"/>
          <w:szCs w:val="16"/>
          <w:color w:val="000000"/>
        </w:rPr>
        <w:t>Term SOFR Rate component of the Alternate Base Rate or the Adjusted BA Rate component of the Canadian Base Rate, as</w:t>
      </w:r>
      <w:r>
        <w:rPr>
          <w:rFonts w:ascii="Arial" w:cs="Arial" w:eastAsia="Arial" w:hAnsi="Arial"/>
          <w:sz w:val="16"/>
          <w:szCs w:val="16"/>
          <w:color w:val="FF0000"/>
        </w:rPr>
        <w:t xml:space="preserve"> </w:t>
      </w:r>
      <w:r>
        <w:rPr>
          <w:rFonts w:ascii="Arial" w:cs="Arial" w:eastAsia="Arial" w:hAnsi="Arial"/>
          <w:sz w:val="16"/>
          <w:szCs w:val="16"/>
          <w:color w:val="000000"/>
        </w:rPr>
        <w:t xml:space="preserve">applicable), either on the last day of the Interest Period therefor, if such Lender may lawfully continue to maintain such </w:t>
      </w:r>
      <w:r>
        <w:rPr>
          <w:rFonts w:ascii="Arial" w:cs="Arial" w:eastAsia="Arial" w:hAnsi="Arial"/>
          <w:sz w:val="16"/>
          <w:szCs w:val="16"/>
          <w:color w:val="FF0000"/>
          <w:strike w:val="1"/>
        </w:rPr>
        <w:t>Eurodollar Loans,</w:t>
      </w:r>
      <w:r>
        <w:rPr>
          <w:rFonts w:ascii="Arial" w:cs="Arial" w:eastAsia="Arial" w:hAnsi="Arial"/>
          <w:sz w:val="16"/>
          <w:szCs w:val="16"/>
          <w:color w:val="000000"/>
        </w:rPr>
        <w:t xml:space="preserve"> Term Benchmark Loans and/or RFR Loans to such day, or immediately, if such Lender may not lawfully continue to maintain such </w:t>
      </w:r>
      <w:r>
        <w:rPr>
          <w:rFonts w:ascii="Arial" w:cs="Arial" w:eastAsia="Arial" w:hAnsi="Arial"/>
          <w:sz w:val="16"/>
          <w:szCs w:val="16"/>
          <w:color w:val="FF0000"/>
          <w:strike w:val="1"/>
        </w:rPr>
        <w:t>Eurodollar Loans,</w:t>
      </w:r>
      <w:r>
        <w:rPr>
          <w:rFonts w:ascii="Arial" w:cs="Arial" w:eastAsia="Arial" w:hAnsi="Arial"/>
          <w:sz w:val="16"/>
          <w:szCs w:val="16"/>
          <w:color w:val="000000"/>
        </w:rPr>
        <w:t xml:space="preserve"> Term Benchmark Loans and/or RFR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76" w:lineRule="auto"/>
        <w:rPr>
          <w:sz w:val="20"/>
          <w:szCs w:val="20"/>
          <w:color w:val="auto"/>
        </w:rPr>
      </w:pPr>
      <w:r>
        <w:rPr>
          <w:rFonts w:ascii="Arial" w:cs="Arial" w:eastAsia="Arial" w:hAnsi="Arial"/>
          <w:sz w:val="16"/>
          <w:szCs w:val="16"/>
          <w:color w:val="auto"/>
        </w:rPr>
        <w:t xml:space="preserve">maintain such </w:t>
      </w:r>
      <w:r>
        <w:rPr>
          <w:rFonts w:ascii="Arial" w:cs="Arial" w:eastAsia="Arial" w:hAnsi="Arial"/>
          <w:sz w:val="16"/>
          <w:szCs w:val="16"/>
          <w:color w:val="FF0000"/>
          <w:strike w:val="1"/>
        </w:rPr>
        <w:t>Eurodollar Loans,</w:t>
      </w:r>
      <w:r>
        <w:rPr>
          <w:rFonts w:ascii="Arial" w:cs="Arial" w:eastAsia="Arial" w:hAnsi="Arial"/>
          <w:sz w:val="16"/>
          <w:szCs w:val="16"/>
          <w:color w:val="auto"/>
        </w:rPr>
        <w:t xml:space="preserve"> Term Benchmark Loans and/or RFR Loans to such day, or immediately, if such Lender may not lawfully continue to maintain such </w:t>
      </w:r>
      <w:r>
        <w:rPr>
          <w:rFonts w:ascii="Arial" w:cs="Arial" w:eastAsia="Arial" w:hAnsi="Arial"/>
          <w:sz w:val="16"/>
          <w:szCs w:val="16"/>
          <w:color w:val="FF0000"/>
          <w:strike w:val="1"/>
        </w:rPr>
        <w:t>Eurodollar Loans,</w:t>
      </w:r>
      <w:r>
        <w:rPr>
          <w:rFonts w:ascii="Arial" w:cs="Arial" w:eastAsia="Arial" w:hAnsi="Arial"/>
          <w:sz w:val="16"/>
          <w:szCs w:val="16"/>
          <w:color w:val="auto"/>
        </w:rPr>
        <w:t xml:space="preserve"> Term Benchmark Loans and/or RFR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Borrower and the applicable Lender cannot agree within a reasonable time on an alternative rate for such Loans denominated in an Alternative Currency (other than Canadian Dollars), the Borrower may, at its discretion, either (i) prepay such Loans 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w:t>
      </w:r>
      <w:r>
        <w:rPr>
          <w:rFonts w:ascii="Arial" w:cs="Arial" w:eastAsia="Arial" w:hAnsi="Arial"/>
          <w:sz w:val="16"/>
          <w:szCs w:val="16"/>
          <w:color w:val="FF0000"/>
          <w:strike w:val="1"/>
        </w:rPr>
        <w:t>LIBO Rate, Adjusted</w:t>
      </w:r>
      <w:r>
        <w:rPr>
          <w:rFonts w:ascii="Arial" w:cs="Arial" w:eastAsia="Arial" w:hAnsi="Arial"/>
          <w:sz w:val="16"/>
          <w:szCs w:val="16"/>
          <w:color w:val="auto"/>
        </w:rPr>
        <w:t xml:space="preserve"> Term SOFR Rate or the Adjusted BA Rate, the First Lien Administrative Agent shall during the period of such suspension compute the Alternate Base Rate or the Canadian Base Rate, as applicable, applicable to such Lender without reference to the Adjusted </w:t>
      </w:r>
      <w:r>
        <w:rPr>
          <w:rFonts w:ascii="Arial" w:cs="Arial" w:eastAsia="Arial" w:hAnsi="Arial"/>
          <w:sz w:val="16"/>
          <w:szCs w:val="16"/>
          <w:color w:val="FF0000"/>
          <w:strike w:val="1"/>
        </w:rPr>
        <w:t>LIBO Rate component, the Adjusted</w:t>
      </w:r>
      <w:r>
        <w:rPr>
          <w:rFonts w:ascii="Arial" w:cs="Arial" w:eastAsia="Arial" w:hAnsi="Arial"/>
          <w:sz w:val="16"/>
          <w:szCs w:val="16"/>
          <w:color w:val="auto"/>
        </w:rPr>
        <w:t xml:space="preserve"> Term SOFR Rate component, or the Adjusted BA Rate component, as applicable, thereof until the First Lien Administrative Agent is advised in writing by such Lender that it is no longer illegal for such Lender to determine or charge interest rates based upon the Adjusted </w:t>
      </w:r>
      <w:r>
        <w:rPr>
          <w:rFonts w:ascii="Arial" w:cs="Arial" w:eastAsia="Arial" w:hAnsi="Arial"/>
          <w:sz w:val="16"/>
          <w:szCs w:val="16"/>
          <w:color w:val="FF0000"/>
          <w:strike w:val="1"/>
        </w:rPr>
        <w:t>LIBO Rate, the Adjusted</w:t>
      </w:r>
      <w:r>
        <w:rPr>
          <w:rFonts w:ascii="Arial" w:cs="Arial" w:eastAsia="Arial" w:hAnsi="Arial"/>
          <w:sz w:val="16"/>
          <w:szCs w:val="16"/>
          <w:color w:val="auto"/>
        </w:rPr>
        <w:t xml:space="preserve"> Term SOFR Rate or the Adjusted BA Rate, as applicable. Each Lender agrees to notify the First Lien Administrative Agent and the Borrower in writing promptly upon becoming aware that it is no longer illegal for such Lender to determine or charge interest rates based upon the </w:t>
      </w:r>
      <w:r>
        <w:rPr>
          <w:rFonts w:ascii="Arial" w:cs="Arial" w:eastAsia="Arial" w:hAnsi="Arial"/>
          <w:sz w:val="16"/>
          <w:szCs w:val="16"/>
          <w:color w:val="FF0000"/>
          <w:strike w:val="1"/>
        </w:rPr>
        <w:t>Adjusted LIBO Rate, the</w:t>
      </w:r>
      <w:r>
        <w:rPr>
          <w:rFonts w:ascii="Arial" w:cs="Arial" w:eastAsia="Arial" w:hAnsi="Arial"/>
          <w:sz w:val="16"/>
          <w:szCs w:val="16"/>
          <w:color w:val="auto"/>
        </w:rPr>
        <w:t xml:space="preserve"> applicable Term Benchmark Rate or RFR Rate, as applicable. Upon any such prepayment or conversion, the Borrower shall also pay accrued interest on the amount so prepaid or converted.</w:t>
      </w:r>
    </w:p>
    <w:p>
      <w:pPr>
        <w:spacing w:after="0" w:line="17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7"/>
          <w:szCs w:val="17"/>
          <w:u w:val="single" w:color="auto"/>
          <w:color w:val="auto"/>
        </w:rPr>
        <w:t>Loan Modification Offers</w:t>
      </w:r>
      <w:r>
        <w:rPr>
          <w:rFonts w:ascii="Arial" w:cs="Arial" w:eastAsia="Arial" w:hAnsi="Arial"/>
          <w:sz w:val="17"/>
          <w:szCs w:val="17"/>
          <w:color w:val="auto"/>
        </w:rPr>
        <w:t>.</w:t>
      </w:r>
    </w:p>
    <w:p>
      <w:pPr>
        <w:spacing w:after="0" w:line="212" w:lineRule="exact"/>
        <w:rPr>
          <w:sz w:val="20"/>
          <w:szCs w:val="20"/>
          <w:color w:val="auto"/>
        </w:rPr>
      </w:pPr>
    </w:p>
    <w:p>
      <w:pPr>
        <w:jc w:val="both"/>
        <w:ind w:firstLine="1104"/>
        <w:spacing w:after="0" w:line="246" w:lineRule="auto"/>
        <w:tabs>
          <w:tab w:leader="none" w:pos="15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any time after the Effective Date, the Borrower may on one or more occasions, by written notice to the First Lien Administrative Agent, make one or more offers (each, a “</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to all the Lenders of one or more Classes (each Class subject to such a Loan Modification Offer, an “</w:t>
      </w:r>
      <w:r>
        <w:rPr>
          <w:rFonts w:ascii="Arial" w:cs="Arial" w:eastAsia="Arial" w:hAnsi="Arial"/>
          <w:sz w:val="18"/>
          <w:szCs w:val="18"/>
          <w:u w:val="single" w:color="auto"/>
          <w:color w:val="auto"/>
        </w:rPr>
        <w:t>Affected Class</w:t>
      </w:r>
      <w:r>
        <w:rPr>
          <w:rFonts w:ascii="Arial" w:cs="Arial" w:eastAsia="Arial" w:hAnsi="Arial"/>
          <w:sz w:val="18"/>
          <w:szCs w:val="18"/>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Arial" w:cs="Arial" w:eastAsia="Arial" w:hAnsi="Arial"/>
          <w:sz w:val="18"/>
          <w:szCs w:val="18"/>
          <w:u w:val="single" w:color="auto"/>
          <w:color w:val="auto"/>
        </w:rPr>
        <w:t>Accepting Lenders</w:t>
      </w:r>
      <w:r>
        <w:rPr>
          <w:rFonts w:ascii="Arial" w:cs="Arial" w:eastAsia="Arial" w:hAnsi="Arial"/>
          <w:sz w:val="18"/>
          <w:szCs w:val="18"/>
          <w:color w:val="auto"/>
        </w:rPr>
        <w:t>”) and, in the case of any Accepting Lender, only with respect to such Lender’s Loans and Commitments of such Affected Class as to which such Lender’s acceptance has been made.</w:t>
      </w:r>
    </w:p>
    <w:p>
      <w:pPr>
        <w:spacing w:after="0" w:line="183" w:lineRule="exact"/>
        <w:rPr>
          <w:rFonts w:ascii="Arial" w:cs="Arial" w:eastAsia="Arial" w:hAnsi="Arial"/>
          <w:sz w:val="18"/>
          <w:szCs w:val="18"/>
          <w:color w:val="auto"/>
        </w:rPr>
      </w:pPr>
    </w:p>
    <w:p>
      <w:pPr>
        <w:jc w:val="both"/>
        <w:ind w:firstLine="1094"/>
        <w:spacing w:after="0" w:line="262" w:lineRule="auto"/>
        <w:tabs>
          <w:tab w:leader="none" w:pos="164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 Permitted Amendment shall be effected pursuant to a Loan Modification Agreement executed and delivered by Holdings, the Borrower, each applicable Accepting Lender and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171" w:lineRule="exact"/>
        <w:rPr>
          <w:rFonts w:ascii="Arial" w:cs="Arial" w:eastAsia="Arial" w:hAnsi="Arial"/>
          <w:sz w:val="17"/>
          <w:szCs w:val="17"/>
          <w:color w:val="auto"/>
        </w:rPr>
      </w:pPr>
    </w:p>
    <w:p>
      <w:pPr>
        <w:jc w:val="both"/>
        <w:ind w:firstLine="1104"/>
        <w:spacing w:after="0" w:line="249" w:lineRule="auto"/>
        <w:tabs>
          <w:tab w:leader="none" w:pos="15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8"/>
          <w:szCs w:val="18"/>
          <w:u w:val="single" w:color="auto"/>
          <w:color w:val="auto"/>
        </w:rPr>
        <w:t>Non-Accepting Lender</w:t>
      </w:r>
      <w:r>
        <w:rPr>
          <w:rFonts w:ascii="Arial" w:cs="Arial" w:eastAsia="Arial" w:hAnsi="Arial"/>
          <w:sz w:val="18"/>
          <w:szCs w:val="18"/>
          <w:color w:val="auto"/>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61" w:lineRule="auto"/>
        <w:rPr>
          <w:sz w:val="20"/>
          <w:szCs w:val="20"/>
          <w:color w:val="auto"/>
        </w:rPr>
      </w:pPr>
      <w:r>
        <w:rPr>
          <w:rFonts w:ascii="Arial" w:cs="Arial" w:eastAsia="Arial" w:hAnsi="Arial"/>
          <w:sz w:val="17"/>
          <w:szCs w:val="17"/>
          <w:color w:val="auto"/>
        </w:rPr>
        <w:t>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spacing w:after="0" w:line="189" w:lineRule="exact"/>
        <w:rPr>
          <w:sz w:val="20"/>
          <w:szCs w:val="20"/>
          <w:color w:val="auto"/>
        </w:rPr>
      </w:pPr>
    </w:p>
    <w:p>
      <w:pPr>
        <w:ind w:left="1640" w:hanging="546"/>
        <w:spacing w:after="0"/>
        <w:tabs>
          <w:tab w:leader="none" w:pos="1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Notwithstanding anything to the contrary, this Section 2.24 shall supersede any provisions in Section 2.18 or Section 9.02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ARTICLE III</w:t>
      </w:r>
    </w:p>
    <w:p>
      <w:pPr>
        <w:spacing w:after="0" w:line="198"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Holdings and the Borrower represents and warrants to the Lenders that:</w:t>
      </w:r>
    </w:p>
    <w:p>
      <w:pPr>
        <w:spacing w:after="0" w:line="21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Organization; Powers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7"/>
          <w:szCs w:val="17"/>
          <w:color w:val="auto"/>
        </w:rPr>
        <w:t>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 (c) 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w:t>
      </w:r>
    </w:p>
    <w:p>
      <w:pPr>
        <w:spacing w:after="0" w:line="2" w:lineRule="exact"/>
        <w:rPr>
          <w:sz w:val="20"/>
          <w:szCs w:val="20"/>
          <w:color w:val="auto"/>
        </w:rPr>
      </w:pPr>
    </w:p>
    <w:p>
      <w:pPr>
        <w:ind w:firstLine="8"/>
        <w:spacing w:after="0" w:line="245" w:lineRule="auto"/>
        <w:tabs>
          <w:tab w:leader="none" w:pos="29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will not result in the creation or imposition of any Lien on any asset of Holdings, any Intermediate Parent, the Borrower or any Restricted Subsidiary(other than Liens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6" w:lineRule="auto"/>
        <w:rPr>
          <w:sz w:val="20"/>
          <w:szCs w:val="20"/>
          <w:color w:val="auto"/>
        </w:rPr>
      </w:pPr>
      <w:r>
        <w:rPr>
          <w:rFonts w:ascii="Arial" w:cs="Arial" w:eastAsia="Arial" w:hAnsi="Arial"/>
          <w:sz w:val="18"/>
          <w:szCs w:val="18"/>
          <w:color w:val="auto"/>
        </w:rPr>
        <w:t>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Condition; No Material Adverse Effect</w:t>
      </w:r>
      <w:r>
        <w:rPr>
          <w:rFonts w:ascii="Arial" w:cs="Arial" w:eastAsia="Arial" w:hAnsi="Arial"/>
          <w:sz w:val="16"/>
          <w:szCs w:val="16"/>
          <w:color w:val="auto"/>
        </w:rPr>
        <w:t>.</w:t>
      </w:r>
    </w:p>
    <w:p>
      <w:pPr>
        <w:spacing w:after="0" w:line="225" w:lineRule="exact"/>
        <w:rPr>
          <w:sz w:val="20"/>
          <w:szCs w:val="20"/>
          <w:color w:val="auto"/>
        </w:rPr>
      </w:pPr>
    </w:p>
    <w:p>
      <w:pPr>
        <w:jc w:val="both"/>
        <w:ind w:firstLine="1104"/>
        <w:spacing w:after="0" w:line="249" w:lineRule="auto"/>
        <w:tabs>
          <w:tab w:leader="none" w:pos="16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spacing w:after="0" w:line="194" w:lineRule="exact"/>
        <w:rPr>
          <w:rFonts w:ascii="Arial" w:cs="Arial" w:eastAsia="Arial" w:hAnsi="Arial"/>
          <w:sz w:val="18"/>
          <w:szCs w:val="18"/>
          <w:color w:val="auto"/>
        </w:rPr>
      </w:pPr>
    </w:p>
    <w:p>
      <w:pPr>
        <w:ind w:left="1520" w:hanging="426"/>
        <w:spacing w:after="0"/>
        <w:tabs>
          <w:tab w:leader="none" w:pos="1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Since the Effective Date, there has been no Material Adverse Effect.</w:t>
      </w:r>
    </w:p>
    <w:p>
      <w:pPr>
        <w:spacing w:after="0" w:line="21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p>
    <w:p>
      <w:pPr>
        <w:spacing w:after="0" w:line="225" w:lineRule="exact"/>
        <w:rPr>
          <w:sz w:val="20"/>
          <w:szCs w:val="20"/>
          <w:color w:val="auto"/>
        </w:rPr>
      </w:pPr>
    </w:p>
    <w:p>
      <w:pPr>
        <w:jc w:val="both"/>
        <w:ind w:firstLine="1104"/>
        <w:spacing w:after="0" w:line="303" w:lineRule="auto"/>
        <w:tabs>
          <w:tab w:leader="none" w:pos="154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spacing w:after="0" w:line="140" w:lineRule="exact"/>
        <w:rPr>
          <w:rFonts w:ascii="Arial" w:cs="Arial" w:eastAsia="Arial" w:hAnsi="Arial"/>
          <w:sz w:val="16"/>
          <w:szCs w:val="16"/>
          <w:color w:val="auto"/>
        </w:rPr>
      </w:pPr>
    </w:p>
    <w:p>
      <w:pPr>
        <w:jc w:val="both"/>
        <w:ind w:firstLine="1094"/>
        <w:spacing w:after="0" w:line="249" w:lineRule="auto"/>
        <w:tabs>
          <w:tab w:leader="none" w:pos="15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set forth on Schedule 3.06, and except with respect to any other matters that, individually or in the aggregate, would not reasonably be expected to result in a Material Adverse Effect, none of Holdings, any Intermediate Parent, the Borrower or any Restricted Subsidiary (i) 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Each of Holdings, each Intermediate Parent, the Borrower and its Restricted Subsidiaries is in compliance with (a) its Organizational 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w:t>
      </w:r>
    </w:p>
    <w:p>
      <w:pPr>
        <w:spacing w:after="0" w:line="19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None of the Loan Parties is required to register as an “investment company” under the Investment Company Act of 1940,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21" w:right="339" w:bottom="1440" w:gutter="0" w:footer="0" w:header="0"/>
        </w:sectPr>
      </w:pPr>
    </w:p>
    <w:bookmarkStart w:id="140" w:name="page141"/>
    <w:bookmarkEnd w:id="140"/>
    <w:p>
      <w:pPr>
        <w:ind w:left="1300"/>
        <w:spacing w:after="0"/>
        <w:tabs>
          <w:tab w:leader="none" w:pos="258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12"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u w:val="single" w:color="auto"/>
          <w:color w:val="auto"/>
        </w:rPr>
        <w:t>ERISA.</w:t>
      </w:r>
    </w:p>
    <w:p>
      <w:pPr>
        <w:spacing w:after="0" w:line="212" w:lineRule="exact"/>
        <w:rPr>
          <w:sz w:val="20"/>
          <w:szCs w:val="20"/>
          <w:color w:val="auto"/>
        </w:rPr>
      </w:pPr>
    </w:p>
    <w:p>
      <w:pPr>
        <w:ind w:firstLine="1104"/>
        <w:spacing w:after="0" w:line="277" w:lineRule="auto"/>
        <w:tabs>
          <w:tab w:leader="none" w:pos="164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156" w:lineRule="exact"/>
        <w:rPr>
          <w:rFonts w:ascii="Arial" w:cs="Arial" w:eastAsia="Arial" w:hAnsi="Arial"/>
          <w:sz w:val="18"/>
          <w:szCs w:val="18"/>
          <w:color w:val="auto"/>
        </w:rPr>
      </w:pPr>
    </w:p>
    <w:p>
      <w:pPr>
        <w:jc w:val="both"/>
        <w:ind w:firstLine="1094"/>
        <w:spacing w:after="0" w:line="282" w:lineRule="auto"/>
        <w:tabs>
          <w:tab w:leader="none" w:pos="159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w:t>
      </w:r>
    </w:p>
    <w:p>
      <w:pPr>
        <w:ind w:firstLine="8"/>
        <w:spacing w:after="0" w:line="245" w:lineRule="auto"/>
        <w:tabs>
          <w:tab w:leader="none" w:pos="26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any Loan Party nor, to the knowledge of Holdings and the Borrower, any ERISA Affiliate has engaged in a transaction that would reasonably be expected to be subject to Section 4069 or 4212(c) of ERISA.</w:t>
      </w:r>
    </w:p>
    <w:p>
      <w:pPr>
        <w:spacing w:after="0" w:line="197" w:lineRule="exact"/>
        <w:rPr>
          <w:rFonts w:ascii="Arial" w:cs="Arial" w:eastAsia="Arial" w:hAnsi="Arial"/>
          <w:sz w:val="18"/>
          <w:szCs w:val="18"/>
          <w:color w:val="auto"/>
        </w:rPr>
      </w:pPr>
    </w:p>
    <w:p>
      <w:pPr>
        <w:jc w:val="both"/>
        <w:ind w:firstLine="1104"/>
        <w:spacing w:after="0" w:line="278" w:lineRule="auto"/>
        <w:tabs>
          <w:tab w:leader="none" w:pos="1529"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 (iii) there are no pending or, to the knowledge of Holdings and the Borrower, threatened (in writing) claims, actions or lawsuits, or action by any Governmental Authority, with respect to any such plan.</w:t>
      </w:r>
    </w:p>
    <w:p>
      <w:pPr>
        <w:spacing w:after="0" w:line="200" w:lineRule="exact"/>
        <w:rPr>
          <w:sz w:val="20"/>
          <w:szCs w:val="20"/>
          <w:color w:val="auto"/>
        </w:rPr>
      </w:pPr>
    </w:p>
    <w:p>
      <w:pPr>
        <w:spacing w:after="0" w:line="2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21" w:right="339" w:bottom="1440" w:gutter="0" w:footer="0" w:header="0"/>
        </w:sectPr>
      </w:pPr>
    </w:p>
    <w:bookmarkStart w:id="141" w:name="page142"/>
    <w:bookmarkEnd w:id="141"/>
    <w:p>
      <w:pPr>
        <w:ind w:left="1300"/>
        <w:spacing w:after="0"/>
        <w:tabs>
          <w:tab w:leader="none" w:pos="258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Subsidiaries.</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As of the Effective Date, Schedule 3.12 sets forth the name of, and the ownership interest of Holdings and each of its Subsidiaries in, each Subsidiary of Holdings.</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8"/>
          <w:szCs w:val="18"/>
          <w:color w:val="auto"/>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 (c) 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Federal Reserve Regulations.</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None of Holdings, any Intermediate Parent,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The Borrower will use the proceeds of the (a) Term Loans made on the Effective Date to directly or indirectly finance the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and (c) First Lien Incremental Term Facilities, directly or indirectly, on or after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21" w:right="339" w:bottom="1440" w:gutter="0" w:footer="0" w:header="0"/>
        </w:sectPr>
      </w:pPr>
    </w:p>
    <w:bookmarkStart w:id="142" w:name="page143"/>
    <w:bookmarkEnd w:id="142"/>
    <w:p>
      <w:pPr>
        <w:spacing w:after="0" w:line="261" w:lineRule="auto"/>
        <w:rPr>
          <w:sz w:val="20"/>
          <w:szCs w:val="20"/>
          <w:color w:val="auto"/>
        </w:rPr>
      </w:pPr>
      <w:r>
        <w:rPr>
          <w:rFonts w:ascii="Arial" w:cs="Arial" w:eastAsia="Arial" w:hAnsi="Arial"/>
          <w:sz w:val="18"/>
          <w:szCs w:val="18"/>
          <w:color w:val="auto"/>
        </w:rPr>
        <w:t>Date, for general corporate purposes including capital expenditures, to fund Permitted Acquisitions, Permitted Investments, Restricted payments and other transactions not prohibited by this Agreement.</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Patriot Act; OFAC and FCPA</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88" w:lineRule="auto"/>
        <w:tabs>
          <w:tab w:leader="none" w:pos="155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Arial" w:cs="Arial" w:eastAsia="Arial" w:hAnsi="Arial"/>
          <w:sz w:val="16"/>
          <w:szCs w:val="16"/>
          <w:u w:val="single" w:color="auto"/>
          <w:color w:val="auto"/>
        </w:rPr>
        <w:t>FCPA</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firstLine="1094"/>
        <w:spacing w:after="0" w:line="256" w:lineRule="auto"/>
        <w:tabs>
          <w:tab w:leader="none" w:pos="152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the knowledge of Holdings, each of Holdings, the Borrower and the Restricted Subsidiaries is in compliance in all material respects with (i) applicable regulations of the United States Department of the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(ii) Title III of the USA Patriot Act and (iii) the FCPA.</w:t>
      </w:r>
    </w:p>
    <w:p>
      <w:pPr>
        <w:spacing w:after="0" w:line="174" w:lineRule="exact"/>
        <w:rPr>
          <w:rFonts w:ascii="Arial" w:cs="Arial" w:eastAsia="Arial" w:hAnsi="Arial"/>
          <w:sz w:val="18"/>
          <w:szCs w:val="18"/>
          <w:color w:val="auto"/>
        </w:rPr>
      </w:pPr>
    </w:p>
    <w:p>
      <w:pPr>
        <w:jc w:val="both"/>
        <w:ind w:firstLine="1104"/>
        <w:spacing w:after="0" w:line="303" w:lineRule="auto"/>
        <w:tabs>
          <w:tab w:leader="none" w:pos="152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spacing w:after="0" w:line="14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ARTICLE IV</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obligation of each Lender to make Loans and the obligations of each Issuing Bank to issue Letters of Credit hereunder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shall be subject to satisfaction of the following conditions (or waiver thereof in accordance with Section 9.02):</w:t>
      </w:r>
    </w:p>
    <w:p>
      <w:pPr>
        <w:spacing w:after="0" w:line="197" w:lineRule="exact"/>
        <w:rPr>
          <w:sz w:val="20"/>
          <w:szCs w:val="20"/>
          <w:color w:val="auto"/>
        </w:rPr>
      </w:pPr>
    </w:p>
    <w:p>
      <w:pPr>
        <w:jc w:val="both"/>
        <w:ind w:firstLine="1104"/>
        <w:spacing w:after="0" w:line="278" w:lineRule="auto"/>
        <w:tabs>
          <w:tab w:leader="none" w:pos="1662"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157" w:lineRule="exact"/>
        <w:rPr>
          <w:rFonts w:ascii="Arial" w:cs="Arial" w:eastAsia="Arial" w:hAnsi="Arial"/>
          <w:sz w:val="17"/>
          <w:szCs w:val="17"/>
          <w:color w:val="auto"/>
        </w:rPr>
      </w:pPr>
    </w:p>
    <w:p>
      <w:pPr>
        <w:jc w:val="both"/>
        <w:ind w:firstLine="1094"/>
        <w:spacing w:after="0" w:line="273" w:lineRule="auto"/>
        <w:tabs>
          <w:tab w:leader="none" w:pos="162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First Lien Administrative Agent shall have received a written opinion (addressed to the First Lien Administrative Agent, the Lenders and the Issuing Banks and dated the Effective Date) of (i) Cleary Gottlieb Steen &amp; Hamilton LLP, New York counsel for the Loan Parties and (ii) Richards, Layton &amp; Finger, P.A., Delaware counsel for the Loan Parties, in each case in form and substance reasonably satisfactory to the First Lien Administrative Agent. Each of Holdings and the Borrower hereby requests such counsel to deliver such opinions.</w:t>
      </w:r>
    </w:p>
    <w:p>
      <w:pPr>
        <w:spacing w:after="0" w:line="163" w:lineRule="exact"/>
        <w:rPr>
          <w:rFonts w:ascii="Arial" w:cs="Arial" w:eastAsia="Arial" w:hAnsi="Arial"/>
          <w:sz w:val="17"/>
          <w:szCs w:val="17"/>
          <w:color w:val="auto"/>
        </w:rPr>
      </w:pPr>
    </w:p>
    <w:p>
      <w:pPr>
        <w:jc w:val="both"/>
        <w:ind w:firstLine="1104"/>
        <w:spacing w:after="0" w:line="256" w:lineRule="auto"/>
        <w:tabs>
          <w:tab w:leader="none" w:pos="164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188" w:lineRule="exact"/>
        <w:rPr>
          <w:rFonts w:ascii="Arial" w:cs="Arial" w:eastAsia="Arial" w:hAnsi="Arial"/>
          <w:sz w:val="18"/>
          <w:szCs w:val="18"/>
          <w:color w:val="auto"/>
        </w:rPr>
      </w:pPr>
    </w:p>
    <w:p>
      <w:pPr>
        <w:jc w:val="both"/>
        <w:ind w:firstLine="1094"/>
        <w:spacing w:after="0" w:line="268" w:lineRule="auto"/>
        <w:tabs>
          <w:tab w:leader="none" w:pos="155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56" w:lineRule="auto"/>
        <w:rPr>
          <w:sz w:val="20"/>
          <w:szCs w:val="20"/>
          <w:color w:val="auto"/>
        </w:rPr>
      </w:pPr>
      <w:r>
        <w:rPr>
          <w:rFonts w:ascii="Arial" w:cs="Arial" w:eastAsia="Arial" w:hAnsi="Arial"/>
          <w:sz w:val="18"/>
          <w:szCs w:val="18"/>
          <w:color w:val="auto"/>
        </w:rPr>
        <w:t>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75" w:lineRule="exact"/>
        <w:rPr>
          <w:sz w:val="20"/>
          <w:szCs w:val="20"/>
          <w:color w:val="auto"/>
        </w:rPr>
      </w:pPr>
    </w:p>
    <w:p>
      <w:pPr>
        <w:jc w:val="both"/>
        <w:ind w:firstLine="1104"/>
        <w:spacing w:after="0" w:line="249" w:lineRule="auto"/>
        <w:tabs>
          <w:tab w:leader="none" w:pos="1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spacing w:after="0" w:line="195" w:lineRule="exact"/>
        <w:rPr>
          <w:rFonts w:ascii="Arial" w:cs="Arial" w:eastAsia="Arial" w:hAnsi="Arial"/>
          <w:sz w:val="18"/>
          <w:szCs w:val="18"/>
          <w:color w:val="auto"/>
        </w:rPr>
      </w:pPr>
    </w:p>
    <w:p>
      <w:pPr>
        <w:jc w:val="both"/>
        <w:ind w:firstLine="1124"/>
        <w:spacing w:after="0" w:line="256" w:lineRule="auto"/>
        <w:tabs>
          <w:tab w:leader="none" w:pos="1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174" w:lineRule="exact"/>
        <w:rPr>
          <w:rFonts w:ascii="Arial" w:cs="Arial" w:eastAsia="Arial" w:hAnsi="Arial"/>
          <w:sz w:val="18"/>
          <w:szCs w:val="18"/>
          <w:color w:val="auto"/>
        </w:rPr>
      </w:pPr>
    </w:p>
    <w:p>
      <w:pPr>
        <w:ind w:left="1580" w:hanging="486"/>
        <w:spacing w:after="0"/>
        <w:tabs>
          <w:tab w:leader="none" w:pos="15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representations and warranties set forth in Article III shall be true and correct in all material respects on and as of the Effective</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09" w:lineRule="exact"/>
        <w:rPr>
          <w:rFonts w:ascii="Arial" w:cs="Arial" w:eastAsia="Arial" w:hAnsi="Arial"/>
          <w:sz w:val="16"/>
          <w:szCs w:val="16"/>
          <w:color w:val="auto"/>
        </w:rPr>
      </w:pPr>
    </w:p>
    <w:p>
      <w:pPr>
        <w:ind w:firstLine="1094"/>
        <w:spacing w:after="0" w:line="261" w:lineRule="auto"/>
        <w:tabs>
          <w:tab w:leader="none" w:pos="155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Refinancing shall have been consummated, or substantially concurrently with the initial funding of Loans on the Effective Date, shall be consummated.</w:t>
      </w:r>
    </w:p>
    <w:p>
      <w:pPr>
        <w:spacing w:after="0" w:line="184" w:lineRule="exact"/>
        <w:rPr>
          <w:rFonts w:ascii="Arial" w:cs="Arial" w:eastAsia="Arial" w:hAnsi="Arial"/>
          <w:sz w:val="18"/>
          <w:szCs w:val="18"/>
          <w:color w:val="auto"/>
        </w:rPr>
      </w:pPr>
    </w:p>
    <w:p>
      <w:pPr>
        <w:ind w:left="1620" w:hanging="486"/>
        <w:spacing w:after="0"/>
        <w:tabs>
          <w:tab w:leader="none" w:pos="16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First Lien Administrative Agent shall have received a request for Borrowing that complies with the requirements set forth in</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2.03.</w:t>
      </w:r>
    </w:p>
    <w:p>
      <w:pPr>
        <w:spacing w:after="0" w:line="209" w:lineRule="exact"/>
        <w:rPr>
          <w:rFonts w:ascii="Arial" w:cs="Arial" w:eastAsia="Arial" w:hAnsi="Arial"/>
          <w:sz w:val="17"/>
          <w:szCs w:val="17"/>
          <w:color w:val="auto"/>
        </w:rPr>
      </w:pPr>
    </w:p>
    <w:p>
      <w:pPr>
        <w:ind w:firstLine="1134"/>
        <w:spacing w:after="0" w:line="261" w:lineRule="auto"/>
        <w:tabs>
          <w:tab w:leader="none" w:pos="15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evidence reasonably satisfactory to the First Lien Administrative Agent that the Second Lien Debt Documents shall have been executed and delivered by all of the loan parties stated to be party thereto.</w:t>
      </w:r>
    </w:p>
    <w:p>
      <w:pPr>
        <w:spacing w:after="0" w:line="184" w:lineRule="exact"/>
        <w:rPr>
          <w:rFonts w:ascii="Arial" w:cs="Arial" w:eastAsia="Arial" w:hAnsi="Arial"/>
          <w:sz w:val="18"/>
          <w:szCs w:val="18"/>
          <w:color w:val="auto"/>
        </w:rPr>
      </w:pPr>
    </w:p>
    <w:p>
      <w:pPr>
        <w:ind w:firstLine="1094"/>
        <w:spacing w:after="0" w:line="324" w:lineRule="auto"/>
        <w:tabs>
          <w:tab w:leader="none" w:pos="15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spacing w:after="0" w:line="137" w:lineRule="exact"/>
        <w:rPr>
          <w:rFonts w:ascii="Arial" w:cs="Arial" w:eastAsia="Arial" w:hAnsi="Arial"/>
          <w:sz w:val="16"/>
          <w:szCs w:val="16"/>
          <w:color w:val="auto"/>
        </w:rPr>
      </w:pPr>
    </w:p>
    <w:p>
      <w:pPr>
        <w:jc w:val="both"/>
        <w:ind w:firstLine="1134"/>
        <w:spacing w:after="0" w:line="283" w:lineRule="auto"/>
        <w:tabs>
          <w:tab w:leader="none" w:pos="158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First Lien Administrative Agent and the Joint Lead Arrangers shall have received, at least three (3) Business Days prior to the Effective Date, (A) all documentation and other information about the Loan Parties as shall have been reasonably requested in writing at least ten (10) 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w:t>
      </w:r>
    </w:p>
    <w:p>
      <w:pPr>
        <w:spacing w:after="0" w:line="156"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color w:val="auto"/>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154" w:lineRule="exact"/>
        <w:rPr>
          <w:sz w:val="20"/>
          <w:szCs w:val="20"/>
          <w:color w:val="auto"/>
        </w:rPr>
      </w:pPr>
    </w:p>
    <w:p>
      <w:pPr>
        <w:jc w:val="both"/>
        <w:ind w:firstLine="248"/>
        <w:spacing w:after="0" w:line="249" w:lineRule="auto"/>
        <w:rPr>
          <w:sz w:val="20"/>
          <w:szCs w:val="20"/>
          <w:color w:val="auto"/>
        </w:rPr>
      </w:pPr>
      <w:r>
        <w:rPr>
          <w:rFonts w:ascii="Arial" w:cs="Arial" w:eastAsia="Arial" w:hAnsi="Arial"/>
          <w:sz w:val="18"/>
          <w:szCs w:val="18"/>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21" w:right="339" w:bottom="1440" w:gutter="0" w:footer="0" w:header="0"/>
        </w:sectPr>
      </w:pPr>
    </w:p>
    <w:bookmarkStart w:id="144" w:name="page145"/>
    <w:bookmarkEnd w:id="144"/>
    <w:p>
      <w:pPr>
        <w:ind w:left="1300"/>
        <w:spacing w:after="0"/>
        <w:tabs>
          <w:tab w:leader="none" w:pos="26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Each Credit Event</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spacing w:after="0" w:line="195" w:lineRule="exact"/>
        <w:rPr>
          <w:sz w:val="20"/>
          <w:szCs w:val="20"/>
          <w:color w:val="auto"/>
        </w:rPr>
      </w:pPr>
    </w:p>
    <w:p>
      <w:pPr>
        <w:jc w:val="both"/>
        <w:ind w:left="660" w:firstLine="644"/>
        <w:spacing w:after="0" w:line="261" w:lineRule="auto"/>
        <w:tabs>
          <w:tab w:leader="none" w:pos="170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to the extent that such representations and warranties specifically refer to an earlier date, they shall be true and correct in all material respects as of such earlier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w:t>
      </w:r>
    </w:p>
    <w:p>
      <w:pPr>
        <w:spacing w:after="0" w:line="185" w:lineRule="exact"/>
        <w:rPr>
          <w:rFonts w:ascii="Arial" w:cs="Arial" w:eastAsia="Arial" w:hAnsi="Arial"/>
          <w:sz w:val="17"/>
          <w:szCs w:val="17"/>
          <w:color w:val="auto"/>
        </w:rPr>
      </w:pPr>
    </w:p>
    <w:p>
      <w:pPr>
        <w:ind w:left="660" w:right="80" w:firstLine="644"/>
        <w:spacing w:after="0" w:line="249" w:lineRule="auto"/>
        <w:tabs>
          <w:tab w:leader="none" w:pos="169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Each Borrowing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spacing w:after="0" w:line="18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ARTICLE V</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From and after the Effective Date and until the Termination Date, each of Holdings and the Borrower covenants and agrees with the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will furnish to the First Lien Administrative Agent, on behalf of each Lender:</w:t>
      </w:r>
    </w:p>
    <w:p>
      <w:pPr>
        <w:spacing w:after="0" w:line="225" w:lineRule="exact"/>
        <w:rPr>
          <w:sz w:val="20"/>
          <w:szCs w:val="20"/>
          <w:color w:val="auto"/>
        </w:rPr>
      </w:pPr>
    </w:p>
    <w:p>
      <w:pPr>
        <w:jc w:val="both"/>
        <w:ind w:left="660" w:firstLine="644"/>
        <w:spacing w:after="0" w:line="280" w:lineRule="auto"/>
        <w:tabs>
          <w:tab w:leader="none" w:pos="173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the Financial Performance Covenant or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78" w:lineRule="auto"/>
        <w:rPr>
          <w:sz w:val="20"/>
          <w:szCs w:val="20"/>
          <w:color w:val="auto"/>
        </w:rPr>
      </w:pPr>
      <w:r>
        <w:rPr>
          <w:rFonts w:ascii="Arial" w:cs="Arial" w:eastAsia="Arial" w:hAnsi="Arial"/>
          <w:sz w:val="17"/>
          <w:szCs w:val="17"/>
          <w:color w:val="auto"/>
        </w:rPr>
        <w:t>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158" w:lineRule="exact"/>
        <w:rPr>
          <w:sz w:val="20"/>
          <w:szCs w:val="20"/>
          <w:color w:val="auto"/>
        </w:rPr>
      </w:pPr>
    </w:p>
    <w:p>
      <w:pPr>
        <w:jc w:val="both"/>
        <w:ind w:firstLine="644"/>
        <w:spacing w:after="0" w:line="262" w:lineRule="auto"/>
        <w:tabs>
          <w:tab w:leader="none" w:pos="106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spacing w:after="0" w:line="171" w:lineRule="exact"/>
        <w:rPr>
          <w:rFonts w:ascii="Arial" w:cs="Arial" w:eastAsia="Arial" w:hAnsi="Arial"/>
          <w:sz w:val="17"/>
          <w:szCs w:val="17"/>
          <w:color w:val="auto"/>
        </w:rPr>
      </w:pPr>
    </w:p>
    <w:p>
      <w:pPr>
        <w:jc w:val="both"/>
        <w:ind w:firstLine="644"/>
        <w:spacing w:after="0" w:line="256" w:lineRule="auto"/>
        <w:tabs>
          <w:tab w:leader="none" w:pos="104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spacing w:after="0" w:line="188" w:lineRule="exact"/>
        <w:rPr>
          <w:rFonts w:ascii="Arial" w:cs="Arial" w:eastAsia="Arial" w:hAnsi="Arial"/>
          <w:sz w:val="18"/>
          <w:szCs w:val="18"/>
          <w:color w:val="auto"/>
        </w:rPr>
      </w:pPr>
    </w:p>
    <w:p>
      <w:pPr>
        <w:jc w:val="both"/>
        <w:ind w:firstLine="644"/>
        <w:spacing w:after="0" w:line="278" w:lineRule="auto"/>
        <w:tabs>
          <w:tab w:leader="none" w:pos="112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not later than five days after any delivery of financial statements under paragraph (a) or (b) above,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spacing w:after="0" w:line="174" w:lineRule="exact"/>
        <w:rPr>
          <w:rFonts w:ascii="Arial" w:cs="Arial" w:eastAsia="Arial" w:hAnsi="Arial"/>
          <w:sz w:val="16"/>
          <w:szCs w:val="16"/>
          <w:color w:val="auto"/>
        </w:rPr>
      </w:pPr>
    </w:p>
    <w:p>
      <w:pPr>
        <w:jc w:val="both"/>
        <w:ind w:firstLine="644"/>
        <w:spacing w:after="0" w:line="263" w:lineRule="auto"/>
        <w:tabs>
          <w:tab w:leader="none" w:pos="105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of this paragraph shall be suspended upon and following the filing for an IPO;</w:t>
      </w:r>
    </w:p>
    <w:p>
      <w:pPr>
        <w:spacing w:after="0" w:line="186" w:lineRule="exact"/>
        <w:rPr>
          <w:rFonts w:ascii="Arial" w:cs="Arial" w:eastAsia="Arial" w:hAnsi="Arial"/>
          <w:sz w:val="17"/>
          <w:szCs w:val="17"/>
          <w:color w:val="auto"/>
        </w:rPr>
      </w:pPr>
    </w:p>
    <w:p>
      <w:pPr>
        <w:jc w:val="both"/>
        <w:ind w:firstLine="644"/>
        <w:spacing w:after="0" w:line="290" w:lineRule="auto"/>
        <w:tabs>
          <w:tab w:leader="none" w:pos="111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spacing w:after="0" w:line="150" w:lineRule="exact"/>
        <w:rPr>
          <w:rFonts w:ascii="Arial" w:cs="Arial" w:eastAsia="Arial" w:hAnsi="Arial"/>
          <w:sz w:val="16"/>
          <w:szCs w:val="16"/>
          <w:color w:val="auto"/>
        </w:rPr>
      </w:pPr>
    </w:p>
    <w:p>
      <w:pPr>
        <w:ind w:firstLine="644"/>
        <w:spacing w:after="0" w:line="277" w:lineRule="auto"/>
        <w:tabs>
          <w:tab w:leader="none" w:pos="10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Holdings, any Intermediate Parent,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580"/>
          </w:cols>
          <w:pgMar w:left="980" w:top="1421" w:right="339" w:bottom="1440" w:gutter="0" w:footer="0" w:header="0"/>
        </w:sectPr>
      </w:pPr>
    </w:p>
    <w:bookmarkStart w:id="146" w:name="page147"/>
    <w:bookmarkEnd w:id="146"/>
    <w:p>
      <w:pPr>
        <w:ind w:left="660"/>
        <w:spacing w:after="0" w:line="261" w:lineRule="auto"/>
        <w:rPr>
          <w:sz w:val="20"/>
          <w:szCs w:val="20"/>
          <w:color w:val="auto"/>
        </w:rPr>
      </w:pPr>
      <w:r>
        <w:rPr>
          <w:rFonts w:ascii="Arial" w:cs="Arial" w:eastAsia="Arial" w:hAnsi="Arial"/>
          <w:sz w:val="18"/>
          <w:szCs w:val="18"/>
          <w:color w:val="auto"/>
        </w:rPr>
        <w:t>Restricted Subsidiary, or compliance with the terms of any First Lien Loan Document, as the First Lien Administrative Agent on its own behalf or on behalf of any Lender may reasonably request in writing; and</w:t>
      </w:r>
    </w:p>
    <w:p>
      <w:pPr>
        <w:spacing w:after="0" w:line="184" w:lineRule="exact"/>
        <w:rPr>
          <w:sz w:val="20"/>
          <w:szCs w:val="20"/>
          <w:color w:val="auto"/>
        </w:rPr>
      </w:pPr>
    </w:p>
    <w:p>
      <w:pPr>
        <w:jc w:val="both"/>
        <w:ind w:left="660" w:firstLine="644"/>
        <w:spacing w:after="0" w:line="249" w:lineRule="auto"/>
        <w:tabs>
          <w:tab w:leader="none" w:pos="175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at the request of the First Lien Administrative Agent (which shall be no more than quarterly), and following the delivery of each set of consolidated financial statements referred to in clauses (a) and (b) above, the Borrower shall use commercially reasonable efforts to hold a conference call for the Lenders at a time reasonably acceptable to the Borrower, which conference call shall be accompanied by related presentation materials prepared by the Borrower.</w:t>
      </w:r>
    </w:p>
    <w:p>
      <w:pPr>
        <w:spacing w:after="0" w:line="19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6"/>
          <w:szCs w:val="16"/>
          <w:color w:val="auto"/>
        </w:rPr>
        <w:t xml:space="preserve">Notwithstanding the foregoing, the obligations in paragraphs (a) and (b) of this Section 5.01 may be satisfied with respect to financial information of the Borrower and its Subsidiaries by furnishing (A) the Form 10-K or 10-Q (or the equivalent), as applicable, of the Borrower (or a parent company thereof) filed with the SEC within the applicable time periods required by applicable law and regulations (including any extended deadlines available thereunder in connection with an IPO) or (B) the applicable financial statements of Holdings (or any Intermediate Parent or any direct or indirect parent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Subsidiaries on a standalone basis, on the other hand, 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or potential inability to satisfy the Financial Performance Covenant on a future date or in a future period ).</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Schedule 9.01 (or otherwise notified pursuant to Section 9.01(d)); or (ii) on which such documents are posted on the Borrower’s behalf on an Internet or intranet website, if any, to which each Lender and the First Lien Administrative Agent have access (whether a commercial, third-party website or whether sponsored by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paper copies of such documents to the First Lien Administrative Agent upon its reasonable request until a written notice to cease delivering paper copies is given by the First Lien Administrative Agent and (ii) the Borrower shall notify the First Lien Administrative Agent (by fax or electronic mail) of the posting of any such documents and upon its reasonable request, provide to the First Lien Administrative Agent by electronic mail electronic versions (i.e., soft copies) of such documents. The First Lien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9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21" w:right="339" w:bottom="1440" w:gutter="0" w:footer="0" w:header="0"/>
        </w:sectPr>
      </w:pPr>
    </w:p>
    <w:bookmarkStart w:id="147" w:name="page148"/>
    <w:bookmarkEnd w:id="147"/>
    <w:p>
      <w:pPr>
        <w:jc w:val="both"/>
        <w:ind w:firstLine="1296"/>
        <w:spacing w:after="0" w:line="275" w:lineRule="auto"/>
        <w:rPr>
          <w:sz w:val="20"/>
          <w:szCs w:val="20"/>
          <w:color w:val="auto"/>
        </w:rPr>
      </w:pPr>
      <w:r>
        <w:rPr>
          <w:rFonts w:ascii="Arial" w:cs="Arial" w:eastAsia="Arial" w:hAnsi="Arial"/>
          <w:sz w:val="16"/>
          <w:szCs w:val="16"/>
          <w:color w:val="auto"/>
        </w:rPr>
        <w:t>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 (c) and (d) above are hereby deemed to be suitable for distribution, and to be made available, to all Lenders and may be treated by the First Lien Administrative Agent and the Lenders as not containing any Material Non-Public Information.</w:t>
      </w:r>
    </w:p>
    <w:p>
      <w:pPr>
        <w:spacing w:after="0" w:line="17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6"/>
          <w:szCs w:val="16"/>
          <w:color w:val="auto"/>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spacing w:after="0" w:line="138" w:lineRule="exact"/>
        <w:rPr>
          <w:sz w:val="20"/>
          <w:szCs w:val="20"/>
          <w:color w:val="auto"/>
        </w:rPr>
      </w:pPr>
    </w:p>
    <w:p>
      <w:pPr>
        <w:ind w:left="1680" w:hanging="376"/>
        <w:spacing w:after="0"/>
        <w:tabs>
          <w:tab w:leader="none" w:pos="1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11" w:lineRule="exact"/>
        <w:rPr>
          <w:rFonts w:ascii="Arial" w:cs="Arial" w:eastAsia="Arial" w:hAnsi="Arial"/>
          <w:sz w:val="18"/>
          <w:szCs w:val="18"/>
          <w:color w:val="auto"/>
        </w:rPr>
      </w:pPr>
    </w:p>
    <w:p>
      <w:pPr>
        <w:jc w:val="both"/>
        <w:ind w:left="660" w:firstLine="644"/>
        <w:spacing w:after="0" w:line="249" w:lineRule="auto"/>
        <w:tabs>
          <w:tab w:leader="none" w:pos="173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spacing w:after="0" w:line="194" w:lineRule="exact"/>
        <w:rPr>
          <w:rFonts w:ascii="Arial" w:cs="Arial" w:eastAsia="Arial" w:hAnsi="Arial"/>
          <w:sz w:val="18"/>
          <w:szCs w:val="18"/>
          <w:color w:val="auto"/>
        </w:rPr>
      </w:pPr>
    </w:p>
    <w:p>
      <w:pPr>
        <w:ind w:left="660" w:firstLine="644"/>
        <w:spacing w:after="0" w:line="261" w:lineRule="auto"/>
        <w:tabs>
          <w:tab w:leader="none" w:pos="176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occurrence of any ERISA Event that would reasonably be expected, individually or in the aggregate, to result in a Material Adverse Effect.</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Information Regarding Collateral</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67" w:lineRule="auto"/>
        <w:tabs>
          <w:tab w:leader="none" w:pos="154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21" w:right="339" w:bottom="1440" w:gutter="0" w:footer="0" w:header="0"/>
        </w:sectPr>
      </w:pPr>
    </w:p>
    <w:bookmarkStart w:id="148" w:name="page149"/>
    <w:bookmarkEnd w:id="148"/>
    <w:p>
      <w:pPr>
        <w:jc w:val="both"/>
        <w:ind w:firstLine="1094"/>
        <w:spacing w:after="0" w:line="247" w:lineRule="auto"/>
        <w:tabs>
          <w:tab w:leader="none" w:pos="15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amalgamation, consolidation, liquidation or dissolution permitted under Section 6.03 or any Disposition permitted by Section 6.05.</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Payment of Taxes, etc.</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firstLine="1104"/>
        <w:spacing w:after="0" w:line="260" w:lineRule="auto"/>
        <w:tabs>
          <w:tab w:leader="none" w:pos="158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 (ii) in the case of each property insurance policy belonging to or insuring a Restricted Subsidiary organized or existing under the laws of a Covered Jurisdiction, include a loss payable clause or mortgagee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21" w:right="339" w:bottom="1440" w:gutter="0" w:footer="0" w:header="0"/>
        </w:sectPr>
      </w:pPr>
    </w:p>
    <w:bookmarkStart w:id="149" w:name="page150"/>
    <w:bookmarkEnd w:id="149"/>
    <w:p>
      <w:pPr>
        <w:spacing w:after="0" w:line="261" w:lineRule="auto"/>
        <w:rPr>
          <w:sz w:val="20"/>
          <w:szCs w:val="20"/>
          <w:color w:val="auto"/>
        </w:rPr>
      </w:pPr>
      <w:r>
        <w:rPr>
          <w:rFonts w:ascii="Arial" w:cs="Arial" w:eastAsia="Arial" w:hAnsi="Arial"/>
          <w:sz w:val="18"/>
          <w:szCs w:val="18"/>
          <w:color w:val="auto"/>
        </w:rPr>
        <w:t>endorsement, as applicable that names the First Lien Collateral Agent, on behalf of the Secured Parties, as the loss payee or mortgagee, as applicable, thereunder.</w:t>
      </w:r>
    </w:p>
    <w:p>
      <w:pPr>
        <w:spacing w:after="0" w:line="184" w:lineRule="exact"/>
        <w:rPr>
          <w:sz w:val="20"/>
          <w:szCs w:val="20"/>
          <w:color w:val="auto"/>
        </w:rPr>
      </w:pPr>
    </w:p>
    <w:p>
      <w:pPr>
        <w:jc w:val="both"/>
        <w:ind w:firstLine="1094"/>
        <w:spacing w:after="0" w:line="283" w:lineRule="auto"/>
        <w:tabs>
          <w:tab w:leader="none" w:pos="155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Books and Records; Inspection and Audit Rights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6"/>
          <w:szCs w:val="16"/>
          <w:color w:val="auto"/>
        </w:rPr>
        <w:t xml:space="preserve">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14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The Borrower will use the proceeds of the Term Loans, the Revolving Loans, the Swingline Loans and the Letters of Credit solely in accordance with Section 3.16.</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Additional Subsidiaries.</w:t>
      </w:r>
    </w:p>
    <w:p>
      <w:pPr>
        <w:spacing w:after="0" w:line="212" w:lineRule="exact"/>
        <w:rPr>
          <w:sz w:val="20"/>
          <w:szCs w:val="20"/>
          <w:color w:val="auto"/>
        </w:rPr>
      </w:pPr>
    </w:p>
    <w:p>
      <w:pPr>
        <w:jc w:val="both"/>
        <w:ind w:firstLine="1104"/>
        <w:spacing w:after="0" w:line="256" w:lineRule="auto"/>
        <w:tabs>
          <w:tab w:leader="none" w:pos="155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9" w:lineRule="auto"/>
        <w:rPr>
          <w:sz w:val="20"/>
          <w:szCs w:val="20"/>
          <w:color w:val="auto"/>
        </w:rPr>
      </w:pPr>
      <w:r>
        <w:rPr>
          <w:rFonts w:ascii="Arial" w:cs="Arial" w:eastAsia="Arial" w:hAnsi="Arial"/>
          <w:sz w:val="17"/>
          <w:szCs w:val="17"/>
          <w:color w:val="auto"/>
        </w:rPr>
        <w:t>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179" w:lineRule="exact"/>
        <w:rPr>
          <w:sz w:val="20"/>
          <w:szCs w:val="20"/>
          <w:color w:val="auto"/>
        </w:rPr>
      </w:pPr>
    </w:p>
    <w:p>
      <w:pPr>
        <w:jc w:val="both"/>
        <w:ind w:firstLine="1094"/>
        <w:spacing w:after="0" w:line="254" w:lineRule="auto"/>
        <w:tabs>
          <w:tab w:leader="none" w:pos="16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176" w:lineRule="exact"/>
        <w:rPr>
          <w:rFonts w:ascii="Arial" w:cs="Arial" w:eastAsia="Arial" w:hAnsi="Arial"/>
          <w:sz w:val="18"/>
          <w:szCs w:val="18"/>
          <w:color w:val="auto"/>
        </w:rPr>
      </w:pPr>
    </w:p>
    <w:p>
      <w:pPr>
        <w:jc w:val="both"/>
        <w:ind w:firstLine="1104"/>
        <w:spacing w:after="0" w:line="254" w:lineRule="auto"/>
        <w:tabs>
          <w:tab w:leader="none" w:pos="157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Notwithstanding the foregoing, in the event any Material Real Property would be required to be mortgaged pursuant to this 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12" w:lineRule="exact"/>
        <w:rPr>
          <w:sz w:val="20"/>
          <w:szCs w:val="20"/>
          <w:color w:val="auto"/>
        </w:rPr>
      </w:pPr>
    </w:p>
    <w:p>
      <w:pPr>
        <w:jc w:val="both"/>
        <w:ind w:firstLine="1104"/>
        <w:spacing w:after="0" w:line="249" w:lineRule="auto"/>
        <w:tabs>
          <w:tab w:leader="none" w:pos="157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195" w:lineRule="exact"/>
        <w:rPr>
          <w:rFonts w:ascii="Arial" w:cs="Arial" w:eastAsia="Arial" w:hAnsi="Arial"/>
          <w:sz w:val="18"/>
          <w:szCs w:val="18"/>
          <w:color w:val="auto"/>
        </w:rPr>
      </w:pPr>
    </w:p>
    <w:p>
      <w:pPr>
        <w:jc w:val="both"/>
        <w:ind w:firstLine="1094"/>
        <w:spacing w:after="0" w:line="260" w:lineRule="auto"/>
        <w:tabs>
          <w:tab w:leader="none" w:pos="152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21" w:right="3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color w:val="auto"/>
        </w:rPr>
        <w:t>acquisition of such Material Real Property or such longer time period as agreed by the First Lien Administrative Agent in its reasonable discretion.</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 xml:space="preserve">The Borrower may at any time after the Effective Date designate any Restricted Subsidiary as an Unrestricted Subsidiary or any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the Second Lien Notes or any other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w:t>
      </w:r>
    </w:p>
    <w:p>
      <w:pPr>
        <w:spacing w:after="0" w:line="1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Certain Post-Closing Obligations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Maintenance of Rating of Borrower and the Facilities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u w:val="single" w:color="auto"/>
          <w:color w:val="auto"/>
        </w:rPr>
        <w:t>Lines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ARTICLE VI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From and after the Effective Date and until the Termination Date, each of Holdings (with respect to Section 6.03(b) and (c) only)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 covenants and agrees with the Lenders that:</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Indebtedness; Certain Equity Securities</w:t>
      </w:r>
      <w:r>
        <w:rPr>
          <w:rFonts w:ascii="Arial" w:cs="Arial" w:eastAsia="Arial" w:hAnsi="Arial"/>
          <w:sz w:val="16"/>
          <w:szCs w:val="16"/>
          <w:color w:val="auto"/>
        </w:rPr>
        <w:t>.</w:t>
      </w:r>
    </w:p>
    <w:p>
      <w:pPr>
        <w:spacing w:after="0" w:line="212" w:lineRule="exact"/>
        <w:rPr>
          <w:sz w:val="20"/>
          <w:szCs w:val="20"/>
          <w:color w:val="auto"/>
        </w:rPr>
      </w:pPr>
    </w:p>
    <w:p>
      <w:pPr>
        <w:ind w:left="1600" w:hanging="496"/>
        <w:spacing w:after="0"/>
        <w:tabs>
          <w:tab w:leader="none" w:pos="16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Borrower will not, and will not permit any Restricted Subsidiary to, create, incur, assume or permit to exist any Indebtedness,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21" w:right="339" w:bottom="1440" w:gutter="0" w:footer="0" w:header="0"/>
        </w:sectPr>
      </w:pPr>
    </w:p>
    <w:bookmarkStart w:id="152" w:name="page153"/>
    <w:bookmarkEnd w:id="152"/>
    <w:p>
      <w:pPr>
        <w:ind w:left="80" w:firstLine="729"/>
        <w:spacing w:after="0" w:line="261" w:lineRule="auto"/>
        <w:tabs>
          <w:tab w:leader="none" w:pos="130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Indebtedness of the Borrower and any of the Restricted Subsidiaries under the First Lien Loan Documents and the Second Lien Debt Documents (including any Indebtedness incurred pursuant to Section 2.20 or 2.21);</w:t>
      </w:r>
    </w:p>
    <w:p>
      <w:pPr>
        <w:spacing w:after="0" w:line="184" w:lineRule="exact"/>
        <w:rPr>
          <w:rFonts w:ascii="Arial" w:cs="Arial" w:eastAsia="Arial" w:hAnsi="Arial"/>
          <w:sz w:val="18"/>
          <w:szCs w:val="18"/>
          <w:color w:val="auto"/>
        </w:rPr>
      </w:pPr>
    </w:p>
    <w:p>
      <w:pPr>
        <w:ind w:left="80" w:firstLine="679"/>
        <w:spacing w:after="0" w:line="261" w:lineRule="auto"/>
        <w:tabs>
          <w:tab w:leader="none" w:pos="128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Indebtedness, including intercompany Indebtedness, outstanding on the Effective Date and listed on Schedule 6.01, and any Permitted Refinancing thereof;</w:t>
      </w:r>
    </w:p>
    <w:p>
      <w:pPr>
        <w:spacing w:after="0" w:line="184" w:lineRule="exact"/>
        <w:rPr>
          <w:rFonts w:ascii="Arial" w:cs="Arial" w:eastAsia="Arial" w:hAnsi="Arial"/>
          <w:sz w:val="18"/>
          <w:szCs w:val="18"/>
          <w:color w:val="auto"/>
        </w:rPr>
      </w:pPr>
    </w:p>
    <w:p>
      <w:pPr>
        <w:jc w:val="both"/>
        <w:ind w:firstLine="629"/>
        <w:spacing w:after="0" w:line="283" w:lineRule="auto"/>
        <w:tabs>
          <w:tab w:leader="none" w:pos="138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Guarantees by the Borrower and any of the Restricted Subsidiaries in respect of Indebtedness of the Borrower or any Restricted Subsidiary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Guarantee is otherwise permitted by Section 6.04, (B) no Guarantee by any Restricted Subsidiary of any Junior Financing or the Second Lien Facilities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169" w:lineRule="exact"/>
        <w:rPr>
          <w:rFonts w:ascii="Arial" w:cs="Arial" w:eastAsia="Arial" w:hAnsi="Arial"/>
          <w:sz w:val="16"/>
          <w:szCs w:val="16"/>
          <w:color w:val="auto"/>
        </w:rPr>
      </w:pPr>
    </w:p>
    <w:p>
      <w:pPr>
        <w:jc w:val="both"/>
        <w:ind w:firstLine="638"/>
        <w:spacing w:after="0" w:line="244" w:lineRule="auto"/>
        <w:tabs>
          <w:tab w:leader="none" w:pos="139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Indebtedness of the Borrower owing to any Restricted Subsidiary or of any Restricted Subsidiary owing to any other Restricted Subsidiary or the Borrower, to the extent permitted by Section 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200" w:lineRule="exact"/>
        <w:rPr>
          <w:rFonts w:ascii="Arial" w:cs="Arial" w:eastAsia="Arial" w:hAnsi="Arial"/>
          <w:sz w:val="18"/>
          <w:szCs w:val="18"/>
          <w:color w:val="auto"/>
        </w:rPr>
      </w:pPr>
    </w:p>
    <w:p>
      <w:pPr>
        <w:jc w:val="both"/>
        <w:ind w:firstLine="688"/>
        <w:spacing w:after="0" w:line="245" w:lineRule="auto"/>
        <w:tabs>
          <w:tab w:leader="none" w:pos="14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$80,000,000 and (B) 20% of Consolidated EBITDA for the most recently ended Test Period as of such time;</w:t>
      </w:r>
    </w:p>
    <w:p>
      <w:pPr>
        <w:spacing w:after="0" w:line="186" w:lineRule="exact"/>
        <w:rPr>
          <w:rFonts w:ascii="Arial" w:cs="Arial" w:eastAsia="Arial" w:hAnsi="Arial"/>
          <w:sz w:val="18"/>
          <w:szCs w:val="18"/>
          <w:color w:val="auto"/>
        </w:rPr>
      </w:pPr>
    </w:p>
    <w:p>
      <w:pPr>
        <w:ind w:left="1260" w:hanging="622"/>
        <w:spacing w:after="0"/>
        <w:tabs>
          <w:tab w:leader="none" w:pos="12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Indebtedness in respect of Swap Agreements incurred in the ordinary course of business and not for speculative purposes;</w:t>
      </w:r>
    </w:p>
    <w:p>
      <w:pPr>
        <w:spacing w:after="0" w:line="236" w:lineRule="exact"/>
        <w:rPr>
          <w:rFonts w:ascii="Arial" w:cs="Arial" w:eastAsia="Arial" w:hAnsi="Arial"/>
          <w:sz w:val="17"/>
          <w:szCs w:val="17"/>
          <w:color w:val="auto"/>
        </w:rPr>
      </w:pPr>
    </w:p>
    <w:p>
      <w:pPr>
        <w:jc w:val="both"/>
        <w:ind w:firstLine="589"/>
        <w:spacing w:after="0" w:line="260" w:lineRule="auto"/>
        <w:tabs>
          <w:tab w:leader="none" w:pos="124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80"/>
          </w:cols>
          <w:pgMar w:left="580" w:top="1421" w:right="339" w:bottom="1440" w:gutter="0" w:footer="0" w:header="0"/>
        </w:sectPr>
      </w:pPr>
    </w:p>
    <w:bookmarkStart w:id="153" w:name="page154"/>
    <w:bookmarkEnd w:id="153"/>
    <w:p>
      <w:pPr>
        <w:jc w:val="both"/>
        <w:spacing w:after="0" w:line="274" w:lineRule="auto"/>
        <w:rPr>
          <w:sz w:val="20"/>
          <w:szCs w:val="20"/>
          <w:color w:val="auto"/>
        </w:rPr>
      </w:pPr>
      <w:r>
        <w:rPr>
          <w:rFonts w:ascii="Arial" w:cs="Arial" w:eastAsia="Arial" w:hAnsi="Arial"/>
          <w:sz w:val="16"/>
          <w:szCs w:val="16"/>
          <w:color w:val="auto"/>
        </w:rPr>
        <w:t xml:space="preserve">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(1)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also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also added for the benefit of each revolving credit facility hereunder (and not for the benefit of any term loan facility hereunder)), (2) such provisions are applicable only to periods after the Latest Maturity Date at such time, or (3)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Holdings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$80,000,000 and 20% of Consolidated EBITDA for the most recently ended Test Period as of such time;</w:t>
      </w:r>
    </w:p>
    <w:p>
      <w:pPr>
        <w:spacing w:after="0" w:line="389" w:lineRule="exact"/>
        <w:rPr>
          <w:sz w:val="20"/>
          <w:szCs w:val="20"/>
          <w:color w:val="auto"/>
        </w:rPr>
      </w:pPr>
    </w:p>
    <w:p>
      <w:pPr>
        <w:jc w:val="both"/>
        <w:ind w:firstLine="539"/>
        <w:spacing w:after="0" w:line="260" w:lineRule="auto"/>
        <w:tabs>
          <w:tab w:leader="none" w:pos="124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 (x)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80"/>
          </w:cols>
          <w:pgMar w:left="580" w:top="1421" w:right="339" w:bottom="1440" w:gutter="0" w:footer="0" w:header="0"/>
        </w:sectPr>
      </w:pPr>
    </w:p>
    <w:bookmarkStart w:id="154" w:name="page155"/>
    <w:bookmarkEnd w:id="154"/>
    <w:p>
      <w:pPr>
        <w:jc w:val="both"/>
        <w:ind w:left="9"/>
        <w:spacing w:after="0" w:line="277" w:lineRule="auto"/>
        <w:rPr>
          <w:sz w:val="20"/>
          <w:szCs w:val="20"/>
          <w:color w:val="auto"/>
        </w:rPr>
      </w:pPr>
      <w:r>
        <w:rPr>
          <w:rFonts w:ascii="Arial" w:cs="Arial" w:eastAsia="Arial" w:hAnsi="Arial"/>
          <w:sz w:val="16"/>
          <w:szCs w:val="16"/>
          <w:color w:val="auto"/>
        </w:rPr>
        <w:t>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 (A) $80,000,000 and (B) 20% of Consolidated EBITDA for the most recently ended Test Period as of such time ;</w:t>
      </w:r>
    </w:p>
    <w:p>
      <w:pPr>
        <w:spacing w:after="0" w:line="165" w:lineRule="exact"/>
        <w:rPr>
          <w:sz w:val="20"/>
          <w:szCs w:val="20"/>
          <w:color w:val="auto"/>
        </w:rPr>
      </w:pPr>
    </w:p>
    <w:p>
      <w:pPr>
        <w:jc w:val="both"/>
        <w:ind w:left="9" w:firstLine="638"/>
        <w:spacing w:after="0" w:line="278" w:lineRule="auto"/>
        <w:tabs>
          <w:tab w:leader="none" w:pos="125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w:t>
      </w:r>
    </w:p>
    <w:p>
      <w:pPr>
        <w:ind w:left="289" w:hanging="289"/>
        <w:spacing w:after="0"/>
        <w:tabs>
          <w:tab w:leader="none" w:pos="28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on a Pro Forma Basis, at the Borrower’s option, either (1) the Total Net Leverage Ratio as of such time is less than or equal to either (x) 7.50 to 1.00</w:t>
      </w:r>
    </w:p>
    <w:p>
      <w:pPr>
        <w:spacing w:after="0" w:line="30" w:lineRule="exact"/>
        <w:rPr>
          <w:sz w:val="20"/>
          <w:szCs w:val="20"/>
          <w:color w:val="auto"/>
        </w:rPr>
      </w:pPr>
    </w:p>
    <w:p>
      <w:pPr>
        <w:jc w:val="both"/>
        <w:ind w:left="9"/>
        <w:spacing w:after="0" w:line="273" w:lineRule="auto"/>
        <w:rPr>
          <w:sz w:val="20"/>
          <w:szCs w:val="20"/>
          <w:color w:val="auto"/>
        </w:rPr>
      </w:pPr>
      <w:r>
        <w:rPr>
          <w:rFonts w:ascii="Arial" w:cs="Arial" w:eastAsia="Arial" w:hAnsi="Arial"/>
          <w:sz w:val="16"/>
          <w:szCs w:val="16"/>
          <w:color w:val="auto"/>
        </w:rPr>
        <w:t xml:space="preserve">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9"/>
          </w:cols>
          <w:pgMar w:left="571" w:top="1421" w:right="339" w:bottom="1440" w:gutter="0" w:footer="0" w:header="0"/>
        </w:sectPr>
      </w:pPr>
    </w:p>
    <w:bookmarkStart w:id="155" w:name="page156"/>
    <w:bookmarkEnd w:id="155"/>
    <w:p>
      <w:pPr>
        <w:jc w:val="both"/>
        <w:spacing w:after="0" w:line="280" w:lineRule="auto"/>
        <w:rPr>
          <w:sz w:val="20"/>
          <w:szCs w:val="20"/>
          <w:color w:val="auto"/>
        </w:rPr>
      </w:pPr>
      <w:r>
        <w:rPr>
          <w:rFonts w:ascii="Arial" w:cs="Arial" w:eastAsia="Arial" w:hAnsi="Arial"/>
          <w:sz w:val="16"/>
          <w:szCs w:val="16"/>
          <w:color w:val="auto"/>
        </w:rPr>
        <w:t>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6.01(a)(viii)) shall not exceed, at the time of incurrence thereof and after giving Pro Forma Effect thereto, the greater of $80,000,000 and 20% of Consolidated EBITDA for the most recently ended Test Period as of such time;</w:t>
      </w:r>
    </w:p>
    <w:p>
      <w:pPr>
        <w:spacing w:after="0" w:line="173" w:lineRule="exact"/>
        <w:rPr>
          <w:sz w:val="20"/>
          <w:szCs w:val="20"/>
          <w:color w:val="auto"/>
        </w:rPr>
      </w:pPr>
    </w:p>
    <w:p>
      <w:pPr>
        <w:jc w:val="both"/>
        <w:ind w:firstLine="688"/>
        <w:spacing w:after="0" w:line="256" w:lineRule="auto"/>
        <w:tabs>
          <w:tab w:leader="none" w:pos="137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174" w:lineRule="exact"/>
        <w:rPr>
          <w:rFonts w:ascii="Arial" w:cs="Arial" w:eastAsia="Arial" w:hAnsi="Arial"/>
          <w:sz w:val="18"/>
          <w:szCs w:val="18"/>
          <w:color w:val="auto"/>
        </w:rPr>
      </w:pPr>
    </w:p>
    <w:p>
      <w:pPr>
        <w:ind w:left="1220" w:hanging="582"/>
        <w:spacing w:after="0"/>
        <w:tabs>
          <w:tab w:leader="none" w:pos="12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Settlement Indebtedness;</w:t>
      </w:r>
    </w:p>
    <w:p>
      <w:pPr>
        <w:spacing w:after="0" w:line="211" w:lineRule="exact"/>
        <w:rPr>
          <w:rFonts w:ascii="Arial" w:cs="Arial" w:eastAsia="Arial" w:hAnsi="Arial"/>
          <w:sz w:val="18"/>
          <w:szCs w:val="18"/>
          <w:color w:val="auto"/>
        </w:rPr>
      </w:pPr>
    </w:p>
    <w:p>
      <w:pPr>
        <w:jc w:val="both"/>
        <w:ind w:firstLine="589"/>
        <w:spacing w:after="0" w:line="303" w:lineRule="auto"/>
        <w:tabs>
          <w:tab w:leader="none" w:pos="143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153" w:lineRule="exact"/>
        <w:rPr>
          <w:rFonts w:ascii="Arial" w:cs="Arial" w:eastAsia="Arial" w:hAnsi="Arial"/>
          <w:sz w:val="16"/>
          <w:szCs w:val="16"/>
          <w:color w:val="auto"/>
        </w:rPr>
      </w:pPr>
    </w:p>
    <w:p>
      <w:pPr>
        <w:jc w:val="both"/>
        <w:ind w:firstLine="539"/>
        <w:spacing w:after="0" w:line="278" w:lineRule="auto"/>
        <w:tabs>
          <w:tab w:leader="none" w:pos="128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157" w:lineRule="exact"/>
        <w:rPr>
          <w:rFonts w:ascii="Arial" w:cs="Arial" w:eastAsia="Arial" w:hAnsi="Arial"/>
          <w:sz w:val="17"/>
          <w:szCs w:val="17"/>
          <w:color w:val="auto"/>
        </w:rPr>
      </w:pPr>
    </w:p>
    <w:p>
      <w:pPr>
        <w:jc w:val="both"/>
        <w:ind w:firstLine="548"/>
        <w:spacing w:after="0" w:line="261" w:lineRule="auto"/>
        <w:tabs>
          <w:tab w:leader="none" w:pos="128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incurrence thereof and after giving Pro Forma Effect thereto, the aggregate principal amount of Indebtedness outstanding in reliance on this clause (xiv) shall not exceed the greater of (A) $191,500,000 and (B) 50% of Consolidated EBITDA for the most recently ended Test Period as of such time;</w:t>
      </w:r>
    </w:p>
    <w:p>
      <w:pPr>
        <w:spacing w:after="0" w:line="189" w:lineRule="exact"/>
        <w:rPr>
          <w:rFonts w:ascii="Arial" w:cs="Arial" w:eastAsia="Arial" w:hAnsi="Arial"/>
          <w:sz w:val="17"/>
          <w:szCs w:val="17"/>
          <w:color w:val="auto"/>
        </w:rPr>
      </w:pPr>
    </w:p>
    <w:p>
      <w:pPr>
        <w:jc w:val="both"/>
        <w:ind w:firstLine="598"/>
        <w:spacing w:after="0" w:line="259" w:lineRule="auto"/>
        <w:tabs>
          <w:tab w:leader="none" w:pos="132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(x) if such Indebtedness is secured by the Collateral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after giving effect to such incurrence, issuance and/or assumption of such Indebtedness on a Pro Forma Basis, at the Borrower’s option, the Senior Secured Net Leverage Ratio as of such time is less than or equal to either (I) 7.50 to 1.00 for the most recently ended Test Period or (II) the Senior Secured Net Leverage Ratio immediately prior to such Permitted Acquisition or Investment and (z) if such Indebtedness is unsecured, after giving effect to the incurrence of such Indebtedness on a Pro Forma Basis,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80"/>
          </w:cols>
          <w:pgMar w:left="580" w:top="1421" w:right="339" w:bottom="1440" w:gutter="0" w:footer="0" w:header="0"/>
        </w:sectPr>
      </w:pPr>
    </w:p>
    <w:bookmarkStart w:id="156" w:name="page157"/>
    <w:bookmarkEnd w:id="156"/>
    <w:p>
      <w:pPr>
        <w:jc w:val="both"/>
        <w:spacing w:after="0" w:line="274" w:lineRule="auto"/>
        <w:rPr>
          <w:sz w:val="20"/>
          <w:szCs w:val="20"/>
          <w:color w:val="auto"/>
        </w:rPr>
      </w:pPr>
      <w:r>
        <w:rPr>
          <w:rFonts w:ascii="Arial" w:cs="Arial" w:eastAsia="Arial" w:hAnsi="Arial"/>
          <w:sz w:val="16"/>
          <w:szCs w:val="16"/>
          <w:color w:val="auto"/>
        </w:rPr>
        <w:t xml:space="preserve">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the covenants, events of default and/or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aggregate principal amount of Indebtedness of which the primary obligor or a guarantor is a Restricted Subsidiary that is not a Loan Party outstanding in reliance on this clause (xv) (together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w:t>
      </w:r>
    </w:p>
    <w:p>
      <w:pPr>
        <w:spacing w:after="0" w:line="383" w:lineRule="exact"/>
        <w:rPr>
          <w:sz w:val="20"/>
          <w:szCs w:val="20"/>
          <w:color w:val="auto"/>
        </w:rPr>
      </w:pPr>
    </w:p>
    <w:p>
      <w:pPr>
        <w:jc w:val="both"/>
        <w:ind w:firstLine="548"/>
        <w:spacing w:after="0" w:line="247" w:lineRule="auto"/>
        <w:tabs>
          <w:tab w:leader="none" w:pos="130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6.01(a)(xv)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w:t>
      </w:r>
    </w:p>
    <w:p>
      <w:pPr>
        <w:spacing w:after="0" w:line="182" w:lineRule="exact"/>
        <w:rPr>
          <w:rFonts w:ascii="Arial" w:cs="Arial" w:eastAsia="Arial" w:hAnsi="Arial"/>
          <w:sz w:val="18"/>
          <w:szCs w:val="18"/>
          <w:color w:val="auto"/>
        </w:rPr>
      </w:pPr>
    </w:p>
    <w:p>
      <w:pPr>
        <w:ind w:firstLine="499"/>
        <w:spacing w:after="0" w:line="277" w:lineRule="auto"/>
        <w:tabs>
          <w:tab w:leader="none" w:pos="130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Indebtedness consisting of (A) the financing of insurance premiums or (B) take-or-pay obligations contained in supply arrangements, in each case, in the ordinary course of business;</w:t>
      </w:r>
    </w:p>
    <w:p>
      <w:pPr>
        <w:spacing w:after="0" w:line="156" w:lineRule="exact"/>
        <w:rPr>
          <w:rFonts w:ascii="Arial" w:cs="Arial" w:eastAsia="Arial" w:hAnsi="Arial"/>
          <w:sz w:val="18"/>
          <w:szCs w:val="18"/>
          <w:color w:val="auto"/>
        </w:rPr>
      </w:pPr>
    </w:p>
    <w:p>
      <w:pPr>
        <w:ind w:left="1260" w:hanging="811"/>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Indebtedness supported by a Letter of Credit, in a principal amount not to exceed the face amount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80"/>
          </w:cols>
          <w:pgMar w:left="580" w:top="1421" w:right="339" w:bottom="1440" w:gutter="0" w:footer="0" w:header="0"/>
        </w:sectPr>
      </w:pPr>
    </w:p>
    <w:bookmarkStart w:id="157" w:name="page158"/>
    <w:bookmarkEnd w:id="157"/>
    <w:p>
      <w:pPr>
        <w:ind w:left="1260" w:hanging="712"/>
        <w:spacing w:after="0"/>
        <w:tabs>
          <w:tab w:leader="none" w:pos="1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Permitted Unsecured Refinancing Debt, and any Permitted Refinancing thereof;</w:t>
      </w:r>
    </w:p>
    <w:p>
      <w:pPr>
        <w:spacing w:after="0" w:line="211" w:lineRule="exact"/>
        <w:rPr>
          <w:rFonts w:ascii="Arial" w:cs="Arial" w:eastAsia="Arial" w:hAnsi="Arial"/>
          <w:sz w:val="18"/>
          <w:szCs w:val="18"/>
          <w:color w:val="auto"/>
        </w:rPr>
      </w:pPr>
    </w:p>
    <w:p>
      <w:pPr>
        <w:ind w:left="1300" w:hanging="702"/>
        <w:spacing w:after="0"/>
        <w:tabs>
          <w:tab w:leader="none" w:pos="13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Permitted First Priority Refinancing Debt and Permitted Second Priority Refinancing Debt, and any Permitted Refinancing of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foregoing;</w:t>
      </w:r>
    </w:p>
    <w:p>
      <w:pPr>
        <w:spacing w:after="0" w:line="197" w:lineRule="exact"/>
        <w:rPr>
          <w:rFonts w:ascii="Arial" w:cs="Arial" w:eastAsia="Arial" w:hAnsi="Arial"/>
          <w:sz w:val="16"/>
          <w:szCs w:val="16"/>
          <w:color w:val="auto"/>
        </w:rPr>
      </w:pPr>
    </w:p>
    <w:p>
      <w:pPr>
        <w:jc w:val="both"/>
        <w:ind w:firstLine="548"/>
        <w:spacing w:after="0" w:line="260" w:lineRule="auto"/>
        <w:tabs>
          <w:tab w:leader="none" w:pos="129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Arial" w:cs="Arial" w:eastAsia="Arial" w:hAnsi="Arial"/>
          <w:sz w:val="17"/>
          <w:szCs w:val="17"/>
          <w:u w:val="single" w:color="auto"/>
          <w:color w:val="auto"/>
        </w:rPr>
        <w:t>First Lien Incremental Equivalent 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 (e) of the definition of “Required Additional Debt Terms” shall not apply to such First Lien Incremental Equivalent Debt) and (z) such Indebtedness shall not have a shorter Weighted Average Life to Maturity than the remaining Term Loans and (B) any Permitted Refinancing of Indebtedness incurred pursuant to the foregoing subclause (A);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condition in clause (z) of the definition of “Required Additional Debt Terms” shall not apply to any First Lien Incremental Equivalent Debt in the form of an ABL Facility;</w:t>
      </w:r>
    </w:p>
    <w:p>
      <w:pPr>
        <w:spacing w:after="0" w:line="185" w:lineRule="exact"/>
        <w:rPr>
          <w:rFonts w:ascii="Arial" w:cs="Arial" w:eastAsia="Arial" w:hAnsi="Arial"/>
          <w:sz w:val="17"/>
          <w:szCs w:val="17"/>
          <w:color w:val="auto"/>
        </w:rPr>
      </w:pPr>
    </w:p>
    <w:p>
      <w:pPr>
        <w:jc w:val="both"/>
        <w:ind w:firstLine="499"/>
        <w:spacing w:after="0" w:line="249" w:lineRule="auto"/>
        <w:tabs>
          <w:tab w:leader="none" w:pos="133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that is not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$40,000,000 and (B) 10% of Consolidated EBITDA for the most recently ended Test Period as of such time;</w:t>
      </w:r>
    </w:p>
    <w:p>
      <w:pPr>
        <w:spacing w:after="0" w:line="194" w:lineRule="exact"/>
        <w:rPr>
          <w:rFonts w:ascii="Arial" w:cs="Arial" w:eastAsia="Arial" w:hAnsi="Arial"/>
          <w:sz w:val="18"/>
          <w:szCs w:val="18"/>
          <w:color w:val="auto"/>
        </w:rPr>
      </w:pPr>
    </w:p>
    <w:p>
      <w:pPr>
        <w:jc w:val="both"/>
        <w:ind w:firstLine="449"/>
        <w:spacing w:after="0" w:line="249" w:lineRule="auto"/>
        <w:tabs>
          <w:tab w:leader="none" w:pos="14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180" w:lineRule="exact"/>
        <w:rPr>
          <w:rFonts w:ascii="Arial" w:cs="Arial" w:eastAsia="Arial" w:hAnsi="Arial"/>
          <w:sz w:val="18"/>
          <w:szCs w:val="18"/>
          <w:color w:val="auto"/>
        </w:rPr>
      </w:pPr>
    </w:p>
    <w:p>
      <w:pPr>
        <w:jc w:val="both"/>
        <w:ind w:firstLine="458"/>
        <w:spacing w:after="0" w:line="303" w:lineRule="auto"/>
        <w:tabs>
          <w:tab w:leader="none" w:pos="131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153" w:lineRule="exact"/>
        <w:rPr>
          <w:rFonts w:ascii="Arial" w:cs="Arial" w:eastAsia="Arial" w:hAnsi="Arial"/>
          <w:sz w:val="16"/>
          <w:szCs w:val="16"/>
          <w:color w:val="auto"/>
        </w:rPr>
      </w:pPr>
    </w:p>
    <w:p>
      <w:pPr>
        <w:jc w:val="both"/>
        <w:ind w:firstLine="508"/>
        <w:spacing w:after="0" w:line="256" w:lineRule="auto"/>
        <w:tabs>
          <w:tab w:leader="none" w:pos="13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spacing w:after="0" w:line="174" w:lineRule="exact"/>
        <w:rPr>
          <w:rFonts w:ascii="Arial" w:cs="Arial" w:eastAsia="Arial" w:hAnsi="Arial"/>
          <w:sz w:val="18"/>
          <w:szCs w:val="18"/>
          <w:color w:val="auto"/>
        </w:rPr>
      </w:pPr>
    </w:p>
    <w:p>
      <w:pPr>
        <w:jc w:val="both"/>
        <w:ind w:firstLine="458"/>
        <w:spacing w:after="0" w:line="254" w:lineRule="auto"/>
        <w:tabs>
          <w:tab w:leader="none" w:pos="133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spacing w:after="0" w:line="176" w:lineRule="exact"/>
        <w:rPr>
          <w:rFonts w:ascii="Arial" w:cs="Arial" w:eastAsia="Arial" w:hAnsi="Arial"/>
          <w:sz w:val="18"/>
          <w:szCs w:val="18"/>
          <w:color w:val="auto"/>
        </w:rPr>
      </w:pPr>
    </w:p>
    <w:p>
      <w:pPr>
        <w:ind w:left="1220" w:hanging="812"/>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Indebtedness incurred in connection with a Qualified Securitization Facility;</w:t>
      </w:r>
    </w:p>
    <w:p>
      <w:pPr>
        <w:spacing w:after="0" w:line="211" w:lineRule="exact"/>
        <w:rPr>
          <w:rFonts w:ascii="Arial" w:cs="Arial" w:eastAsia="Arial" w:hAnsi="Arial"/>
          <w:sz w:val="18"/>
          <w:szCs w:val="18"/>
          <w:color w:val="auto"/>
        </w:rPr>
      </w:pPr>
    </w:p>
    <w:p>
      <w:pPr>
        <w:ind w:firstLine="359"/>
        <w:spacing w:after="0" w:line="277" w:lineRule="auto"/>
        <w:tabs>
          <w:tab w:leader="none" w:pos="128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Indebtedness consisting of Permitted Second Priority Debt any Permitted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subject to the First/Second Lien Intercreditor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80"/>
          </w:cols>
          <w:pgMar w:left="580" w:top="1421" w:right="339" w:bottom="1440" w:gutter="0" w:footer="0" w:header="0"/>
        </w:sectPr>
      </w:pPr>
    </w:p>
    <w:bookmarkStart w:id="158" w:name="page159"/>
    <w:bookmarkEnd w:id="158"/>
    <w:p>
      <w:pPr>
        <w:ind w:left="260" w:firstLine="458"/>
        <w:spacing w:after="0" w:line="261" w:lineRule="auto"/>
        <w:tabs>
          <w:tab w:leader="none" w:pos="167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(i) through (xxix) above.</w:t>
      </w:r>
    </w:p>
    <w:p>
      <w:pPr>
        <w:spacing w:after="0" w:line="184" w:lineRule="exact"/>
        <w:rPr>
          <w:rFonts w:ascii="Arial" w:cs="Arial" w:eastAsia="Arial" w:hAnsi="Arial"/>
          <w:sz w:val="18"/>
          <w:szCs w:val="18"/>
          <w:color w:val="auto"/>
        </w:rPr>
      </w:pPr>
    </w:p>
    <w:p>
      <w:pPr>
        <w:jc w:val="both"/>
        <w:ind w:firstLine="1094"/>
        <w:spacing w:after="0" w:line="249" w:lineRule="auto"/>
        <w:tabs>
          <w:tab w:leader="none" w:pos="162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18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First Lien Loan Documents will be deemed to have been incurred in reliance only on the exception in clause (a)(i).</w:t>
      </w:r>
    </w:p>
    <w:p>
      <w:pPr>
        <w:spacing w:after="0" w:line="152"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8"/>
          <w:szCs w:val="18"/>
          <w:color w:val="auto"/>
        </w:rPr>
        <w:t>Notwithstanding any other provision herein, the Borrower shall not be permitted to incur Indebtedness if (x) the Liens on Collateral securing such Indebtedness are junior to the Liens on Collateral securing the First Lien Loan Document Obligations but senior to the Liens on such Collateral securing the Second Lien Debt Document Obligations or (y) the priority of payments on such Indebtedness is junior and subordinate to the First Lien Loan Document Obligations but senior in priority of payment to the Second Lien Debt Document Obligations.</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The Borrower will not, and will not permit any Restricted Subsidiary to, create, incur, assume or permit to exist any Lien on any property or asset now owned (but not leased) or hereafter acquired (but not leased) by it, except:</w:t>
      </w:r>
    </w:p>
    <w:p>
      <w:pPr>
        <w:spacing w:after="0" w:line="184" w:lineRule="exact"/>
        <w:rPr>
          <w:sz w:val="20"/>
          <w:szCs w:val="20"/>
          <w:color w:val="auto"/>
        </w:rPr>
      </w:pPr>
    </w:p>
    <w:p>
      <w:pPr>
        <w:ind w:left="1960" w:hanging="810"/>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created under the First Lien Loan Documents and the Second Lien Debt Documents;</w:t>
      </w:r>
    </w:p>
    <w:p>
      <w:pPr>
        <w:spacing w:after="0" w:line="211" w:lineRule="exact"/>
        <w:rPr>
          <w:rFonts w:ascii="Arial" w:cs="Arial" w:eastAsia="Arial" w:hAnsi="Arial"/>
          <w:sz w:val="18"/>
          <w:szCs w:val="18"/>
          <w:color w:val="auto"/>
        </w:rPr>
      </w:pPr>
    </w:p>
    <w:p>
      <w:pPr>
        <w:ind w:left="1960" w:hanging="860"/>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420" w:firstLine="631"/>
        <w:spacing w:after="0" w:line="263" w:lineRule="auto"/>
        <w:tabs>
          <w:tab w:leader="none" w:pos="195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Liens existing on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Lien securing Indebtedness or other obligations in excess of $1,000,000 individually shall only be permitted if set forth on Schedule 6.02 (unless such Lien is permitted by another clause in this Section 6.02) and any modifications, replacements, renewals or extensions thereof;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w:t>
      </w:r>
    </w:p>
    <w:p>
      <w:pPr>
        <w:spacing w:after="0" w:line="184" w:lineRule="exact"/>
        <w:rPr>
          <w:rFonts w:ascii="Arial" w:cs="Arial" w:eastAsia="Arial" w:hAnsi="Arial"/>
          <w:sz w:val="17"/>
          <w:szCs w:val="17"/>
          <w:color w:val="auto"/>
        </w:rPr>
      </w:pPr>
    </w:p>
    <w:p>
      <w:pPr>
        <w:jc w:val="both"/>
        <w:ind w:left="420" w:firstLine="640"/>
        <w:spacing w:after="0" w:line="261" w:lineRule="auto"/>
        <w:tabs>
          <w:tab w:leader="none" w:pos="195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Section 6.01(a)(v);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21" w:right="339" w:bottom="1440" w:gutter="0" w:footer="0" w:header="0"/>
        </w:sectPr>
      </w:pPr>
    </w:p>
    <w:bookmarkStart w:id="159" w:name="page160"/>
    <w:bookmarkEnd w:id="159"/>
    <w:p>
      <w:pPr>
        <w:jc w:val="both"/>
        <w:ind w:left="7" w:firstLine="690"/>
        <w:spacing w:after="0" w:line="282" w:lineRule="auto"/>
        <w:tabs>
          <w:tab w:leader="none" w:pos="154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 easements, leases, licenses, subleases or sublicenses granted to others (including licenses and sublicenses of Intellectual Property) that do not (A) interfere in any material respect with the business of the Borrower and the Restricted Subsidiaries, taken as a whole, or</w:t>
      </w:r>
    </w:p>
    <w:p>
      <w:pPr>
        <w:ind w:left="7" w:hanging="7"/>
        <w:spacing w:after="0" w:line="305" w:lineRule="auto"/>
        <w:tabs>
          <w:tab w:leader="none" w:pos="30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spacing w:after="0" w:line="152" w:lineRule="exact"/>
        <w:rPr>
          <w:rFonts w:ascii="Arial" w:cs="Arial" w:eastAsia="Arial" w:hAnsi="Arial"/>
          <w:sz w:val="16"/>
          <w:szCs w:val="16"/>
          <w:color w:val="auto"/>
        </w:rPr>
      </w:pPr>
    </w:p>
    <w:p>
      <w:pPr>
        <w:ind w:left="7" w:firstLine="640"/>
        <w:spacing w:after="0" w:line="261" w:lineRule="auto"/>
        <w:tabs>
          <w:tab w:leader="none" w:pos="154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84" w:lineRule="exact"/>
        <w:rPr>
          <w:rFonts w:ascii="Arial" w:cs="Arial" w:eastAsia="Arial" w:hAnsi="Arial"/>
          <w:sz w:val="18"/>
          <w:szCs w:val="18"/>
          <w:color w:val="auto"/>
        </w:rPr>
      </w:pPr>
    </w:p>
    <w:p>
      <w:pPr>
        <w:jc w:val="both"/>
        <w:ind w:left="7" w:firstLine="591"/>
        <w:spacing w:after="0" w:line="249" w:lineRule="auto"/>
        <w:tabs>
          <w:tab w:leader="none" w:pos="154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181" w:lineRule="exact"/>
        <w:rPr>
          <w:rFonts w:ascii="Arial" w:cs="Arial" w:eastAsia="Arial" w:hAnsi="Arial"/>
          <w:sz w:val="18"/>
          <w:szCs w:val="18"/>
          <w:color w:val="auto"/>
        </w:rPr>
      </w:pPr>
    </w:p>
    <w:p>
      <w:pPr>
        <w:jc w:val="both"/>
        <w:ind w:left="7" w:firstLine="541"/>
        <w:spacing w:after="0" w:line="288" w:lineRule="auto"/>
        <w:tabs>
          <w:tab w:leader="none" w:pos="154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51" w:lineRule="exact"/>
        <w:rPr>
          <w:rFonts w:ascii="Arial" w:cs="Arial" w:eastAsia="Arial" w:hAnsi="Arial"/>
          <w:sz w:val="16"/>
          <w:szCs w:val="16"/>
          <w:color w:val="auto"/>
        </w:rPr>
      </w:pPr>
    </w:p>
    <w:p>
      <w:pPr>
        <w:ind w:left="7" w:firstLine="640"/>
        <w:spacing w:after="0" w:line="308" w:lineRule="auto"/>
        <w:tabs>
          <w:tab w:leader="none" w:pos="1546" w:val="left"/>
        </w:tabs>
        <w:numPr>
          <w:ilvl w:val="1"/>
          <w:numId w:val="190"/>
        </w:numPr>
        <w:rPr>
          <w:rFonts w:ascii="Arial" w:cs="Arial" w:eastAsia="Arial" w:hAnsi="Arial"/>
          <w:sz w:val="17"/>
          <w:szCs w:val="17"/>
          <w:color w:val="auto"/>
        </w:rPr>
      </w:pPr>
      <w:r>
        <w:rPr>
          <w:rFonts w:ascii="Arial" w:cs="Arial" w:eastAsia="Arial" w:hAnsi="Arial"/>
          <w:sz w:val="17"/>
          <w:szCs w:val="17"/>
          <w:color w:val="auto"/>
        </w:rPr>
        <w:t>Liens on property or other assets of any Restricted Subsidiary that is not a Loan Party, which Liens secure Indebtedness of such Restricted Subsidiary or another Restricted Subsidiary that is not a Loan Party, in each case permitted under Section 6.01(a);</w:t>
      </w:r>
    </w:p>
    <w:p>
      <w:pPr>
        <w:spacing w:after="0" w:line="132" w:lineRule="exact"/>
        <w:rPr>
          <w:rFonts w:ascii="Arial" w:cs="Arial" w:eastAsia="Arial" w:hAnsi="Arial"/>
          <w:sz w:val="17"/>
          <w:szCs w:val="17"/>
          <w:color w:val="auto"/>
        </w:rPr>
      </w:pPr>
    </w:p>
    <w:p>
      <w:pPr>
        <w:ind w:left="7" w:firstLine="690"/>
        <w:spacing w:after="0" w:line="277" w:lineRule="auto"/>
        <w:tabs>
          <w:tab w:leader="none" w:pos="154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Restricted Subsidiary and Liens granted by a Loan Party in favor of any other Loan Party;</w:t>
      </w:r>
    </w:p>
    <w:p>
      <w:pPr>
        <w:spacing w:after="0" w:line="156" w:lineRule="exact"/>
        <w:rPr>
          <w:rFonts w:ascii="Arial" w:cs="Arial" w:eastAsia="Arial" w:hAnsi="Arial"/>
          <w:sz w:val="18"/>
          <w:szCs w:val="18"/>
          <w:color w:val="auto"/>
        </w:rPr>
      </w:pPr>
    </w:p>
    <w:p>
      <w:pPr>
        <w:jc w:val="both"/>
        <w:ind w:left="7" w:firstLine="640"/>
        <w:spacing w:after="0" w:line="261" w:lineRule="auto"/>
        <w:tabs>
          <w:tab w:leader="none" w:pos="1546"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189" w:lineRule="exact"/>
        <w:rPr>
          <w:rFonts w:ascii="Arial" w:cs="Arial" w:eastAsia="Arial" w:hAnsi="Arial"/>
          <w:sz w:val="17"/>
          <w:szCs w:val="17"/>
          <w:color w:val="auto"/>
        </w:rPr>
      </w:pPr>
    </w:p>
    <w:p>
      <w:pPr>
        <w:jc w:val="both"/>
        <w:ind w:left="7" w:firstLine="591"/>
        <w:spacing w:after="0" w:line="256" w:lineRule="auto"/>
        <w:tabs>
          <w:tab w:leader="none" w:pos="154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174" w:lineRule="exact"/>
        <w:rPr>
          <w:rFonts w:ascii="Arial" w:cs="Arial" w:eastAsia="Arial" w:hAnsi="Arial"/>
          <w:sz w:val="18"/>
          <w:szCs w:val="18"/>
          <w:color w:val="auto"/>
        </w:rPr>
      </w:pPr>
    </w:p>
    <w:p>
      <w:pPr>
        <w:ind w:left="7" w:firstLine="541"/>
        <w:spacing w:after="0" w:line="277" w:lineRule="auto"/>
        <w:tabs>
          <w:tab w:leader="none" w:pos="154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any of the Borrower or any Restricted Subsidiary in the ordinary course of business;</w:t>
      </w:r>
    </w:p>
    <w:p>
      <w:pPr>
        <w:spacing w:after="0" w:line="156" w:lineRule="exact"/>
        <w:rPr>
          <w:rFonts w:ascii="Arial" w:cs="Arial" w:eastAsia="Arial" w:hAnsi="Arial"/>
          <w:sz w:val="18"/>
          <w:szCs w:val="18"/>
          <w:color w:val="auto"/>
        </w:rPr>
      </w:pPr>
    </w:p>
    <w:p>
      <w:pPr>
        <w:ind w:left="7" w:firstLine="550"/>
        <w:spacing w:after="0" w:line="261" w:lineRule="auto"/>
        <w:tabs>
          <w:tab w:leader="none" w:pos="154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under clause (e) of the definition of the term “Permitted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827"/>
          </w:cols>
          <w:pgMar w:left="733" w:top="1421" w:right="339" w:bottom="1440" w:gutter="0" w:footer="0" w:header="0"/>
        </w:sectPr>
      </w:pPr>
    </w:p>
    <w:bookmarkStart w:id="160" w:name="page161"/>
    <w:bookmarkEnd w:id="160"/>
    <w:p>
      <w:pPr>
        <w:ind w:firstLine="600"/>
        <w:spacing w:after="0" w:line="261" w:lineRule="auto"/>
        <w:tabs>
          <w:tab w:leader="none" w:pos="153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84" w:lineRule="exact"/>
        <w:rPr>
          <w:rFonts w:ascii="Arial" w:cs="Arial" w:eastAsia="Arial" w:hAnsi="Arial"/>
          <w:sz w:val="18"/>
          <w:szCs w:val="18"/>
          <w:color w:val="auto"/>
        </w:rPr>
      </w:pPr>
    </w:p>
    <w:p>
      <w:pPr>
        <w:jc w:val="both"/>
        <w:ind w:firstLine="550"/>
        <w:spacing w:after="0" w:line="268" w:lineRule="auto"/>
        <w:tabs>
          <w:tab w:leader="none" w:pos="153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179" w:lineRule="exact"/>
        <w:rPr>
          <w:rFonts w:ascii="Arial" w:cs="Arial" w:eastAsia="Arial" w:hAnsi="Arial"/>
          <w:sz w:val="17"/>
          <w:szCs w:val="17"/>
          <w:color w:val="auto"/>
        </w:rPr>
      </w:pPr>
    </w:p>
    <w:p>
      <w:pPr>
        <w:ind w:firstLine="501"/>
        <w:spacing w:after="0" w:line="261" w:lineRule="auto"/>
        <w:tabs>
          <w:tab w:leader="none" w:pos="153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ground leases in respect of real property on which facilities owned or leased by the Borrower or any of the Restricted Subsidiaries are located;</w:t>
      </w:r>
    </w:p>
    <w:p>
      <w:pPr>
        <w:spacing w:after="0" w:line="184" w:lineRule="exact"/>
        <w:rPr>
          <w:rFonts w:ascii="Arial" w:cs="Arial" w:eastAsia="Arial" w:hAnsi="Arial"/>
          <w:sz w:val="18"/>
          <w:szCs w:val="18"/>
          <w:color w:val="auto"/>
        </w:rPr>
      </w:pPr>
    </w:p>
    <w:p>
      <w:pPr>
        <w:ind w:left="1540" w:hanging="1089"/>
        <w:spacing w:after="0"/>
        <w:tabs>
          <w:tab w:leader="none" w:pos="1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11" w:lineRule="exact"/>
        <w:rPr>
          <w:rFonts w:ascii="Arial" w:cs="Arial" w:eastAsia="Arial" w:hAnsi="Arial"/>
          <w:sz w:val="18"/>
          <w:szCs w:val="18"/>
          <w:color w:val="auto"/>
        </w:rPr>
      </w:pPr>
    </w:p>
    <w:p>
      <w:pPr>
        <w:ind w:left="1540" w:hanging="990"/>
        <w:spacing w:after="0"/>
        <w:tabs>
          <w:tab w:leader="none" w:pos="1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6.01(a)(xxii) or 6.01(a)(xxiii);</w:t>
      </w:r>
    </w:p>
    <w:p>
      <w:pPr>
        <w:spacing w:after="0" w:line="225" w:lineRule="exact"/>
        <w:rPr>
          <w:rFonts w:ascii="Arial" w:cs="Arial" w:eastAsia="Arial" w:hAnsi="Arial"/>
          <w:sz w:val="18"/>
          <w:szCs w:val="18"/>
          <w:color w:val="auto"/>
        </w:rPr>
      </w:pPr>
    </w:p>
    <w:p>
      <w:pPr>
        <w:ind w:left="1540" w:hanging="940"/>
        <w:spacing w:after="0"/>
        <w:tabs>
          <w:tab w:leader="none" w:pos="15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Liens securing Indebtedness on real property other than Material Real Property (except as required by this Agreement);</w:t>
      </w:r>
    </w:p>
    <w:p>
      <w:pPr>
        <w:spacing w:after="0" w:line="223" w:lineRule="exact"/>
        <w:rPr>
          <w:rFonts w:ascii="Arial" w:cs="Arial" w:eastAsia="Arial" w:hAnsi="Arial"/>
          <w:sz w:val="17"/>
          <w:szCs w:val="17"/>
          <w:color w:val="auto"/>
        </w:rPr>
      </w:pPr>
    </w:p>
    <w:p>
      <w:pPr>
        <w:ind w:left="1540" w:hanging="990"/>
        <w:spacing w:after="0"/>
        <w:tabs>
          <w:tab w:leader="none" w:pos="1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211" w:lineRule="exact"/>
        <w:rPr>
          <w:rFonts w:ascii="Arial" w:cs="Arial" w:eastAsia="Arial" w:hAnsi="Arial"/>
          <w:sz w:val="18"/>
          <w:szCs w:val="18"/>
          <w:color w:val="auto"/>
        </w:rPr>
      </w:pPr>
    </w:p>
    <w:p>
      <w:pPr>
        <w:ind w:firstLine="501"/>
        <w:spacing w:after="0" w:line="277" w:lineRule="auto"/>
        <w:tabs>
          <w:tab w:leader="none" w:pos="172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6.01(a)(vii), (viii), (xv) or (xviii) (provided any such Liens on Collateral shall be subject to First/Second Lien Intercreditor Agreement and/or Customary Intercreditor Agreement);</w:t>
      </w:r>
    </w:p>
    <w:p>
      <w:pPr>
        <w:spacing w:after="0" w:line="156" w:lineRule="exact"/>
        <w:rPr>
          <w:rFonts w:ascii="Arial" w:cs="Arial" w:eastAsia="Arial" w:hAnsi="Arial"/>
          <w:sz w:val="18"/>
          <w:szCs w:val="18"/>
          <w:color w:val="auto"/>
        </w:rPr>
      </w:pPr>
    </w:p>
    <w:p>
      <w:pPr>
        <w:ind w:left="1540" w:hanging="1089"/>
        <w:spacing w:after="0"/>
        <w:tabs>
          <w:tab w:leader="none" w:pos="1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40" w:hanging="1080"/>
        <w:spacing w:after="0"/>
        <w:tabs>
          <w:tab w:leader="none" w:pos="1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Liens on cash and Permitted Investments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satisfaction or discharge is</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hereunder;</w:t>
      </w:r>
    </w:p>
    <w:p>
      <w:pPr>
        <w:spacing w:after="0" w:line="209" w:lineRule="exact"/>
        <w:rPr>
          <w:rFonts w:ascii="Arial" w:cs="Arial" w:eastAsia="Arial" w:hAnsi="Arial"/>
          <w:sz w:val="16"/>
          <w:szCs w:val="16"/>
          <w:color w:val="auto"/>
        </w:rPr>
      </w:pPr>
    </w:p>
    <w:p>
      <w:pPr>
        <w:ind w:firstLine="510"/>
        <w:spacing w:after="0" w:line="261" w:lineRule="auto"/>
        <w:tabs>
          <w:tab w:leader="none" w:pos="153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184" w:lineRule="exact"/>
        <w:rPr>
          <w:rFonts w:ascii="Arial" w:cs="Arial" w:eastAsia="Arial" w:hAnsi="Arial"/>
          <w:sz w:val="18"/>
          <w:szCs w:val="18"/>
          <w:color w:val="auto"/>
        </w:rPr>
      </w:pPr>
    </w:p>
    <w:p>
      <w:pPr>
        <w:ind w:firstLine="460"/>
        <w:spacing w:after="0" w:line="261" w:lineRule="auto"/>
        <w:tabs>
          <w:tab w:leader="none" w:pos="153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Liens on Equity Interests of any joint venture (a) securing obligations of such joint venture or (b) pursuant to the relevant joint venture agreement or arrangement;</w:t>
      </w:r>
    </w:p>
    <w:p>
      <w:pPr>
        <w:spacing w:after="0" w:line="184" w:lineRule="exact"/>
        <w:rPr>
          <w:rFonts w:ascii="Arial" w:cs="Arial" w:eastAsia="Arial" w:hAnsi="Arial"/>
          <w:sz w:val="18"/>
          <w:szCs w:val="18"/>
          <w:color w:val="auto"/>
        </w:rPr>
      </w:pPr>
    </w:p>
    <w:p>
      <w:pPr>
        <w:jc w:val="both"/>
        <w:ind w:firstLine="410"/>
        <w:spacing w:after="0" w:line="248" w:lineRule="auto"/>
        <w:tabs>
          <w:tab w:leader="none" w:pos="153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Liens on cash or Permitted Investments securing Swap Agreements in the ordinary course of business submitted for clearing in accordance with applicable Requirements of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obligations secured by Liens existing in reliance on this clause (xxvii) shall not exceed $30,000,000;</w:t>
      </w:r>
    </w:p>
    <w:p>
      <w:pPr>
        <w:spacing w:after="0" w:line="195" w:lineRule="exact"/>
        <w:rPr>
          <w:rFonts w:ascii="Arial" w:cs="Arial" w:eastAsia="Arial" w:hAnsi="Arial"/>
          <w:sz w:val="18"/>
          <w:szCs w:val="18"/>
          <w:color w:val="auto"/>
        </w:rPr>
      </w:pPr>
    </w:p>
    <w:p>
      <w:pPr>
        <w:jc w:val="both"/>
        <w:ind w:firstLine="361"/>
        <w:spacing w:after="0" w:line="288" w:lineRule="auto"/>
        <w:tabs>
          <w:tab w:leader="none" w:pos="153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other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granting thereof and after giving Pro Forma Effect thereto, the aggregate amount of obligations secured by all Liens incurred in reliance on this clause (xxviii) shall not exceed the greater of (A) $80,000,000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Liens under this clause (xxviii) shall encumber any Material Real Property (except as required by this Agreement);and</w:t>
      </w:r>
    </w:p>
    <w:p>
      <w:pPr>
        <w:spacing w:after="0" w:line="151" w:lineRule="exact"/>
        <w:rPr>
          <w:rFonts w:ascii="Arial" w:cs="Arial" w:eastAsia="Arial" w:hAnsi="Arial"/>
          <w:sz w:val="16"/>
          <w:szCs w:val="16"/>
          <w:color w:val="auto"/>
        </w:rPr>
      </w:pPr>
    </w:p>
    <w:p>
      <w:pPr>
        <w:ind w:left="1540" w:hanging="1080"/>
        <w:spacing w:after="0"/>
        <w:tabs>
          <w:tab w:leader="none" w:pos="1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Liens on accounts receivable, Securitization Assets and related assets incurred in connection with a Qualified Securitization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820"/>
          </w:cols>
          <w:pgMar w:left="740" w:top="1421" w:right="339" w:bottom="1440" w:gutter="0" w:footer="0" w:header="0"/>
        </w:sectPr>
      </w:pPr>
    </w:p>
    <w:bookmarkStart w:id="161" w:name="page162"/>
    <w:bookmarkEnd w:id="161"/>
    <w:p>
      <w:pPr>
        <w:ind w:left="1300"/>
        <w:spacing w:after="0"/>
        <w:tabs>
          <w:tab w:leader="none" w:pos="25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Fundamental Changes; Holdings Covenant</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56" w:lineRule="auto"/>
        <w:tabs>
          <w:tab w:leader="none" w:pos="155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spacing w:after="0" w:line="188" w:lineRule="exact"/>
        <w:rPr>
          <w:rFonts w:ascii="Arial" w:cs="Arial" w:eastAsia="Arial" w:hAnsi="Arial"/>
          <w:sz w:val="18"/>
          <w:szCs w:val="18"/>
          <w:color w:val="auto"/>
        </w:rPr>
      </w:pPr>
    </w:p>
    <w:p>
      <w:pPr>
        <w:jc w:val="both"/>
        <w:ind w:left="420" w:firstLine="730"/>
        <w:spacing w:after="0" w:line="249" w:lineRule="auto"/>
        <w:tabs>
          <w:tab w:leader="none" w:pos="195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(B) any one or more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spacing w:after="0" w:line="181" w:lineRule="exact"/>
        <w:rPr>
          <w:rFonts w:ascii="Arial" w:cs="Arial" w:eastAsia="Arial" w:hAnsi="Arial"/>
          <w:sz w:val="18"/>
          <w:szCs w:val="18"/>
          <w:color w:val="auto"/>
        </w:rPr>
      </w:pPr>
    </w:p>
    <w:p>
      <w:pPr>
        <w:jc w:val="both"/>
        <w:ind w:left="420" w:firstLine="680"/>
        <w:spacing w:after="0" w:line="249" w:lineRule="auto"/>
        <w:tabs>
          <w:tab w:leader="none" w:pos="195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spacing w:after="0" w:line="194" w:lineRule="exact"/>
        <w:rPr>
          <w:rFonts w:ascii="Arial" w:cs="Arial" w:eastAsia="Arial" w:hAnsi="Arial"/>
          <w:sz w:val="18"/>
          <w:szCs w:val="18"/>
          <w:color w:val="auto"/>
        </w:rPr>
      </w:pPr>
    </w:p>
    <w:p>
      <w:pPr>
        <w:jc w:val="both"/>
        <w:ind w:left="420" w:firstLine="631"/>
        <w:spacing w:after="0" w:line="283" w:lineRule="auto"/>
        <w:tabs>
          <w:tab w:leader="none" w:pos="195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any Restricted Subsidiary may make a Disposition of all or substantially all of its assets (upon voluntary liquidation or otherwise) to the Borrower or another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169" w:lineRule="exact"/>
        <w:rPr>
          <w:rFonts w:ascii="Arial" w:cs="Arial" w:eastAsia="Arial" w:hAnsi="Arial"/>
          <w:sz w:val="16"/>
          <w:szCs w:val="16"/>
          <w:color w:val="auto"/>
        </w:rPr>
      </w:pPr>
    </w:p>
    <w:p>
      <w:pPr>
        <w:jc w:val="both"/>
        <w:ind w:left="420" w:firstLine="640"/>
        <w:spacing w:after="0" w:line="275" w:lineRule="auto"/>
        <w:tabs>
          <w:tab w:leader="none" w:pos="195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the Borrower may merge, amalgamate or consolidate with (or Dispose of all or substantially all of its assets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(1) 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(y) 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“know your customer” and anti-money laundering rules and regulations, including Title III of the USA PATRIOT Act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the Borrower’s failure to deliver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21" w:right="339" w:bottom="1440" w:gutter="0" w:footer="0" w:header="0"/>
        </w:sectPr>
      </w:pPr>
    </w:p>
    <w:bookmarkStart w:id="162" w:name="page163"/>
    <w:bookmarkEnd w:id="162"/>
    <w:p>
      <w:pPr>
        <w:ind w:left="420"/>
        <w:spacing w:after="0" w:line="261" w:lineRule="auto"/>
        <w:rPr>
          <w:sz w:val="20"/>
          <w:szCs w:val="20"/>
          <w:color w:val="auto"/>
        </w:rPr>
      </w:pPr>
      <w:r>
        <w:rPr>
          <w:rFonts w:ascii="Arial" w:cs="Arial" w:eastAsia="Arial" w:hAnsi="Arial"/>
          <w:sz w:val="18"/>
          <w:szCs w:val="18"/>
          <w:color w:val="auto"/>
        </w:rPr>
        <w:t>requested after the first Business Day following delivery of the certificate in clause (4) above shall not constitute a Default or an Event of Default under this Agreement or the First Lien Loan Documents);</w:t>
      </w:r>
    </w:p>
    <w:p>
      <w:pPr>
        <w:spacing w:after="0" w:line="184" w:lineRule="exact"/>
        <w:rPr>
          <w:sz w:val="20"/>
          <w:szCs w:val="20"/>
          <w:color w:val="auto"/>
        </w:rPr>
      </w:pPr>
    </w:p>
    <w:p>
      <w:pPr>
        <w:jc w:val="both"/>
        <w:ind w:left="420" w:firstLine="690"/>
        <w:spacing w:after="0" w:line="278" w:lineRule="auto"/>
        <w:tabs>
          <w:tab w:leader="none" w:pos="1959"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any Restricted Subsidiary may merge, consolidate or amalgamate with any other Person in order to effect an Investment permitted pursuant to Section 6.04;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157" w:lineRule="exact"/>
        <w:rPr>
          <w:rFonts w:ascii="Arial" w:cs="Arial" w:eastAsia="Arial" w:hAnsi="Arial"/>
          <w:sz w:val="17"/>
          <w:szCs w:val="17"/>
          <w:color w:val="auto"/>
        </w:rPr>
      </w:pPr>
    </w:p>
    <w:p>
      <w:pPr>
        <w:ind w:left="1960" w:hanging="900"/>
        <w:spacing w:after="0"/>
        <w:tabs>
          <w:tab w:leader="none" w:pos="19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420" w:firstLine="591"/>
        <w:spacing w:after="0" w:line="261" w:lineRule="auto"/>
        <w:tabs>
          <w:tab w:leader="none" w:pos="195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Restricted Subsidiary may effect a merger, amalgamation, dissolution, liquidation consolidation or amalgamation to effect a Disposition permitted pursuant to Section 6.05.</w:t>
      </w:r>
    </w:p>
    <w:p>
      <w:pPr>
        <w:spacing w:after="0" w:line="184" w:lineRule="exact"/>
        <w:rPr>
          <w:rFonts w:ascii="Arial" w:cs="Arial" w:eastAsia="Arial" w:hAnsi="Arial"/>
          <w:sz w:val="18"/>
          <w:szCs w:val="18"/>
          <w:color w:val="auto"/>
        </w:rPr>
      </w:pPr>
    </w:p>
    <w:p>
      <w:pPr>
        <w:jc w:val="both"/>
        <w:ind w:firstLine="1094"/>
        <w:spacing w:after="0" w:line="260" w:lineRule="auto"/>
        <w:tabs>
          <w:tab w:leader="none" w:pos="15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Second Lien Debt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spacing w:after="0" w:line="172" w:lineRule="exact"/>
        <w:rPr>
          <w:rFonts w:ascii="Arial" w:cs="Arial" w:eastAsia="Arial" w:hAnsi="Arial"/>
          <w:sz w:val="17"/>
          <w:szCs w:val="17"/>
          <w:color w:val="auto"/>
        </w:rPr>
      </w:pPr>
    </w:p>
    <w:p>
      <w:pPr>
        <w:jc w:val="both"/>
        <w:ind w:firstLine="1104"/>
        <w:spacing w:after="0" w:line="268" w:lineRule="auto"/>
        <w:tabs>
          <w:tab w:leader="none" w:pos="152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will not, and will not permit any Restricted Subsidiary to, make or hold any Investment, except:</w:t>
      </w:r>
    </w:p>
    <w:p>
      <w:pPr>
        <w:spacing w:after="0" w:line="225" w:lineRule="exact"/>
        <w:rPr>
          <w:sz w:val="20"/>
          <w:szCs w:val="20"/>
          <w:color w:val="auto"/>
        </w:rPr>
      </w:pPr>
    </w:p>
    <w:p>
      <w:pPr>
        <w:ind w:left="660" w:firstLine="644"/>
        <w:spacing w:after="0" w:line="261" w:lineRule="auto"/>
        <w:tabs>
          <w:tab w:leader="none" w:pos="175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Permitted Investments at the time such Permitted Investment is made and purchases of assets in the ordinary course of business consistent with past practice;</w:t>
      </w:r>
    </w:p>
    <w:p>
      <w:pPr>
        <w:spacing w:after="0" w:line="184" w:lineRule="exact"/>
        <w:rPr>
          <w:rFonts w:ascii="Arial" w:cs="Arial" w:eastAsia="Arial" w:hAnsi="Arial"/>
          <w:sz w:val="18"/>
          <w:szCs w:val="18"/>
          <w:color w:val="auto"/>
        </w:rPr>
      </w:pPr>
    </w:p>
    <w:p>
      <w:pPr>
        <w:jc w:val="both"/>
        <w:ind w:left="660" w:firstLine="644"/>
        <w:spacing w:after="0" w:line="277" w:lineRule="auto"/>
        <w:tabs>
          <w:tab w:leader="none" w:pos="179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loans or advances to officers, members of the Board of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made in cash to such Person shall be contributed to the Borrower in cash as common equity or Qualified Equity Interests) and</w:t>
      </w:r>
    </w:p>
    <w:p>
      <w:pPr>
        <w:spacing w:after="0" w:line="1" w:lineRule="exact"/>
        <w:rPr>
          <w:rFonts w:ascii="Arial" w:cs="Arial" w:eastAsia="Arial" w:hAnsi="Arial"/>
          <w:sz w:val="16"/>
          <w:szCs w:val="16"/>
          <w:color w:val="auto"/>
        </w:rPr>
      </w:pPr>
    </w:p>
    <w:p>
      <w:pPr>
        <w:ind w:left="660" w:hanging="4"/>
        <w:spacing w:after="0" w:line="245" w:lineRule="auto"/>
        <w:tabs>
          <w:tab w:leader="none" w:pos="97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for purposes not described in the foregoing clauses (i) and (ii), in an aggregate principal amount outstanding under this clause (iii) at any time not to exceed $30,000,000;</w:t>
      </w:r>
    </w:p>
    <w:p>
      <w:pPr>
        <w:spacing w:after="0" w:line="184" w:lineRule="exact"/>
        <w:rPr>
          <w:rFonts w:ascii="Arial" w:cs="Arial" w:eastAsia="Arial" w:hAnsi="Arial"/>
          <w:sz w:val="18"/>
          <w:szCs w:val="18"/>
          <w:color w:val="auto"/>
        </w:rPr>
      </w:pPr>
    </w:p>
    <w:p>
      <w:pPr>
        <w:ind w:left="660" w:firstLine="644"/>
        <w:spacing w:after="0" w:line="277" w:lineRule="auto"/>
        <w:tabs>
          <w:tab w:leader="none" w:pos="175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Investments by the Borrower in any Restricted Subsidiary and Investments by any Restricted Subsidiary in the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21" w:right="339" w:bottom="1440" w:gutter="0" w:footer="0" w:header="0"/>
        </w:sectPr>
      </w:pPr>
    </w:p>
    <w:bookmarkStart w:id="163" w:name="page164"/>
    <w:bookmarkEnd w:id="163"/>
    <w:p>
      <w:pPr>
        <w:ind w:left="4"/>
        <w:spacing w:after="0" w:line="261" w:lineRule="auto"/>
        <w:rPr>
          <w:sz w:val="20"/>
          <w:szCs w:val="20"/>
          <w:color w:val="auto"/>
        </w:rPr>
      </w:pPr>
      <w:r>
        <w:rPr>
          <w:rFonts w:ascii="Arial" w:cs="Arial" w:eastAsia="Arial" w:hAnsi="Arial"/>
          <w:sz w:val="18"/>
          <w:szCs w:val="18"/>
          <w:color w:val="auto"/>
        </w:rPr>
        <w:t>Investment by a Loan Party in a Restricted Subsidiary that is not a Loan Party, no Event of Default shall have occurred and be continuing or would result therefrom;</w:t>
      </w:r>
    </w:p>
    <w:p>
      <w:pPr>
        <w:spacing w:after="0" w:line="184" w:lineRule="exact"/>
        <w:rPr>
          <w:sz w:val="20"/>
          <w:szCs w:val="20"/>
          <w:color w:val="auto"/>
        </w:rPr>
      </w:pPr>
    </w:p>
    <w:p>
      <w:pPr>
        <w:ind w:left="1044" w:hanging="396"/>
        <w:spacing w:after="0"/>
        <w:tabs>
          <w:tab w:leader="none" w:pos="104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and accommodation guarantees in the ordinary course of business;</w:t>
      </w:r>
    </w:p>
    <w:p>
      <w:pPr>
        <w:spacing w:after="0" w:line="211" w:lineRule="exact"/>
        <w:rPr>
          <w:rFonts w:ascii="Arial" w:cs="Arial" w:eastAsia="Arial" w:hAnsi="Arial"/>
          <w:sz w:val="18"/>
          <w:szCs w:val="18"/>
          <w:color w:val="auto"/>
        </w:rPr>
      </w:pPr>
    </w:p>
    <w:p>
      <w:pPr>
        <w:jc w:val="both"/>
        <w:ind w:left="4" w:firstLine="644"/>
        <w:spacing w:after="0" w:line="296" w:lineRule="auto"/>
        <w:tabs>
          <w:tab w:leader="none" w:pos="107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Investments (i) existing or contemplated on the Effective Date and set forth on Schedule 6.04 and any modification, replacement, renewal, reinvestment or extension thereof and (ii) Investments existing on the Effective Date by the Borrower or any Restricted Subsidiary in the Borrower or any Restricted Subsidiary and any modification, renewal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original Investment is not increased except by the terms of such Investment to the extent as set forth on Schedule 6.04 or as otherwise permitted by this Section 6.04;</w:t>
      </w:r>
    </w:p>
    <w:p>
      <w:pPr>
        <w:spacing w:after="0" w:line="145" w:lineRule="exact"/>
        <w:rPr>
          <w:rFonts w:ascii="Arial" w:cs="Arial" w:eastAsia="Arial" w:hAnsi="Arial"/>
          <w:sz w:val="16"/>
          <w:szCs w:val="16"/>
          <w:color w:val="auto"/>
        </w:rPr>
      </w:pPr>
    </w:p>
    <w:p>
      <w:pPr>
        <w:ind w:left="1004" w:hanging="356"/>
        <w:spacing w:after="0"/>
        <w:tabs>
          <w:tab w:leader="none" w:pos="100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Investments in Swap Agreements incurred in the ordinary course of business and not for speculative purposes;</w:t>
      </w:r>
    </w:p>
    <w:p>
      <w:pPr>
        <w:spacing w:after="0" w:line="225" w:lineRule="exact"/>
        <w:rPr>
          <w:rFonts w:ascii="Arial" w:cs="Arial" w:eastAsia="Arial" w:hAnsi="Arial"/>
          <w:sz w:val="18"/>
          <w:szCs w:val="18"/>
          <w:color w:val="auto"/>
        </w:rPr>
      </w:pPr>
    </w:p>
    <w:p>
      <w:pPr>
        <w:ind w:left="1044" w:hanging="396"/>
        <w:spacing w:after="0"/>
        <w:tabs>
          <w:tab w:leader="none" w:pos="104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promissory notes and other non-cash consideration received in connection with Dispositions permitted by Section 6.05;</w:t>
      </w:r>
    </w:p>
    <w:p>
      <w:pPr>
        <w:spacing w:after="0" w:line="211" w:lineRule="exact"/>
        <w:rPr>
          <w:rFonts w:ascii="Arial" w:cs="Arial" w:eastAsia="Arial" w:hAnsi="Arial"/>
          <w:sz w:val="18"/>
          <w:szCs w:val="18"/>
          <w:color w:val="auto"/>
        </w:rPr>
      </w:pPr>
    </w:p>
    <w:p>
      <w:pPr>
        <w:ind w:left="1044" w:hanging="396"/>
        <w:spacing w:after="0"/>
        <w:tabs>
          <w:tab w:leader="none" w:pos="104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1004" w:hanging="356"/>
        <w:spacing w:after="0"/>
        <w:tabs>
          <w:tab w:leader="none" w:pos="100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11" w:lineRule="exact"/>
        <w:rPr>
          <w:rFonts w:ascii="Arial" w:cs="Arial" w:eastAsia="Arial" w:hAnsi="Arial"/>
          <w:sz w:val="18"/>
          <w:szCs w:val="18"/>
          <w:color w:val="auto"/>
        </w:rPr>
      </w:pPr>
    </w:p>
    <w:p>
      <w:pPr>
        <w:ind w:left="4" w:firstLine="644"/>
        <w:spacing w:after="0" w:line="291" w:lineRule="auto"/>
        <w:tabs>
          <w:tab w:leader="none" w:pos="106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160" w:lineRule="exact"/>
        <w:rPr>
          <w:rFonts w:ascii="Arial" w:cs="Arial" w:eastAsia="Arial" w:hAnsi="Arial"/>
          <w:sz w:val="17"/>
          <w:szCs w:val="17"/>
          <w:color w:val="auto"/>
        </w:rPr>
      </w:pPr>
    </w:p>
    <w:p>
      <w:pPr>
        <w:jc w:val="both"/>
        <w:ind w:left="4" w:firstLine="644"/>
        <w:spacing w:after="0" w:line="278" w:lineRule="auto"/>
        <w:tabs>
          <w:tab w:leader="none" w:pos="1151"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57" w:lineRule="exact"/>
        <w:rPr>
          <w:rFonts w:ascii="Arial" w:cs="Arial" w:eastAsia="Arial" w:hAnsi="Arial"/>
          <w:sz w:val="17"/>
          <w:szCs w:val="17"/>
          <w:color w:val="auto"/>
        </w:rPr>
      </w:pPr>
    </w:p>
    <w:p>
      <w:pPr>
        <w:jc w:val="both"/>
        <w:ind w:left="4" w:firstLine="644"/>
        <w:spacing w:after="0" w:line="254" w:lineRule="auto"/>
        <w:tabs>
          <w:tab w:leader="none" w:pos="106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spacing w:after="0" w:line="176" w:lineRule="exact"/>
        <w:rPr>
          <w:rFonts w:ascii="Arial" w:cs="Arial" w:eastAsia="Arial" w:hAnsi="Arial"/>
          <w:sz w:val="18"/>
          <w:szCs w:val="18"/>
          <w:color w:val="auto"/>
        </w:rPr>
      </w:pPr>
    </w:p>
    <w:p>
      <w:pPr>
        <w:jc w:val="both"/>
        <w:ind w:left="4" w:firstLine="644"/>
        <w:spacing w:after="0" w:line="276" w:lineRule="auto"/>
        <w:tabs>
          <w:tab w:leader="none" w:pos="118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additional Investments and other acquisitions;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 $195,000,000 and (B) 50% of Consolidated EBITDA for the most recently ended Test Period after giving Pro Forma Effect to the making of such Investment or other acquisition,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so long as immediately after giving effect to any such Investment</w:t>
      </w:r>
    </w:p>
    <w:p>
      <w:pPr>
        <w:jc w:val="both"/>
        <w:ind w:left="4" w:hanging="4"/>
        <w:spacing w:after="0" w:line="283" w:lineRule="auto"/>
        <w:tabs>
          <w:tab w:leader="none" w:pos="26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Available Equity Amount that is Not Otherwise Applied as in effect immediately prior to the time of making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General Restricted Payment Reallocated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Junior Debt Payment Reallocated Amount;</w:t>
      </w:r>
    </w:p>
    <w:p>
      <w:pPr>
        <w:spacing w:after="0" w:line="170" w:lineRule="exact"/>
        <w:rPr>
          <w:rFonts w:ascii="Arial" w:cs="Arial" w:eastAsia="Arial" w:hAnsi="Arial"/>
          <w:sz w:val="16"/>
          <w:szCs w:val="16"/>
          <w:color w:val="auto"/>
        </w:rPr>
      </w:pPr>
    </w:p>
    <w:p>
      <w:pPr>
        <w:ind w:left="1044" w:hanging="396"/>
        <w:spacing w:after="0"/>
        <w:tabs>
          <w:tab w:leader="none" w:pos="104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584"/>
          </w:cols>
          <w:pgMar w:left="976" w:top="1421" w:right="339" w:bottom="1440" w:gutter="0" w:footer="0" w:header="0"/>
        </w:sectPr>
      </w:pPr>
    </w:p>
    <w:bookmarkStart w:id="164" w:name="page165"/>
    <w:bookmarkEnd w:id="164"/>
    <w:p>
      <w:pPr>
        <w:jc w:val="both"/>
        <w:ind w:left="4" w:firstLine="644"/>
        <w:spacing w:after="0" w:line="256" w:lineRule="auto"/>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w:t>
      </w:r>
    </w:p>
    <w:p>
      <w:pPr>
        <w:spacing w:after="0" w:line="174" w:lineRule="exact"/>
        <w:rPr>
          <w:rFonts w:ascii="Arial" w:cs="Arial" w:eastAsia="Arial" w:hAnsi="Arial"/>
          <w:sz w:val="18"/>
          <w:szCs w:val="18"/>
          <w:color w:val="auto"/>
        </w:rPr>
      </w:pPr>
    </w:p>
    <w:p>
      <w:pPr>
        <w:jc w:val="both"/>
        <w:ind w:left="4" w:firstLine="644"/>
        <w:spacing w:after="0" w:line="288" w:lineRule="auto"/>
        <w:tabs>
          <w:tab w:leader="none" w:pos="116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Investments of a Subsidiary acquired after the Effective Date or of a Person merged, amalgamated or consolidated with any Subsidiary in accordance with this Section 6.04 and Section 6.03 after the Effective Date or that otherwise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165" w:lineRule="exact"/>
        <w:rPr>
          <w:rFonts w:ascii="Arial" w:cs="Arial" w:eastAsia="Arial" w:hAnsi="Arial"/>
          <w:sz w:val="16"/>
          <w:szCs w:val="16"/>
          <w:color w:val="auto"/>
        </w:rPr>
      </w:pPr>
    </w:p>
    <w:p>
      <w:pPr>
        <w:ind w:left="1044" w:hanging="396"/>
        <w:spacing w:after="0"/>
        <w:tabs>
          <w:tab w:leader="none" w:pos="1044" w:val="left"/>
        </w:tabs>
        <w:numPr>
          <w:ilvl w:val="1"/>
          <w:numId w:val="199"/>
        </w:numPr>
        <w:rPr>
          <w:rFonts w:ascii="Arial" w:cs="Arial" w:eastAsia="Arial" w:hAnsi="Arial"/>
          <w:sz w:val="17"/>
          <w:szCs w:val="17"/>
          <w:color w:val="auto"/>
        </w:rPr>
      </w:pPr>
      <w:r>
        <w:rPr>
          <w:rFonts w:ascii="Arial" w:cs="Arial" w:eastAsia="Arial" w:hAnsi="Arial"/>
          <w:sz w:val="17"/>
          <w:szCs w:val="17"/>
          <w:color w:val="auto"/>
        </w:rPr>
        <w:t>Receivables owing to the Borrower or any Restricted Subsidiary, if created or acquired in the ordinary course of business;</w:t>
      </w:r>
    </w:p>
    <w:p>
      <w:pPr>
        <w:spacing w:after="0" w:line="223" w:lineRule="exact"/>
        <w:rPr>
          <w:rFonts w:ascii="Arial" w:cs="Arial" w:eastAsia="Arial" w:hAnsi="Arial"/>
          <w:sz w:val="17"/>
          <w:szCs w:val="17"/>
          <w:color w:val="auto"/>
        </w:rPr>
      </w:pPr>
    </w:p>
    <w:p>
      <w:pPr>
        <w:ind w:left="1044" w:hanging="396"/>
        <w:spacing w:after="0"/>
        <w:tabs>
          <w:tab w:leader="none" w:pos="1044"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Investments (A) for utilities, security deposits, leases and similar prepaid expenses incurred in the ordinary course of business and</w:t>
      </w:r>
    </w:p>
    <w:p>
      <w:pPr>
        <w:spacing w:after="0" w:line="46" w:lineRule="exact"/>
        <w:rPr>
          <w:rFonts w:ascii="Arial" w:cs="Arial" w:eastAsia="Arial" w:hAnsi="Arial"/>
          <w:sz w:val="16"/>
          <w:szCs w:val="16"/>
          <w:color w:val="auto"/>
        </w:rPr>
      </w:pPr>
    </w:p>
    <w:p>
      <w:pPr>
        <w:ind w:left="284" w:hanging="284"/>
        <w:spacing w:after="0"/>
        <w:tabs>
          <w:tab w:leader="none" w:pos="28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trade accounts created, or prepaid expenses accrued, in the ordinary course of business;</w:t>
      </w:r>
    </w:p>
    <w:p>
      <w:pPr>
        <w:spacing w:after="0" w:line="197" w:lineRule="exact"/>
        <w:rPr>
          <w:rFonts w:ascii="Arial" w:cs="Arial" w:eastAsia="Arial" w:hAnsi="Arial"/>
          <w:sz w:val="18"/>
          <w:szCs w:val="18"/>
          <w:color w:val="auto"/>
        </w:rPr>
      </w:pPr>
    </w:p>
    <w:p>
      <w:pPr>
        <w:ind w:left="4" w:firstLine="644"/>
        <w:spacing w:after="0" w:line="261" w:lineRule="auto"/>
        <w:tabs>
          <w:tab w:leader="none" w:pos="108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184" w:lineRule="exact"/>
        <w:rPr>
          <w:rFonts w:ascii="Arial" w:cs="Arial" w:eastAsia="Arial" w:hAnsi="Arial"/>
          <w:sz w:val="18"/>
          <w:szCs w:val="18"/>
          <w:color w:val="auto"/>
        </w:rPr>
      </w:pPr>
    </w:p>
    <w:p>
      <w:pPr>
        <w:jc w:val="both"/>
        <w:ind w:left="4" w:firstLine="644"/>
        <w:spacing w:after="0" w:line="256" w:lineRule="auto"/>
        <w:tabs>
          <w:tab w:leader="none" w:pos="103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174" w:lineRule="exact"/>
        <w:rPr>
          <w:rFonts w:ascii="Arial" w:cs="Arial" w:eastAsia="Arial" w:hAnsi="Arial"/>
          <w:sz w:val="18"/>
          <w:szCs w:val="18"/>
          <w:color w:val="auto"/>
        </w:rPr>
      </w:pPr>
    </w:p>
    <w:p>
      <w:pPr>
        <w:ind w:left="4" w:firstLine="644"/>
        <w:spacing w:after="0" w:line="277" w:lineRule="auto"/>
        <w:tabs>
          <w:tab w:leader="none" w:pos="104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Investments consisting of Indebtedness, Liens, fundamental changes, Dispositions and Restricted Payments permitted (other than by reference to this Section 6.04(v)) under Sections 6.01, 6.02, 6.03, 6.05 and 6.07, respectively;</w:t>
      </w:r>
    </w:p>
    <w:p>
      <w:pPr>
        <w:spacing w:after="0" w:line="156" w:lineRule="exact"/>
        <w:rPr>
          <w:rFonts w:ascii="Arial" w:cs="Arial" w:eastAsia="Arial" w:hAnsi="Arial"/>
          <w:sz w:val="18"/>
          <w:szCs w:val="18"/>
          <w:color w:val="auto"/>
        </w:rPr>
      </w:pPr>
    </w:p>
    <w:p>
      <w:pPr>
        <w:ind w:left="4" w:firstLine="644"/>
        <w:spacing w:after="0" w:line="277" w:lineRule="auto"/>
        <w:tabs>
          <w:tab w:leader="none" w:pos="117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156" w:lineRule="exact"/>
        <w:rPr>
          <w:rFonts w:ascii="Arial" w:cs="Arial" w:eastAsia="Arial" w:hAnsi="Arial"/>
          <w:sz w:val="18"/>
          <w:szCs w:val="18"/>
          <w:color w:val="auto"/>
        </w:rPr>
      </w:pPr>
    </w:p>
    <w:p>
      <w:pPr>
        <w:ind w:left="4" w:firstLine="644"/>
        <w:spacing w:after="0" w:line="342" w:lineRule="auto"/>
        <w:tabs>
          <w:tab w:leader="none" w:pos="122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10" w:lineRule="exact"/>
        <w:rPr>
          <w:rFonts w:ascii="Arial" w:cs="Arial" w:eastAsia="Arial" w:hAnsi="Arial"/>
          <w:sz w:val="16"/>
          <w:szCs w:val="16"/>
          <w:color w:val="auto"/>
        </w:rPr>
      </w:pPr>
    </w:p>
    <w:p>
      <w:pPr>
        <w:ind w:left="4" w:firstLine="644"/>
        <w:spacing w:after="0" w:line="261" w:lineRule="auto"/>
        <w:tabs>
          <w:tab w:leader="none" w:pos="107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intercompany cash management arrangements or related activities arising in the ordinary course of business;</w:t>
      </w:r>
    </w:p>
    <w:p>
      <w:pPr>
        <w:spacing w:after="0" w:line="184" w:lineRule="exact"/>
        <w:rPr>
          <w:rFonts w:ascii="Arial" w:cs="Arial" w:eastAsia="Arial" w:hAnsi="Arial"/>
          <w:sz w:val="18"/>
          <w:szCs w:val="18"/>
          <w:color w:val="auto"/>
        </w:rPr>
      </w:pPr>
    </w:p>
    <w:p>
      <w:pPr>
        <w:ind w:left="4" w:firstLine="644"/>
        <w:spacing w:after="0" w:line="261" w:lineRule="auto"/>
        <w:tabs>
          <w:tab w:leader="none" w:pos="10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184" w:lineRule="exact"/>
        <w:rPr>
          <w:rFonts w:ascii="Arial" w:cs="Arial" w:eastAsia="Arial" w:hAnsi="Arial"/>
          <w:sz w:val="18"/>
          <w:szCs w:val="18"/>
          <w:color w:val="auto"/>
        </w:rPr>
      </w:pPr>
    </w:p>
    <w:p>
      <w:pPr>
        <w:jc w:val="both"/>
        <w:ind w:left="4" w:firstLine="644"/>
        <w:spacing w:after="0" w:line="249" w:lineRule="auto"/>
        <w:tabs>
          <w:tab w:leader="none" w:pos="112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and</w:t>
      </w:r>
    </w:p>
    <w:p>
      <w:pPr>
        <w:spacing w:after="0" w:line="194" w:lineRule="exact"/>
        <w:rPr>
          <w:sz w:val="20"/>
          <w:szCs w:val="20"/>
          <w:color w:val="auto"/>
        </w:rPr>
      </w:pPr>
    </w:p>
    <w:p>
      <w:pPr>
        <w:ind w:left="1104" w:hanging="456"/>
        <w:spacing w:after="0"/>
        <w:tabs>
          <w:tab w:leader="none" w:pos="110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connection with Settlements.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764"/>
        <w:spacing w:after="0"/>
        <w:rPr>
          <w:rFonts w:ascii="Arial" w:cs="Arial" w:eastAsia="Arial" w:hAnsi="Arial"/>
          <w:sz w:val="18"/>
          <w:szCs w:val="18"/>
          <w:color w:val="auto"/>
        </w:rPr>
      </w:pPr>
      <w:r>
        <w:rPr>
          <w:rFonts w:ascii="Arial" w:cs="Arial" w:eastAsia="Arial" w:hAnsi="Arial"/>
          <w:sz w:val="18"/>
          <w:szCs w:val="18"/>
          <w:color w:val="auto"/>
        </w:rPr>
        <w:t>-147-</w:t>
      </w:r>
    </w:p>
    <w:p>
      <w:pPr>
        <w:sectPr>
          <w:pgSz w:w="11900" w:h="16838" w:orient="portrait"/>
          <w:cols w:equalWidth="0" w:num="1">
            <w:col w:w="10584"/>
          </w:cols>
          <w:pgMar w:left="976" w:top="1421" w:right="339" w:bottom="1440" w:gutter="0" w:footer="0" w:header="0"/>
        </w:sectPr>
      </w:pPr>
    </w:p>
    <w:bookmarkStart w:id="165" w:name="page166"/>
    <w:bookmarkEnd w:id="165"/>
    <w:p>
      <w:pPr>
        <w:ind w:left="1300"/>
        <w:spacing w:after="0"/>
        <w:tabs>
          <w:tab w:leader="none" w:pos="25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Arial" w:cs="Arial" w:eastAsia="Arial" w:hAnsi="Arial"/>
          <w:sz w:val="18"/>
          <w:szCs w:val="18"/>
          <w:u w:val="single" w:color="auto"/>
          <w:color w:val="auto"/>
        </w:rPr>
        <w:t>Disposition</w:t>
      </w:r>
      <w:r>
        <w:rPr>
          <w:rFonts w:ascii="Arial" w:cs="Arial" w:eastAsia="Arial" w:hAnsi="Arial"/>
          <w:sz w:val="18"/>
          <w:szCs w:val="18"/>
          <w:color w:val="auto"/>
        </w:rPr>
        <w:t>” and the term “</w:t>
      </w:r>
      <w:r>
        <w:rPr>
          <w:rFonts w:ascii="Arial" w:cs="Arial" w:eastAsia="Arial" w:hAnsi="Arial"/>
          <w:sz w:val="18"/>
          <w:szCs w:val="18"/>
          <w:u w:val="single" w:color="auto"/>
          <w:color w:val="auto"/>
        </w:rPr>
        <w:t>Dispose</w:t>
      </w:r>
      <w:r>
        <w:rPr>
          <w:rFonts w:ascii="Arial" w:cs="Arial" w:eastAsia="Arial" w:hAnsi="Arial"/>
          <w:sz w:val="18"/>
          <w:szCs w:val="18"/>
          <w:color w:val="auto"/>
        </w:rPr>
        <w:t>” as a verb has the corresponding meaning), except:</w:t>
      </w:r>
    </w:p>
    <w:p>
      <w:pPr>
        <w:spacing w:after="0" w:line="195" w:lineRule="exact"/>
        <w:rPr>
          <w:sz w:val="20"/>
          <w:szCs w:val="20"/>
          <w:color w:val="auto"/>
        </w:rPr>
      </w:pPr>
    </w:p>
    <w:p>
      <w:pPr>
        <w:jc w:val="both"/>
        <w:ind w:left="660" w:firstLine="644"/>
        <w:spacing w:after="0" w:line="283" w:lineRule="auto"/>
        <w:tabs>
          <w:tab w:leader="none" w:pos="173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spacing w:after="0" w:line="156" w:lineRule="exact"/>
        <w:rPr>
          <w:rFonts w:ascii="Arial" w:cs="Arial" w:eastAsia="Arial" w:hAnsi="Arial"/>
          <w:sz w:val="16"/>
          <w:szCs w:val="16"/>
          <w:color w:val="auto"/>
        </w:rPr>
      </w:pPr>
    </w:p>
    <w:p>
      <w:pPr>
        <w:ind w:left="660" w:firstLine="644"/>
        <w:spacing w:after="0" w:line="277" w:lineRule="auto"/>
        <w:tabs>
          <w:tab w:leader="none" w:pos="171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156" w:lineRule="exact"/>
        <w:rPr>
          <w:rFonts w:ascii="Arial" w:cs="Arial" w:eastAsia="Arial" w:hAnsi="Arial"/>
          <w:sz w:val="18"/>
          <w:szCs w:val="18"/>
          <w:color w:val="auto"/>
        </w:rPr>
      </w:pPr>
    </w:p>
    <w:p>
      <w:pPr>
        <w:ind w:left="660" w:firstLine="644"/>
        <w:spacing w:after="0" w:line="342" w:lineRule="auto"/>
        <w:tabs>
          <w:tab w:leader="none" w:pos="169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110" w:lineRule="exact"/>
        <w:rPr>
          <w:rFonts w:ascii="Arial" w:cs="Arial" w:eastAsia="Arial" w:hAnsi="Arial"/>
          <w:sz w:val="16"/>
          <w:szCs w:val="16"/>
          <w:color w:val="auto"/>
        </w:rPr>
      </w:pPr>
    </w:p>
    <w:p>
      <w:pPr>
        <w:jc w:val="both"/>
        <w:ind w:left="660" w:firstLine="644"/>
        <w:spacing w:after="0" w:line="249" w:lineRule="auto"/>
        <w:tabs>
          <w:tab w:leader="none" w:pos="171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183" w:lineRule="exact"/>
        <w:rPr>
          <w:rFonts w:ascii="Arial" w:cs="Arial" w:eastAsia="Arial" w:hAnsi="Arial"/>
          <w:sz w:val="18"/>
          <w:szCs w:val="18"/>
          <w:color w:val="auto"/>
        </w:rPr>
      </w:pPr>
    </w:p>
    <w:p>
      <w:pPr>
        <w:ind w:left="660" w:firstLine="644"/>
        <w:spacing w:after="0" w:line="261" w:lineRule="auto"/>
        <w:tabs>
          <w:tab w:leader="none" w:pos="171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Dispositions permitted by Section 6.03, Investments permitted by Section 6.04, Restricted Payments permitted by Section 6.07 and Liens permitted by Section 6.02;</w:t>
      </w:r>
    </w:p>
    <w:p>
      <w:pPr>
        <w:spacing w:after="0" w:line="184" w:lineRule="exact"/>
        <w:rPr>
          <w:rFonts w:ascii="Arial" w:cs="Arial" w:eastAsia="Arial" w:hAnsi="Arial"/>
          <w:sz w:val="18"/>
          <w:szCs w:val="18"/>
          <w:color w:val="auto"/>
        </w:rPr>
      </w:pPr>
    </w:p>
    <w:p>
      <w:pPr>
        <w:ind w:left="660" w:firstLine="644"/>
        <w:spacing w:after="0" w:line="261" w:lineRule="auto"/>
        <w:tabs>
          <w:tab w:leader="none" w:pos="172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Dispositions of property acquired by the Borrower or any of the Restricted Subsidiaries after the Effective Date pursuant to sale-leaseback transactions;</w:t>
      </w:r>
    </w:p>
    <w:p>
      <w:pPr>
        <w:spacing w:after="0" w:line="184" w:lineRule="exact"/>
        <w:rPr>
          <w:rFonts w:ascii="Arial" w:cs="Arial" w:eastAsia="Arial" w:hAnsi="Arial"/>
          <w:sz w:val="18"/>
          <w:szCs w:val="18"/>
          <w:color w:val="auto"/>
        </w:rPr>
      </w:pPr>
    </w:p>
    <w:p>
      <w:pPr>
        <w:ind w:left="1700" w:hanging="396"/>
        <w:spacing w:after="0"/>
        <w:tabs>
          <w:tab w:leader="none" w:pos="1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Dispositions of Permitted Investments;</w:t>
      </w:r>
    </w:p>
    <w:p>
      <w:pPr>
        <w:spacing w:after="0" w:line="211"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Dispositions or forgiveness of accounts receivable in connection with the collection or compromise thereof (including sales to factors or other third parties);</w:t>
      </w:r>
    </w:p>
    <w:p>
      <w:pPr>
        <w:spacing w:after="0" w:line="156" w:lineRule="exact"/>
        <w:rPr>
          <w:rFonts w:ascii="Arial" w:cs="Arial" w:eastAsia="Arial" w:hAnsi="Arial"/>
          <w:sz w:val="18"/>
          <w:szCs w:val="18"/>
          <w:color w:val="auto"/>
        </w:rPr>
      </w:pPr>
    </w:p>
    <w:p>
      <w:pPr>
        <w:ind w:left="660" w:firstLine="644"/>
        <w:spacing w:after="0" w:line="342" w:lineRule="auto"/>
        <w:tabs>
          <w:tab w:leader="none" w:pos="178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spacing w:after="0" w:line="110" w:lineRule="exact"/>
        <w:rPr>
          <w:rFonts w:ascii="Arial" w:cs="Arial" w:eastAsia="Arial" w:hAnsi="Arial"/>
          <w:sz w:val="16"/>
          <w:szCs w:val="16"/>
          <w:color w:val="auto"/>
        </w:rPr>
      </w:pPr>
    </w:p>
    <w:p>
      <w:pPr>
        <w:ind w:left="1660" w:hanging="356"/>
        <w:spacing w:after="0"/>
        <w:tabs>
          <w:tab w:leader="none" w:pos="1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transfers of property subject to Casualty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21" w:right="339" w:bottom="1440" w:gutter="0" w:footer="0" w:header="0"/>
        </w:sectPr>
      </w:pPr>
    </w:p>
    <w:bookmarkStart w:id="166" w:name="page167"/>
    <w:bookmarkEnd w:id="166"/>
    <w:p>
      <w:pPr>
        <w:jc w:val="both"/>
        <w:ind w:left="-460" w:firstLine="644"/>
        <w:spacing w:after="0" w:line="258" w:lineRule="auto"/>
        <w:tabs>
          <w:tab w:leader="none" w:pos="69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Disposition pursuant to this clause (k) for a purchase price in excess of $200,000,000, the Borrower or such Restricted Subsidiaries shall receive not less than 75% of such consideration in the form of cash or Permitted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solely for the purposes of this clause (k), (A) 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$200,000,000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Required Revolving Lenders may waive such requirement;</w:t>
      </w:r>
    </w:p>
    <w:p>
      <w:pPr>
        <w:spacing w:after="0" w:line="183" w:lineRule="exact"/>
        <w:rPr>
          <w:rFonts w:ascii="Arial" w:cs="Arial" w:eastAsia="Arial" w:hAnsi="Arial"/>
          <w:sz w:val="17"/>
          <w:szCs w:val="17"/>
          <w:color w:val="auto"/>
        </w:rPr>
      </w:pPr>
    </w:p>
    <w:p>
      <w:pPr>
        <w:ind w:left="-460" w:firstLine="644"/>
        <w:spacing w:after="0" w:line="261" w:lineRule="auto"/>
        <w:tabs>
          <w:tab w:leader="none" w:pos="65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84" w:lineRule="exact"/>
        <w:rPr>
          <w:rFonts w:ascii="Arial" w:cs="Arial" w:eastAsia="Arial" w:hAnsi="Arial"/>
          <w:sz w:val="18"/>
          <w:szCs w:val="18"/>
          <w:color w:val="auto"/>
        </w:rPr>
      </w:pPr>
    </w:p>
    <w:p>
      <w:pPr>
        <w:ind w:left="620" w:hanging="436"/>
        <w:spacing w:after="0"/>
        <w:tabs>
          <w:tab w:leader="none" w:pos="6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Disposition of the Equity Interests of any Immaterial Subsidiary or Unrestricted Subsidiary;</w:t>
      </w:r>
    </w:p>
    <w:p>
      <w:pPr>
        <w:spacing w:after="0" w:line="211" w:lineRule="exact"/>
        <w:rPr>
          <w:rFonts w:ascii="Arial" w:cs="Arial" w:eastAsia="Arial" w:hAnsi="Arial"/>
          <w:sz w:val="18"/>
          <w:szCs w:val="18"/>
          <w:color w:val="auto"/>
        </w:rPr>
      </w:pPr>
    </w:p>
    <w:p>
      <w:pPr>
        <w:jc w:val="both"/>
        <w:ind w:left="-460" w:firstLine="644"/>
        <w:spacing w:after="0" w:line="278" w:lineRule="auto"/>
        <w:tabs>
          <w:tab w:leader="none" w:pos="73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and (B) made to obtain the approval of any applicable antitrust authority in connection with a Permitted Acquisition;</w:t>
      </w:r>
    </w:p>
    <w:p>
      <w:pPr>
        <w:spacing w:after="0" w:line="171" w:lineRule="exact"/>
        <w:rPr>
          <w:rFonts w:ascii="Arial" w:cs="Arial" w:eastAsia="Arial" w:hAnsi="Arial"/>
          <w:sz w:val="17"/>
          <w:szCs w:val="17"/>
          <w:color w:val="auto"/>
        </w:rPr>
      </w:pPr>
    </w:p>
    <w:p>
      <w:pPr>
        <w:jc w:val="both"/>
        <w:ind w:left="-460" w:firstLine="644"/>
        <w:spacing w:after="0" w:line="249" w:lineRule="auto"/>
        <w:tabs>
          <w:tab w:leader="none" w:pos="61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194" w:lineRule="exact"/>
        <w:rPr>
          <w:rFonts w:ascii="Arial" w:cs="Arial" w:eastAsia="Arial" w:hAnsi="Arial"/>
          <w:sz w:val="18"/>
          <w:szCs w:val="18"/>
          <w:color w:val="auto"/>
        </w:rPr>
      </w:pPr>
    </w:p>
    <w:p>
      <w:pPr>
        <w:jc w:val="both"/>
        <w:ind w:left="-460" w:firstLine="644"/>
        <w:spacing w:after="0" w:line="249" w:lineRule="auto"/>
        <w:tabs>
          <w:tab w:leader="none" w:pos="6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120"/>
          </w:cols>
          <w:pgMar w:left="1440" w:top="1421" w:right="339" w:bottom="1440" w:gutter="0" w:footer="0" w:header="0"/>
        </w:sectPr>
      </w:pPr>
    </w:p>
    <w:bookmarkStart w:id="167" w:name="page168"/>
    <w:bookmarkEnd w:id="167"/>
    <w:p>
      <w:pPr>
        <w:ind w:left="1880" w:hanging="576"/>
        <w:spacing w:after="0"/>
        <w:tabs>
          <w:tab w:leader="none" w:pos="18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non-exclusive licenses or sublicenses, or other similar grants of rights, to Intellectual Property in the ordinary course of</w:t>
      </w:r>
    </w:p>
    <w:p>
      <w:pPr>
        <w:spacing w:after="0" w:line="2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Restricted Payments; Certain Payments of Indebtedness</w:t>
      </w:r>
      <w:r>
        <w:rPr>
          <w:rFonts w:ascii="Arial" w:cs="Arial" w:eastAsia="Arial" w:hAnsi="Arial"/>
          <w:sz w:val="16"/>
          <w:szCs w:val="16"/>
          <w:color w:val="auto"/>
        </w:rPr>
        <w:t>.</w:t>
      </w:r>
    </w:p>
    <w:p>
      <w:pPr>
        <w:spacing w:after="0" w:line="225" w:lineRule="exact"/>
        <w:rPr>
          <w:sz w:val="20"/>
          <w:szCs w:val="20"/>
          <w:color w:val="auto"/>
        </w:rPr>
      </w:pPr>
    </w:p>
    <w:p>
      <w:pPr>
        <w:ind w:firstLine="1104"/>
        <w:spacing w:after="0" w:line="261" w:lineRule="auto"/>
        <w:tabs>
          <w:tab w:leader="none" w:pos="158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declare or make, or agree to pay or make, directly or indirectly, any Restricted Payment, except:</w:t>
      </w:r>
    </w:p>
    <w:p>
      <w:pPr>
        <w:spacing w:after="0" w:line="184" w:lineRule="exact"/>
        <w:rPr>
          <w:rFonts w:ascii="Arial" w:cs="Arial" w:eastAsia="Arial" w:hAnsi="Arial"/>
          <w:sz w:val="18"/>
          <w:szCs w:val="18"/>
          <w:color w:val="auto"/>
        </w:rPr>
      </w:pPr>
    </w:p>
    <w:p>
      <w:pPr>
        <w:jc w:val="both"/>
        <w:ind w:left="420" w:firstLine="730"/>
        <w:spacing w:after="0" w:line="249" w:lineRule="auto"/>
        <w:tabs>
          <w:tab w:leader="none" w:pos="216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each Restricted Subsidiary may make Restricted Payments to (x)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181" w:lineRule="exact"/>
        <w:rPr>
          <w:rFonts w:ascii="Arial" w:cs="Arial" w:eastAsia="Arial" w:hAnsi="Arial"/>
          <w:sz w:val="18"/>
          <w:szCs w:val="18"/>
          <w:color w:val="auto"/>
        </w:rPr>
      </w:pPr>
    </w:p>
    <w:p>
      <w:pPr>
        <w:ind w:left="420" w:firstLine="680"/>
        <w:spacing w:after="0" w:line="261" w:lineRule="auto"/>
        <w:tabs>
          <w:tab w:leader="none" w:pos="217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Borrower and each Restricted Subsidiary may declare and make dividend payments or other distributions payable solely in the Equity Interests of such Person;</w:t>
      </w:r>
    </w:p>
    <w:p>
      <w:pPr>
        <w:spacing w:after="0" w:line="184" w:lineRule="exact"/>
        <w:rPr>
          <w:rFonts w:ascii="Arial" w:cs="Arial" w:eastAsia="Arial" w:hAnsi="Arial"/>
          <w:sz w:val="18"/>
          <w:szCs w:val="18"/>
          <w:color w:val="auto"/>
        </w:rPr>
      </w:pPr>
    </w:p>
    <w:p>
      <w:pPr>
        <w:ind w:left="2140" w:hanging="1089"/>
        <w:spacing w:after="0"/>
        <w:tabs>
          <w:tab w:leader="none" w:pos="21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Restricted Payments made in connection with the Transactions;</w:t>
      </w:r>
    </w:p>
    <w:p>
      <w:pPr>
        <w:spacing w:after="0" w:line="211" w:lineRule="exact"/>
        <w:rPr>
          <w:rFonts w:ascii="Arial" w:cs="Arial" w:eastAsia="Arial" w:hAnsi="Arial"/>
          <w:sz w:val="18"/>
          <w:szCs w:val="18"/>
          <w:color w:val="auto"/>
        </w:rPr>
      </w:pPr>
    </w:p>
    <w:p>
      <w:pPr>
        <w:jc w:val="both"/>
        <w:ind w:left="420" w:firstLine="640"/>
        <w:spacing w:after="0" w:line="278" w:lineRule="auto"/>
        <w:tabs>
          <w:tab w:leader="none" w:pos="2257" w:val="left"/>
        </w:tabs>
        <w:numPr>
          <w:ilvl w:val="1"/>
          <w:numId w:val="205"/>
        </w:numPr>
        <w:rPr>
          <w:rFonts w:ascii="Arial" w:cs="Arial" w:eastAsia="Arial" w:hAnsi="Arial"/>
          <w:sz w:val="17"/>
          <w:szCs w:val="17"/>
          <w:color w:val="auto"/>
        </w:rPr>
      </w:pPr>
      <w:r>
        <w:rPr>
          <w:rFonts w:ascii="Arial" w:cs="Arial" w:eastAsia="Arial" w:hAnsi="Arial"/>
          <w:sz w:val="17"/>
          <w:szCs w:val="17"/>
          <w:color w:val="auto"/>
        </w:rPr>
        <w:t>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171" w:lineRule="exact"/>
        <w:rPr>
          <w:rFonts w:ascii="Arial" w:cs="Arial" w:eastAsia="Arial" w:hAnsi="Arial"/>
          <w:sz w:val="17"/>
          <w:szCs w:val="17"/>
          <w:color w:val="auto"/>
        </w:rPr>
      </w:pPr>
    </w:p>
    <w:p>
      <w:pPr>
        <w:jc w:val="both"/>
        <w:ind w:left="420" w:firstLine="690"/>
        <w:spacing w:after="0" w:line="275" w:lineRule="auto"/>
        <w:tabs>
          <w:tab w:leader="none" w:pos="2154"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$15,000,000 in any calendar year with unused amounts in any calendar year being carried over to succeeding calendar years subject to a maximum of $35,000,000 in any calendar year (without giving effect to the following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in 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21" w:right="339" w:bottom="1440" w:gutter="0" w:footer="0" w:header="0"/>
        </w:sectPr>
      </w:pPr>
    </w:p>
    <w:bookmarkStart w:id="168" w:name="page169"/>
    <w:bookmarkEnd w:id="168"/>
    <w:p>
      <w:pPr>
        <w:jc w:val="both"/>
        <w:spacing w:after="0" w:line="247" w:lineRule="auto"/>
        <w:rPr>
          <w:sz w:val="20"/>
          <w:szCs w:val="20"/>
          <w:color w:val="auto"/>
        </w:rPr>
      </w:pPr>
      <w:r>
        <w:rPr>
          <w:rFonts w:ascii="Arial" w:cs="Arial" w:eastAsia="Arial" w:hAnsi="Arial"/>
          <w:sz w:val="18"/>
          <w:szCs w:val="18"/>
          <w:color w:val="auto"/>
        </w:rPr>
        <w:t xml:space="preserve">receipt of Equity Interests, the Fair Market Value of which is equal to or less than the amount of such cash bonuses, which, if not used in any year, may be carried forward to any subsequent fiscal year;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spacing w:after="0" w:line="183" w:lineRule="exact"/>
        <w:rPr>
          <w:sz w:val="20"/>
          <w:szCs w:val="20"/>
          <w:color w:val="auto"/>
        </w:rPr>
      </w:pPr>
    </w:p>
    <w:p>
      <w:pPr>
        <w:jc w:val="both"/>
        <w:ind w:firstLine="640"/>
        <w:spacing w:after="0" w:line="256" w:lineRule="auto"/>
        <w:tabs>
          <w:tab w:leader="none" w:pos="153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other Restricted Payments made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188" w:lineRule="exact"/>
        <w:rPr>
          <w:rFonts w:ascii="Arial" w:cs="Arial" w:eastAsia="Arial" w:hAnsi="Arial"/>
          <w:sz w:val="18"/>
          <w:szCs w:val="18"/>
          <w:color w:val="auto"/>
        </w:rPr>
      </w:pPr>
    </w:p>
    <w:p>
      <w:pPr>
        <w:ind w:left="1540" w:hanging="949"/>
        <w:spacing w:after="0"/>
        <w:tabs>
          <w:tab w:leader="none" w:pos="154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Borrower and any Restricted Subsidiary may make Restricted Payments in cash to the Borrower, Holdings and any</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Intermediate Parent:</w:t>
      </w:r>
    </w:p>
    <w:p>
      <w:pPr>
        <w:spacing w:after="0" w:line="196" w:lineRule="exact"/>
        <w:rPr>
          <w:sz w:val="20"/>
          <w:szCs w:val="20"/>
          <w:color w:val="auto"/>
        </w:rPr>
      </w:pPr>
    </w:p>
    <w:p>
      <w:pPr>
        <w:jc w:val="both"/>
        <w:ind w:left="880" w:firstLine="648"/>
        <w:spacing w:after="0" w:line="246" w:lineRule="auto"/>
        <w:rPr>
          <w:sz w:val="20"/>
          <w:szCs w:val="20"/>
          <w:color w:val="auto"/>
        </w:rPr>
      </w:pPr>
      <w:r>
        <w:rPr>
          <w:rFonts w:ascii="Arial" w:cs="Arial" w:eastAsia="Arial" w:hAnsi="Arial"/>
          <w:sz w:val="18"/>
          <w:szCs w:val="18"/>
          <w:color w:val="auto"/>
        </w:rPr>
        <w:t>(A). 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Arial" w:cs="Arial" w:eastAsia="Arial" w:hAnsi="Arial"/>
          <w:sz w:val="18"/>
          <w:szCs w:val="18"/>
          <w:u w:val="single" w:color="auto"/>
          <w:color w:val="auto"/>
        </w:rPr>
        <w:t>Tax Group</w:t>
      </w:r>
      <w:r>
        <w:rPr>
          <w:rFonts w:ascii="Arial" w:cs="Arial" w:eastAsia="Arial" w:hAnsi="Arial"/>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Arial" w:cs="Arial" w:eastAsia="Arial" w:hAnsi="Arial"/>
          <w:sz w:val="18"/>
          <w:szCs w:val="18"/>
          <w:u w:val="single" w:color="auto"/>
          <w:color w:val="auto"/>
        </w:rPr>
        <w:t>Tax Distributions</w:t>
      </w:r>
      <w:r>
        <w:rPr>
          <w:rFonts w:ascii="Arial" w:cs="Arial" w:eastAsia="Arial" w:hAnsi="Arial"/>
          <w:sz w:val="18"/>
          <w:szCs w:val="18"/>
          <w:color w:val="auto"/>
        </w:rPr>
        <w:t>”);</w:t>
      </w:r>
    </w:p>
    <w:p>
      <w:pPr>
        <w:spacing w:after="0" w:line="187" w:lineRule="exact"/>
        <w:rPr>
          <w:sz w:val="20"/>
          <w:szCs w:val="20"/>
          <w:color w:val="auto"/>
        </w:rPr>
      </w:pPr>
    </w:p>
    <w:p>
      <w:pPr>
        <w:jc w:val="both"/>
        <w:ind w:left="880" w:firstLine="648"/>
        <w:spacing w:after="0" w:line="260" w:lineRule="auto"/>
        <w:rPr>
          <w:sz w:val="20"/>
          <w:szCs w:val="20"/>
          <w:color w:val="auto"/>
        </w:rPr>
      </w:pPr>
      <w:r>
        <w:rPr>
          <w:rFonts w:ascii="Arial" w:cs="Arial" w:eastAsia="Arial" w:hAnsi="Arial"/>
          <w:sz w:val="17"/>
          <w:szCs w:val="17"/>
          <w:color w:val="auto"/>
        </w:rPr>
        <w:t>(B). 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 of Consolidated EBITDA for the most recently ended Test Period delivered pursuant to Section 5.01(a) as of the time of such Restricted Payment and (5) amounts that would otherwise be permitted to be paid pursuant to Section 6.08 (iii) or (xi);</w:t>
      </w:r>
    </w:p>
    <w:p>
      <w:pPr>
        <w:spacing w:after="0" w:line="172" w:lineRule="exact"/>
        <w:rPr>
          <w:sz w:val="20"/>
          <w:szCs w:val="20"/>
          <w:color w:val="auto"/>
        </w:rPr>
      </w:pPr>
    </w:p>
    <w:p>
      <w:pPr>
        <w:jc w:val="both"/>
        <w:ind w:left="880" w:firstLine="648"/>
        <w:spacing w:after="0" w:line="342" w:lineRule="auto"/>
        <w:rPr>
          <w:sz w:val="20"/>
          <w:szCs w:val="20"/>
          <w:color w:val="auto"/>
        </w:rPr>
      </w:pPr>
      <w:r>
        <w:rPr>
          <w:rFonts w:ascii="Arial" w:cs="Arial" w:eastAsia="Arial" w:hAnsi="Arial"/>
          <w:sz w:val="16"/>
          <w:szCs w:val="16"/>
          <w:color w:val="auto"/>
        </w:rPr>
        <w:t>(C). 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110" w:lineRule="exact"/>
        <w:rPr>
          <w:sz w:val="20"/>
          <w:szCs w:val="20"/>
          <w:color w:val="auto"/>
        </w:rPr>
      </w:pPr>
    </w:p>
    <w:p>
      <w:pPr>
        <w:jc w:val="both"/>
        <w:ind w:left="880" w:firstLine="648"/>
        <w:spacing w:after="0" w:line="277" w:lineRule="auto"/>
        <w:rPr>
          <w:sz w:val="20"/>
          <w:szCs w:val="20"/>
          <w:color w:val="auto"/>
        </w:rPr>
      </w:pPr>
      <w:r>
        <w:rPr>
          <w:rFonts w:ascii="Arial" w:cs="Arial" w:eastAsia="Arial" w:hAnsi="Arial"/>
          <w:sz w:val="18"/>
          <w:szCs w:val="18"/>
          <w:color w:val="auto"/>
        </w:rPr>
        <w:t xml:space="preserve">(D). to finance any Investment made by Holdings or any Intermediate Parent that, if made by the Borrower, would be permitted to be made pursuant to Section 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820"/>
          </w:cols>
          <w:pgMar w:left="740" w:top="1421" w:right="339" w:bottom="1440" w:gutter="0" w:footer="0" w:header="0"/>
        </w:sectPr>
      </w:pPr>
    </w:p>
    <w:bookmarkStart w:id="169" w:name="page170"/>
    <w:bookmarkEnd w:id="169"/>
    <w:p>
      <w:pPr>
        <w:jc w:val="both"/>
        <w:ind w:left="900"/>
        <w:spacing w:after="0" w:line="283" w:lineRule="auto"/>
        <w:rPr>
          <w:sz w:val="20"/>
          <w:szCs w:val="20"/>
          <w:color w:val="auto"/>
        </w:rPr>
      </w:pPr>
      <w:r>
        <w:rPr>
          <w:rFonts w:ascii="Arial" w:cs="Arial" w:eastAsia="Arial" w:hAnsi="Arial"/>
          <w:sz w:val="16"/>
          <w:szCs w:val="16"/>
          <w:color w:val="auto"/>
        </w:rPr>
        <w:t>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170" w:lineRule="exact"/>
        <w:rPr>
          <w:sz w:val="20"/>
          <w:szCs w:val="20"/>
          <w:color w:val="auto"/>
        </w:rPr>
      </w:pPr>
    </w:p>
    <w:p>
      <w:pPr>
        <w:jc w:val="both"/>
        <w:ind w:left="900" w:firstLine="648"/>
        <w:spacing w:after="0" w:line="256" w:lineRule="auto"/>
        <w:rPr>
          <w:sz w:val="20"/>
          <w:szCs w:val="20"/>
          <w:color w:val="auto"/>
        </w:rPr>
      </w:pPr>
      <w:r>
        <w:rPr>
          <w:rFonts w:ascii="Arial" w:cs="Arial" w:eastAsia="Arial" w:hAnsi="Arial"/>
          <w:sz w:val="18"/>
          <w:szCs w:val="18"/>
          <w:color w:val="auto"/>
        </w:rPr>
        <w:t>(E). 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spacing w:after="0" w:line="175" w:lineRule="exact"/>
        <w:rPr>
          <w:sz w:val="20"/>
          <w:szCs w:val="20"/>
          <w:color w:val="auto"/>
        </w:rPr>
      </w:pPr>
    </w:p>
    <w:p>
      <w:pPr>
        <w:ind w:left="900" w:right="220" w:firstLine="648"/>
        <w:spacing w:after="0" w:line="303" w:lineRule="auto"/>
        <w:rPr>
          <w:sz w:val="20"/>
          <w:szCs w:val="20"/>
          <w:color w:val="auto"/>
        </w:rPr>
      </w:pPr>
      <w:r>
        <w:rPr>
          <w:rFonts w:ascii="Arial" w:cs="Arial" w:eastAsia="Arial" w:hAnsi="Arial"/>
          <w:sz w:val="16"/>
          <w:szCs w:val="16"/>
          <w:color w:val="auto"/>
        </w:rPr>
        <w:t>(F). 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w:t>
      </w:r>
    </w:p>
    <w:p>
      <w:pPr>
        <w:spacing w:after="0" w:line="140" w:lineRule="exact"/>
        <w:rPr>
          <w:sz w:val="20"/>
          <w:szCs w:val="20"/>
          <w:color w:val="auto"/>
        </w:rPr>
      </w:pPr>
    </w:p>
    <w:p>
      <w:pPr>
        <w:ind w:left="1560"/>
        <w:spacing w:after="0"/>
        <w:tabs>
          <w:tab w:leader="none" w:pos="21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the proceeds of which shall be used to make payments permitted by clause (b)(iv) and (b)(v) of Section 6.07;</w:t>
      </w:r>
    </w:p>
    <w:p>
      <w:pPr>
        <w:spacing w:after="0" w:line="225" w:lineRule="exact"/>
        <w:rPr>
          <w:sz w:val="20"/>
          <w:szCs w:val="20"/>
          <w:color w:val="auto"/>
        </w:rPr>
      </w:pPr>
    </w:p>
    <w:p>
      <w:pPr>
        <w:jc w:val="both"/>
        <w:ind w:left="20" w:firstLine="907"/>
        <w:spacing w:after="0" w:line="267" w:lineRule="auto"/>
        <w:rPr>
          <w:sz w:val="20"/>
          <w:szCs w:val="20"/>
          <w:color w:val="auto"/>
        </w:rPr>
      </w:pPr>
      <w:r>
        <w:rPr>
          <w:rFonts w:ascii="Arial" w:cs="Arial" w:eastAsia="Arial" w:hAnsi="Arial"/>
          <w:sz w:val="17"/>
          <w:szCs w:val="17"/>
          <w:color w:val="auto"/>
        </w:rPr>
        <w:t xml:space="preserve">(viii). 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Available Equity Amount that is Not Otherwise Applied as in effect immediately prior to the time of making of such Restricted Payment;</w:t>
      </w:r>
    </w:p>
    <w:p>
      <w:pPr>
        <w:spacing w:after="0" w:line="168" w:lineRule="exact"/>
        <w:rPr>
          <w:sz w:val="20"/>
          <w:szCs w:val="20"/>
          <w:color w:val="auto"/>
        </w:rPr>
      </w:pPr>
    </w:p>
    <w:p>
      <w:pPr>
        <w:jc w:val="both"/>
        <w:ind w:firstLine="907"/>
        <w:spacing w:after="0" w:line="303" w:lineRule="auto"/>
        <w:rPr>
          <w:sz w:val="20"/>
          <w:szCs w:val="20"/>
          <w:color w:val="auto"/>
        </w:rPr>
      </w:pPr>
      <w:r>
        <w:rPr>
          <w:rFonts w:ascii="Arial" w:cs="Arial" w:eastAsia="Arial" w:hAnsi="Arial"/>
          <w:sz w:val="16"/>
          <w:szCs w:val="16"/>
          <w:color w:val="auto"/>
        </w:rPr>
        <w:t xml:space="preserve">(ix). 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new Equity Interests contain terms and provisions at least as advantageous to the Lenders in all respects material to their interests as those contained in the Equity Interests redeemed thereby;</w:t>
      </w:r>
    </w:p>
    <w:p>
      <w:pPr>
        <w:spacing w:after="0" w:line="154" w:lineRule="exact"/>
        <w:rPr>
          <w:sz w:val="20"/>
          <w:szCs w:val="20"/>
          <w:color w:val="auto"/>
        </w:rPr>
      </w:pPr>
    </w:p>
    <w:p>
      <w:pPr>
        <w:jc w:val="both"/>
        <w:ind w:firstLine="907"/>
        <w:spacing w:after="0" w:line="248" w:lineRule="auto"/>
        <w:rPr>
          <w:sz w:val="20"/>
          <w:szCs w:val="20"/>
          <w:color w:val="auto"/>
        </w:rPr>
      </w:pPr>
      <w:r>
        <w:rPr>
          <w:rFonts w:ascii="Arial" w:cs="Arial" w:eastAsia="Arial" w:hAnsi="Arial"/>
          <w:sz w:val="18"/>
          <w:szCs w:val="18"/>
          <w:color w:val="auto"/>
        </w:rPr>
        <w:t>(x). 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195" w:lineRule="exact"/>
        <w:rPr>
          <w:sz w:val="20"/>
          <w:szCs w:val="20"/>
          <w:color w:val="auto"/>
        </w:rPr>
      </w:pPr>
    </w:p>
    <w:p>
      <w:pPr>
        <w:jc w:val="both"/>
        <w:ind w:firstLine="907"/>
        <w:spacing w:after="0" w:line="249" w:lineRule="auto"/>
        <w:rPr>
          <w:sz w:val="20"/>
          <w:szCs w:val="20"/>
          <w:color w:val="auto"/>
        </w:rPr>
      </w:pPr>
      <w:r>
        <w:rPr>
          <w:rFonts w:ascii="Arial" w:cs="Arial" w:eastAsia="Arial" w:hAnsi="Arial"/>
          <w:sz w:val="18"/>
          <w:szCs w:val="18"/>
          <w:color w:val="auto"/>
        </w:rPr>
        <w:t>(xi). 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194" w:lineRule="exact"/>
        <w:rPr>
          <w:sz w:val="20"/>
          <w:szCs w:val="20"/>
          <w:color w:val="auto"/>
        </w:rPr>
      </w:pPr>
    </w:p>
    <w:p>
      <w:pPr>
        <w:jc w:val="both"/>
        <w:ind w:firstLine="907"/>
        <w:spacing w:after="0" w:line="249" w:lineRule="auto"/>
        <w:rPr>
          <w:sz w:val="20"/>
          <w:szCs w:val="20"/>
          <w:color w:val="auto"/>
        </w:rPr>
      </w:pPr>
      <w:r>
        <w:rPr>
          <w:rFonts w:ascii="Arial" w:cs="Arial" w:eastAsia="Arial" w:hAnsi="Arial"/>
          <w:sz w:val="18"/>
          <w:szCs w:val="18"/>
          <w:color w:val="auto"/>
        </w:rPr>
        <w:t>(xii). 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182" w:lineRule="exact"/>
        <w:rPr>
          <w:sz w:val="20"/>
          <w:szCs w:val="20"/>
          <w:color w:val="auto"/>
        </w:rPr>
      </w:pPr>
    </w:p>
    <w:p>
      <w:pPr>
        <w:ind w:left="900"/>
        <w:spacing w:after="0"/>
        <w:tabs>
          <w:tab w:leader="none" w:pos="1540" w:val="left"/>
        </w:tabs>
        <w:rPr>
          <w:sz w:val="20"/>
          <w:szCs w:val="20"/>
          <w:color w:val="auto"/>
        </w:rPr>
      </w:pPr>
      <w:r>
        <w:rPr>
          <w:rFonts w:ascii="Arial" w:cs="Arial" w:eastAsia="Arial" w:hAnsi="Arial"/>
          <w:sz w:val="18"/>
          <w:szCs w:val="18"/>
          <w:color w:val="auto"/>
        </w:rPr>
        <w:t>(xiii).</w:t>
      </w:r>
      <w:r>
        <w:rPr>
          <w:sz w:val="20"/>
          <w:szCs w:val="20"/>
          <w:color w:val="auto"/>
        </w:rPr>
        <w:tab/>
      </w:r>
      <w:r>
        <w:rPr>
          <w:rFonts w:ascii="Arial" w:cs="Arial" w:eastAsia="Arial" w:hAnsi="Arial"/>
          <w:sz w:val="16"/>
          <w:szCs w:val="16"/>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840"/>
          </w:cols>
          <w:pgMar w:left="720" w:top="1421" w:right="339" w:bottom="1440" w:gutter="0" w:footer="0" w:header="0"/>
        </w:sectPr>
      </w:pPr>
    </w:p>
    <w:bookmarkStart w:id="170" w:name="page171"/>
    <w:bookmarkEnd w:id="170"/>
    <w:p>
      <w:pPr>
        <w:jc w:val="both"/>
        <w:ind w:left="400" w:firstLine="907"/>
        <w:spacing w:after="0" w:line="249" w:lineRule="auto"/>
        <w:rPr>
          <w:sz w:val="20"/>
          <w:szCs w:val="20"/>
          <w:color w:val="auto"/>
        </w:rPr>
      </w:pPr>
      <w:r>
        <w:rPr>
          <w:rFonts w:ascii="Arial" w:cs="Arial" w:eastAsia="Arial" w:hAnsi="Arial"/>
          <w:sz w:val="18"/>
          <w:szCs w:val="18"/>
          <w:color w:val="auto"/>
        </w:rPr>
        <w:t>(xiv). 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w:t>
      </w:r>
    </w:p>
    <w:p>
      <w:pPr>
        <w:spacing w:after="0" w:line="19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(xv).</w:t>
      </w:r>
      <w:r>
        <w:rPr>
          <w:sz w:val="20"/>
          <w:szCs w:val="20"/>
          <w:color w:val="auto"/>
        </w:rPr>
        <w:tab/>
      </w:r>
      <w:r>
        <w:rPr>
          <w:rFonts w:ascii="Arial" w:cs="Arial" w:eastAsia="Arial" w:hAnsi="Arial"/>
          <w:sz w:val="16"/>
          <w:szCs w:val="16"/>
          <w:color w:val="auto"/>
        </w:rPr>
        <w:t>any distributions or payments of Securitization Fees.</w:t>
      </w:r>
    </w:p>
    <w:p>
      <w:pPr>
        <w:spacing w:after="0" w:line="212" w:lineRule="exact"/>
        <w:rPr>
          <w:sz w:val="20"/>
          <w:szCs w:val="20"/>
          <w:color w:val="auto"/>
        </w:rPr>
      </w:pPr>
    </w:p>
    <w:p>
      <w:pPr>
        <w:jc w:val="both"/>
        <w:ind w:firstLine="1094"/>
        <w:spacing w:after="0" w:line="249" w:lineRule="auto"/>
        <w:tabs>
          <w:tab w:leader="none" w:pos="15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195" w:lineRule="exact"/>
        <w:rPr>
          <w:sz w:val="20"/>
          <w:szCs w:val="20"/>
          <w:color w:val="auto"/>
        </w:rPr>
      </w:pPr>
    </w:p>
    <w:p>
      <w:pPr>
        <w:jc w:val="both"/>
        <w:ind w:left="400" w:firstLine="907"/>
        <w:spacing w:after="0" w:line="248" w:lineRule="auto"/>
        <w:rPr>
          <w:sz w:val="20"/>
          <w:szCs w:val="20"/>
          <w:color w:val="auto"/>
        </w:rPr>
      </w:pPr>
      <w:r>
        <w:rPr>
          <w:rFonts w:ascii="Arial" w:cs="Arial" w:eastAsia="Arial" w:hAnsi="Arial"/>
          <w:sz w:val="18"/>
          <w:szCs w:val="18"/>
          <w:color w:val="auto"/>
        </w:rPr>
        <w:t>(i). 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19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refinancings of Indebtedness to the extent permitted by Section 6.01;</w:t>
      </w:r>
    </w:p>
    <w:p>
      <w:pPr>
        <w:spacing w:after="0" w:line="212" w:lineRule="exact"/>
        <w:rPr>
          <w:sz w:val="20"/>
          <w:szCs w:val="20"/>
          <w:color w:val="auto"/>
        </w:rPr>
      </w:pPr>
    </w:p>
    <w:p>
      <w:pPr>
        <w:jc w:val="both"/>
        <w:ind w:left="400" w:firstLine="907"/>
        <w:spacing w:after="0" w:line="256" w:lineRule="auto"/>
        <w:rPr>
          <w:sz w:val="20"/>
          <w:szCs w:val="20"/>
          <w:color w:val="auto"/>
        </w:rPr>
      </w:pPr>
      <w:r>
        <w:rPr>
          <w:rFonts w:ascii="Arial" w:cs="Arial" w:eastAsia="Arial" w:hAnsi="Arial"/>
          <w:sz w:val="18"/>
          <w:szCs w:val="18"/>
          <w:color w:val="auto"/>
        </w:rPr>
        <w:t>(iii). 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spacing w:after="0" w:line="188" w:lineRule="exact"/>
        <w:rPr>
          <w:sz w:val="20"/>
          <w:szCs w:val="20"/>
          <w:color w:val="auto"/>
        </w:rPr>
      </w:pPr>
    </w:p>
    <w:p>
      <w:pPr>
        <w:jc w:val="both"/>
        <w:ind w:left="400" w:firstLine="907"/>
        <w:spacing w:after="0" w:line="260" w:lineRule="auto"/>
        <w:rPr>
          <w:sz w:val="20"/>
          <w:szCs w:val="20"/>
          <w:color w:val="auto"/>
        </w:rPr>
      </w:pPr>
      <w:r>
        <w:rPr>
          <w:rFonts w:ascii="Arial" w:cs="Arial" w:eastAsia="Arial" w:hAnsi="Arial"/>
          <w:sz w:val="17"/>
          <w:szCs w:val="17"/>
          <w:color w:val="auto"/>
        </w:rPr>
        <w:t xml:space="preserve">(iv). 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$60,000,000 and (2) 15% of Consolidated EBITDA for the most recently ended Test Period after giving Pro Forma Effect to the making of such prepayment, redemption, purchase, defeasance or other payment,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(1) so long as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Available Equity Amount that is Not Otherwise Applied as in effect immediately prior to the time of making of such Investment;</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payments made in connection with the Transactions;</w:t>
      </w:r>
    </w:p>
    <w:p>
      <w:pPr>
        <w:spacing w:after="0" w:line="212" w:lineRule="exact"/>
        <w:rPr>
          <w:sz w:val="20"/>
          <w:szCs w:val="20"/>
          <w:color w:val="auto"/>
        </w:rPr>
      </w:pPr>
    </w:p>
    <w:p>
      <w:pPr>
        <w:jc w:val="both"/>
        <w:ind w:left="400" w:firstLine="907"/>
        <w:spacing w:after="0" w:line="254" w:lineRule="auto"/>
        <w:rPr>
          <w:sz w:val="20"/>
          <w:szCs w:val="20"/>
          <w:color w:val="auto"/>
        </w:rPr>
      </w:pPr>
      <w:r>
        <w:rPr>
          <w:rFonts w:ascii="Arial" w:cs="Arial" w:eastAsia="Arial" w:hAnsi="Arial"/>
          <w:sz w:val="18"/>
          <w:szCs w:val="18"/>
          <w:color w:val="auto"/>
        </w:rPr>
        <w:t xml:space="preserve">(vi). prepayments, redemptions, purchases, defeasances and other payments in respect of Junior Financing prior to their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 and</w:t>
      </w:r>
    </w:p>
    <w:p>
      <w:pPr>
        <w:spacing w:after="0" w:line="177" w:lineRule="exact"/>
        <w:rPr>
          <w:sz w:val="20"/>
          <w:szCs w:val="20"/>
          <w:color w:val="auto"/>
        </w:rPr>
      </w:pPr>
    </w:p>
    <w:p>
      <w:pPr>
        <w:jc w:val="both"/>
        <w:ind w:left="400" w:firstLine="907"/>
        <w:spacing w:after="0" w:line="277" w:lineRule="auto"/>
        <w:rPr>
          <w:sz w:val="20"/>
          <w:szCs w:val="20"/>
          <w:color w:val="auto"/>
        </w:rPr>
      </w:pPr>
      <w:r>
        <w:rPr>
          <w:rFonts w:ascii="Arial" w:cs="Arial" w:eastAsia="Arial" w:hAnsi="Arial"/>
          <w:sz w:val="18"/>
          <w:szCs w:val="18"/>
          <w:color w:val="auto"/>
        </w:rPr>
        <w:t>(vii). prepayment of Junior Financing owed to the Borrower or any Restricted Subsidiary or the prepayment of Permitted Refinancing of such Indebtedness with the proceeds of any other Junior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21" w:right="339" w:bottom="1440" w:gutter="0" w:footer="0" w:header="0"/>
        </w:sectPr>
      </w:pPr>
    </w:p>
    <w:bookmarkStart w:id="171" w:name="page172"/>
    <w:bookmarkEnd w:id="171"/>
    <w:p>
      <w:pPr>
        <w:ind w:left="1300"/>
        <w:spacing w:after="0"/>
        <w:tabs>
          <w:tab w:leader="none" w:pos="25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 xml:space="preserve">The Borrower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Borrower or any Restricted Subsidiary or any entity that becomes a Restricted Subsidiary as a result of such transaction and (B) transactions involving aggregate payment or consideration of less than $40,000,000, (ii) 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Effective Date and set forth on Schedule 6.08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and (xvi) any other (A) Indebtedness permitted under Section 6.01 and Liens permitted under Section 6.02;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w:t>
      </w:r>
    </w:p>
    <w:p>
      <w:pPr>
        <w:spacing w:after="0" w:line="39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Restrictive Agreements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194" w:lineRule="exact"/>
        <w:rPr>
          <w:sz w:val="20"/>
          <w:szCs w:val="20"/>
          <w:color w:val="auto"/>
        </w:rPr>
      </w:pPr>
    </w:p>
    <w:p>
      <w:pPr>
        <w:jc w:val="both"/>
        <w:ind w:left="660" w:firstLine="644"/>
        <w:spacing w:after="0" w:line="256" w:lineRule="auto"/>
        <w:tabs>
          <w:tab w:leader="none" w:pos="181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restrictions and conditions imposed by (1) Requirements of Law, (2) any First Lien Loan Document, (3) any documentation governing First Lien Incremental Equivalent Debt, (4) any documentation governing Permitted Unsecured Refinancing Debt, Permitted First Priority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21" w:right="339" w:bottom="1440" w:gutter="0" w:footer="0" w:header="0"/>
        </w:sectPr>
      </w:pPr>
    </w:p>
    <w:bookmarkStart w:id="172" w:name="page173"/>
    <w:bookmarkEnd w:id="172"/>
    <w:p>
      <w:pPr>
        <w:jc w:val="both"/>
        <w:spacing w:after="0" w:line="290" w:lineRule="auto"/>
        <w:rPr>
          <w:sz w:val="20"/>
          <w:szCs w:val="20"/>
          <w:color w:val="auto"/>
        </w:rPr>
      </w:pPr>
      <w:r>
        <w:rPr>
          <w:rFonts w:ascii="Arial" w:cs="Arial" w:eastAsia="Arial" w:hAnsi="Arial"/>
          <w:sz w:val="16"/>
          <w:szCs w:val="16"/>
          <w:color w:val="auto"/>
        </w:rPr>
        <w:t>Debt or Permitted Second Priority Refinancing Debt, (5) any documentation governing other Indebtedness (other than intercompany debt owed to the Borrower or the Restricted Subsidiaries) that do not materially impair the Borrower’s ability to make payments on the Loans, (6) any documentation governing Indebtedness incurred pursuant to Section 6.01(a)(xxiv) or Section 6.01(a)(vii), (viii), (ix), (xv), (xxii) or (xxvii) and (6) any documentation governing any Permitted Refinancing incurred to refinance any such Indebtedness referenced in clauses (1) through (5) above;</w:t>
      </w:r>
    </w:p>
    <w:p>
      <w:pPr>
        <w:spacing w:after="0" w:line="164" w:lineRule="exact"/>
        <w:rPr>
          <w:sz w:val="20"/>
          <w:szCs w:val="20"/>
          <w:color w:val="auto"/>
        </w:rPr>
      </w:pPr>
    </w:p>
    <w:p>
      <w:pPr>
        <w:jc w:val="both"/>
        <w:ind w:firstLine="644"/>
        <w:spacing w:after="0" w:line="256" w:lineRule="auto"/>
        <w:tabs>
          <w:tab w:leader="none" w:pos="114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74" w:lineRule="exact"/>
        <w:rPr>
          <w:rFonts w:ascii="Arial" w:cs="Arial" w:eastAsia="Arial" w:hAnsi="Arial"/>
          <w:sz w:val="18"/>
          <w:szCs w:val="18"/>
          <w:color w:val="auto"/>
        </w:rPr>
      </w:pPr>
    </w:p>
    <w:p>
      <w:pPr>
        <w:ind w:firstLine="644"/>
        <w:spacing w:after="0" w:line="342" w:lineRule="auto"/>
        <w:tabs>
          <w:tab w:leader="none" w:pos="103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restrictions and conditions contained in agreements relating to the sale of a Subsidiary or any assets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Subsidiary or assets that is or are to be sold and such sale is permitted hereunder;</w:t>
      </w:r>
    </w:p>
    <w:p>
      <w:pPr>
        <w:spacing w:after="0" w:line="110" w:lineRule="exact"/>
        <w:rPr>
          <w:rFonts w:ascii="Arial" w:cs="Arial" w:eastAsia="Arial" w:hAnsi="Arial"/>
          <w:sz w:val="16"/>
          <w:szCs w:val="16"/>
          <w:color w:val="auto"/>
        </w:rPr>
      </w:pPr>
    </w:p>
    <w:p>
      <w:pPr>
        <w:ind w:firstLine="644"/>
        <w:spacing w:after="0" w:line="277" w:lineRule="auto"/>
        <w:tabs>
          <w:tab w:leader="none" w:pos="104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customary provisions in leases, licenses, sublicenses and other contracts (including licenses and sublicenses of Intellectual Property) restricting the assignment thereof;</w:t>
      </w:r>
    </w:p>
    <w:p>
      <w:pPr>
        <w:spacing w:after="0" w:line="156" w:lineRule="exact"/>
        <w:rPr>
          <w:rFonts w:ascii="Arial" w:cs="Arial" w:eastAsia="Arial" w:hAnsi="Arial"/>
          <w:sz w:val="18"/>
          <w:szCs w:val="18"/>
          <w:color w:val="auto"/>
        </w:rPr>
      </w:pPr>
    </w:p>
    <w:p>
      <w:pPr>
        <w:ind w:firstLine="644"/>
        <w:spacing w:after="0" w:line="261" w:lineRule="auto"/>
        <w:tabs>
          <w:tab w:leader="none" w:pos="107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such Indebtedness;</w:t>
      </w:r>
    </w:p>
    <w:p>
      <w:pPr>
        <w:spacing w:after="0" w:line="184" w:lineRule="exact"/>
        <w:rPr>
          <w:rFonts w:ascii="Arial" w:cs="Arial" w:eastAsia="Arial" w:hAnsi="Arial"/>
          <w:sz w:val="18"/>
          <w:szCs w:val="18"/>
          <w:color w:val="auto"/>
        </w:rPr>
      </w:pPr>
    </w:p>
    <w:p>
      <w:pPr>
        <w:jc w:val="both"/>
        <w:ind w:firstLine="644"/>
        <w:spacing w:after="0" w:line="249" w:lineRule="auto"/>
        <w:tabs>
          <w:tab w:leader="none" w:pos="10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194" w:lineRule="exact"/>
        <w:rPr>
          <w:rFonts w:ascii="Arial" w:cs="Arial" w:eastAsia="Arial" w:hAnsi="Arial"/>
          <w:sz w:val="18"/>
          <w:szCs w:val="18"/>
          <w:color w:val="auto"/>
        </w:rPr>
      </w:pPr>
    </w:p>
    <w:p>
      <w:pPr>
        <w:jc w:val="both"/>
        <w:ind w:firstLine="644"/>
        <w:spacing w:after="0" w:line="249" w:lineRule="auto"/>
        <w:tabs>
          <w:tab w:leader="none" w:pos="118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194" w:lineRule="exact"/>
        <w:rPr>
          <w:rFonts w:ascii="Arial" w:cs="Arial" w:eastAsia="Arial" w:hAnsi="Arial"/>
          <w:sz w:val="18"/>
          <w:szCs w:val="18"/>
          <w:color w:val="auto"/>
        </w:rPr>
      </w:pPr>
    </w:p>
    <w:p>
      <w:pPr>
        <w:ind w:firstLine="644"/>
        <w:spacing w:after="0" w:line="261" w:lineRule="auto"/>
        <w:tabs>
          <w:tab w:leader="none" w:pos="112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170" w:lineRule="exact"/>
        <w:rPr>
          <w:rFonts w:ascii="Arial" w:cs="Arial" w:eastAsia="Arial" w:hAnsi="Arial"/>
          <w:sz w:val="18"/>
          <w:szCs w:val="18"/>
          <w:color w:val="auto"/>
        </w:rPr>
      </w:pPr>
    </w:p>
    <w:p>
      <w:pPr>
        <w:ind w:firstLine="644"/>
        <w:spacing w:after="0" w:line="277" w:lineRule="auto"/>
        <w:tabs>
          <w:tab w:leader="none" w:pos="104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156" w:lineRule="exact"/>
        <w:rPr>
          <w:rFonts w:ascii="Arial" w:cs="Arial" w:eastAsia="Arial" w:hAnsi="Arial"/>
          <w:sz w:val="18"/>
          <w:szCs w:val="18"/>
          <w:color w:val="auto"/>
        </w:rPr>
      </w:pPr>
    </w:p>
    <w:p>
      <w:pPr>
        <w:ind w:left="1060" w:hanging="416"/>
        <w:spacing w:after="0"/>
        <w:tabs>
          <w:tab w:leader="none" w:pos="10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customary provisions in joint venture agreements and other similar agreements applicable to joint ventures permitted by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6.04;</w:t>
      </w:r>
    </w:p>
    <w:p>
      <w:pPr>
        <w:spacing w:after="0" w:line="197" w:lineRule="exact"/>
        <w:rPr>
          <w:rFonts w:ascii="Arial" w:cs="Arial" w:eastAsia="Arial" w:hAnsi="Arial"/>
          <w:sz w:val="16"/>
          <w:szCs w:val="16"/>
          <w:color w:val="auto"/>
        </w:rPr>
      </w:pPr>
    </w:p>
    <w:p>
      <w:pPr>
        <w:ind w:firstLine="644"/>
        <w:spacing w:after="0" w:line="277" w:lineRule="auto"/>
        <w:tabs>
          <w:tab w:leader="none" w:pos="108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156" w:lineRule="exact"/>
        <w:rPr>
          <w:rFonts w:ascii="Arial" w:cs="Arial" w:eastAsia="Arial" w:hAnsi="Arial"/>
          <w:sz w:val="18"/>
          <w:szCs w:val="18"/>
          <w:color w:val="auto"/>
        </w:rPr>
      </w:pPr>
    </w:p>
    <w:p>
      <w:pPr>
        <w:ind w:firstLine="644"/>
        <w:spacing w:after="0" w:line="277" w:lineRule="auto"/>
        <w:tabs>
          <w:tab w:leader="none" w:pos="102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customary provisions restricting subletting or assignment of any lease governing a leasehold interest of Holdings, any Intermediate Parent, the Borrower or any Restricted Subsidiary; and</w:t>
      </w:r>
    </w:p>
    <w:p>
      <w:pPr>
        <w:spacing w:after="0" w:line="156" w:lineRule="exact"/>
        <w:rPr>
          <w:rFonts w:ascii="Arial" w:cs="Arial" w:eastAsia="Arial" w:hAnsi="Arial"/>
          <w:sz w:val="18"/>
          <w:szCs w:val="18"/>
          <w:color w:val="auto"/>
        </w:rPr>
      </w:pPr>
    </w:p>
    <w:p>
      <w:pPr>
        <w:jc w:val="both"/>
        <w:ind w:firstLine="644"/>
        <w:spacing w:after="0" w:line="256" w:lineRule="auto"/>
        <w:tabs>
          <w:tab w:leader="none" w:pos="121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580"/>
          </w:cols>
          <w:pgMar w:left="980" w:top="1421" w:right="339" w:bottom="1440" w:gutter="0" w:footer="0" w:header="0"/>
        </w:sectPr>
      </w:pPr>
    </w:p>
    <w:bookmarkStart w:id="173" w:name="page174"/>
    <w:bookmarkEnd w:id="173"/>
    <w:p>
      <w:pPr>
        <w:ind w:left="1300"/>
        <w:spacing w:after="0"/>
        <w:tabs>
          <w:tab w:leader="none" w:pos="25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Amendment of Junior Financing.</w:t>
      </w:r>
    </w:p>
    <w:p>
      <w:pPr>
        <w:spacing w:after="0" w:line="21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color w:val="auto"/>
        </w:rPr>
        <w:t>Financial Performance Covenant.</w:t>
      </w:r>
    </w:p>
    <w:p>
      <w:pPr>
        <w:spacing w:after="0" w:line="22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8"/>
          <w:szCs w:val="18"/>
          <w:color w:val="auto"/>
        </w:rPr>
        <w:t xml:space="preserve">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 borrowed to fund any fees paid on the Effective Date in connection with the Transactions),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LC Disbursements that have not been reimbursed (or otherwise cash collateralized or backstopped) within two (2) Business Days by or on behalf of the Borrower following the end of the applicable fiscal quarter, exceeds the greater of (x) $180,000,000 and (y) 40% of the aggregate principal amount of Revolving Commitments then in effect (after including any Additional/Replacement Revolving Commitments or Incremental Revolving Commitment Increase then in effect), the Borrower will not permit the Senior Secured First Lien Net Leverage Ratio to exceed 9.00 to 1.00 on the last day of such Test Period.</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Changes in Fiscal Periods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 xml:space="preserve">The Borrower will not make any change in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limitation of this Section 6.12 shall not apply with respect to any short year resulting from the Transactions to occur on the Effective Date.</w:t>
      </w:r>
    </w:p>
    <w:p>
      <w:pPr>
        <w:spacing w:after="0" w:line="18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ARTICLE VII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1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12" w:lineRule="exact"/>
        <w:rPr>
          <w:sz w:val="20"/>
          <w:szCs w:val="20"/>
          <w:color w:val="auto"/>
        </w:rPr>
      </w:pPr>
    </w:p>
    <w:p>
      <w:pPr>
        <w:ind w:left="660" w:firstLine="644"/>
        <w:spacing w:after="0" w:line="342" w:lineRule="auto"/>
        <w:tabs>
          <w:tab w:leader="none" w:pos="168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10" w:lineRule="exact"/>
        <w:rPr>
          <w:rFonts w:ascii="Arial" w:cs="Arial" w:eastAsia="Arial" w:hAnsi="Arial"/>
          <w:sz w:val="16"/>
          <w:szCs w:val="16"/>
          <w:color w:val="auto"/>
        </w:rPr>
      </w:pPr>
    </w:p>
    <w:p>
      <w:pPr>
        <w:jc w:val="both"/>
        <w:ind w:left="660" w:firstLine="644"/>
        <w:spacing w:after="0" w:line="256" w:lineRule="auto"/>
        <w:tabs>
          <w:tab w:leader="none" w:pos="177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Loan Party shall fail to pay any interest on any Loan or any fee or any other amount (other than an amount referred to in paragraph (a) of this Section 7.01) payable under any First Lien Loan Document, when and as the same shall become due and payable, and such failure shall continue unremedied for a period of five (5) Business Days;</w:t>
      </w:r>
    </w:p>
    <w:p>
      <w:pPr>
        <w:spacing w:after="0" w:line="188" w:lineRule="exact"/>
        <w:rPr>
          <w:rFonts w:ascii="Arial" w:cs="Arial" w:eastAsia="Arial" w:hAnsi="Arial"/>
          <w:sz w:val="18"/>
          <w:szCs w:val="18"/>
          <w:color w:val="auto"/>
        </w:rPr>
      </w:pPr>
    </w:p>
    <w:p>
      <w:pPr>
        <w:jc w:val="both"/>
        <w:ind w:left="660" w:firstLine="644"/>
        <w:spacing w:after="0" w:line="246" w:lineRule="auto"/>
        <w:tabs>
          <w:tab w:leader="none" w:pos="17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21" w:right="339" w:bottom="1440" w:gutter="0" w:footer="0" w:header="0"/>
        </w:sectPr>
      </w:pPr>
    </w:p>
    <w:bookmarkStart w:id="174" w:name="page175"/>
    <w:bookmarkEnd w:id="174"/>
    <w:p>
      <w:pPr>
        <w:jc w:val="both"/>
        <w:ind w:left="260" w:firstLine="644"/>
        <w:spacing w:after="0" w:line="249" w:lineRule="auto"/>
        <w:tabs>
          <w:tab w:leader="none" w:pos="139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w:t>
      </w:r>
    </w:p>
    <w:p>
      <w:pPr>
        <w:spacing w:after="0" w:line="194" w:lineRule="exact"/>
        <w:rPr>
          <w:sz w:val="20"/>
          <w:szCs w:val="20"/>
          <w:color w:val="auto"/>
        </w:rPr>
      </w:pPr>
    </w:p>
    <w:p>
      <w:pPr>
        <w:jc w:val="both"/>
        <w:ind w:firstLine="907"/>
        <w:spacing w:after="0" w:line="245" w:lineRule="auto"/>
        <w:rPr>
          <w:sz w:val="20"/>
          <w:szCs w:val="20"/>
          <w:color w:val="auto"/>
        </w:rPr>
      </w:pPr>
      <w:r>
        <w:rPr>
          <w:rFonts w:ascii="Arial" w:cs="Arial" w:eastAsia="Arial" w:hAnsi="Arial"/>
          <w:sz w:val="18"/>
          <w:szCs w:val="18"/>
          <w:color w:val="auto"/>
        </w:rPr>
        <w:t xml:space="preserve">(i). the Borrower or any of the Restricted Subsidiaries shall fail to observe or perform the Financial Performance Covenant;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 Section 5.01(b), as applicable, and (b) 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w:t>
      </w:r>
    </w:p>
    <w:p>
      <w:pPr>
        <w:spacing w:after="0" w:line="186" w:lineRule="exact"/>
        <w:rPr>
          <w:sz w:val="20"/>
          <w:szCs w:val="20"/>
          <w:color w:val="auto"/>
        </w:rPr>
      </w:pPr>
    </w:p>
    <w:p>
      <w:pPr>
        <w:jc w:val="both"/>
        <w:ind w:left="260" w:firstLine="644"/>
        <w:spacing w:after="0" w:line="254" w:lineRule="auto"/>
        <w:tabs>
          <w:tab w:leader="none" w:pos="129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176" w:lineRule="exact"/>
        <w:rPr>
          <w:rFonts w:ascii="Arial" w:cs="Arial" w:eastAsia="Arial" w:hAnsi="Arial"/>
          <w:sz w:val="18"/>
          <w:szCs w:val="18"/>
          <w:color w:val="auto"/>
        </w:rPr>
      </w:pPr>
    </w:p>
    <w:p>
      <w:pPr>
        <w:jc w:val="both"/>
        <w:ind w:left="260" w:firstLine="644"/>
        <w:spacing w:after="0" w:line="256" w:lineRule="auto"/>
        <w:tabs>
          <w:tab w:leader="none" w:pos="131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88" w:lineRule="exact"/>
        <w:rPr>
          <w:rFonts w:ascii="Arial" w:cs="Arial" w:eastAsia="Arial" w:hAnsi="Arial"/>
          <w:sz w:val="18"/>
          <w:szCs w:val="18"/>
          <w:color w:val="auto"/>
        </w:rPr>
      </w:pPr>
    </w:p>
    <w:p>
      <w:pPr>
        <w:jc w:val="both"/>
        <w:ind w:left="260" w:firstLine="644"/>
        <w:spacing w:after="0" w:line="260" w:lineRule="auto"/>
        <w:tabs>
          <w:tab w:leader="none" w:pos="131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172" w:lineRule="exact"/>
        <w:rPr>
          <w:rFonts w:ascii="Arial" w:cs="Arial" w:eastAsia="Arial" w:hAnsi="Arial"/>
          <w:sz w:val="17"/>
          <w:szCs w:val="17"/>
          <w:color w:val="auto"/>
        </w:rPr>
      </w:pPr>
    </w:p>
    <w:p>
      <w:pPr>
        <w:jc w:val="both"/>
        <w:ind w:left="260" w:firstLine="644"/>
        <w:spacing w:after="0" w:line="246" w:lineRule="auto"/>
        <w:tabs>
          <w:tab w:leader="none" w:pos="137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840"/>
          </w:cols>
          <w:pgMar w:left="720" w:top="1421" w:right="339" w:bottom="1440" w:gutter="0" w:footer="0" w:header="0"/>
        </w:sectPr>
      </w:pPr>
    </w:p>
    <w:bookmarkStart w:id="175" w:name="page176"/>
    <w:bookmarkEnd w:id="175"/>
    <w:p>
      <w:pPr>
        <w:jc w:val="both"/>
        <w:ind w:left="660" w:firstLine="644"/>
        <w:spacing w:after="0" w:line="247" w:lineRule="auto"/>
        <w:tabs>
          <w:tab w:leader="none" w:pos="175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82" w:lineRule="exact"/>
        <w:rPr>
          <w:rFonts w:ascii="Arial" w:cs="Arial" w:eastAsia="Arial" w:hAnsi="Arial"/>
          <w:sz w:val="18"/>
          <w:szCs w:val="18"/>
          <w:color w:val="auto"/>
        </w:rPr>
      </w:pPr>
    </w:p>
    <w:p>
      <w:pPr>
        <w:jc w:val="both"/>
        <w:ind w:left="660" w:firstLine="644"/>
        <w:spacing w:after="0" w:line="263" w:lineRule="auto"/>
        <w:tabs>
          <w:tab w:leader="none" w:pos="168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one or more enforceable judgments for the payment of money in an aggregate amount in excess of $100,000,000 (to the extent not covered by insurance as to which the insurer has been notified of such judgment or order and has not denied coverage) shall be rendered against Holdings, any Intermediate Parent, the Borrower and any of its Restricted Subsidiaries or any combination thereof and the same shall remain undischarged for a period of 60 consecutive days during which execution shall not be effectively stayed, or any judgment creditor shall legally attach or levy upon assets of such Loan Party that are material to the businesses and operations of Holdings, any Intermediate Parent, the Borrower and the Restricted Subsidiaries, taken as a whole, to enforce any such judgment;</w:t>
      </w:r>
    </w:p>
    <w:p>
      <w:pPr>
        <w:spacing w:after="0" w:line="186" w:lineRule="exact"/>
        <w:rPr>
          <w:rFonts w:ascii="Arial" w:cs="Arial" w:eastAsia="Arial" w:hAnsi="Arial"/>
          <w:sz w:val="17"/>
          <w:szCs w:val="17"/>
          <w:color w:val="auto"/>
        </w:rPr>
      </w:pPr>
    </w:p>
    <w:p>
      <w:pPr>
        <w:ind w:left="1700" w:hanging="396"/>
        <w:spacing w:after="0"/>
        <w:tabs>
          <w:tab w:leader="none" w:pos="17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ERISA Event occurs that has resulted or would reasonably be expected to result in a Material Adverse Effect;</w:t>
      </w:r>
    </w:p>
    <w:p>
      <w:pPr>
        <w:spacing w:after="0" w:line="211" w:lineRule="exact"/>
        <w:rPr>
          <w:rFonts w:ascii="Arial" w:cs="Arial" w:eastAsia="Arial" w:hAnsi="Arial"/>
          <w:sz w:val="18"/>
          <w:szCs w:val="18"/>
          <w:color w:val="auto"/>
        </w:rPr>
      </w:pPr>
    </w:p>
    <w:p>
      <w:pPr>
        <w:jc w:val="both"/>
        <w:ind w:left="660" w:firstLine="644"/>
        <w:spacing w:after="0" w:line="247" w:lineRule="auto"/>
        <w:tabs>
          <w:tab w:leader="none" w:pos="169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First Lien Loan Documents, (ii) as a result of the First Lien Administrative Agent’s failure to (A) maintain possession of any stock certificates, promissory notes or other instruments delivered to it under the Security Documents or (B) file Uniform Commercial Code amendment or continuation financing statements or (iii) as to Collateral consisting of Material Real Property to the extent that such losses are covered by a lender’s title insurance policy and such insurer has not denied coverage or (iv) as a result of acts or omissions of the First Lien Administrative Agent or any Lender;</w:t>
      </w:r>
    </w:p>
    <w:p>
      <w:pPr>
        <w:spacing w:after="0" w:line="185" w:lineRule="exact"/>
        <w:rPr>
          <w:rFonts w:ascii="Arial" w:cs="Arial" w:eastAsia="Arial" w:hAnsi="Arial"/>
          <w:sz w:val="18"/>
          <w:szCs w:val="18"/>
          <w:color w:val="auto"/>
        </w:rPr>
      </w:pPr>
    </w:p>
    <w:p>
      <w:pPr>
        <w:jc w:val="both"/>
        <w:ind w:left="660" w:firstLine="644"/>
        <w:spacing w:after="0" w:line="256" w:lineRule="auto"/>
        <w:tabs>
          <w:tab w:leader="none" w:pos="17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pacing w:after="0" w:line="174" w:lineRule="exact"/>
        <w:rPr>
          <w:rFonts w:ascii="Arial" w:cs="Arial" w:eastAsia="Arial" w:hAnsi="Arial"/>
          <w:sz w:val="18"/>
          <w:szCs w:val="18"/>
          <w:color w:val="auto"/>
        </w:rPr>
      </w:pPr>
    </w:p>
    <w:p>
      <w:pPr>
        <w:ind w:left="660" w:firstLine="644"/>
        <w:spacing w:after="0" w:line="342" w:lineRule="auto"/>
        <w:tabs>
          <w:tab w:leader="none" w:pos="174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110" w:lineRule="exact"/>
        <w:rPr>
          <w:rFonts w:ascii="Arial" w:cs="Arial" w:eastAsia="Arial" w:hAnsi="Arial"/>
          <w:sz w:val="16"/>
          <w:szCs w:val="16"/>
          <w:color w:val="auto"/>
        </w:rPr>
      </w:pPr>
    </w:p>
    <w:p>
      <w:pPr>
        <w:ind w:left="1700" w:hanging="396"/>
        <w:spacing w:after="0"/>
        <w:tabs>
          <w:tab w:leader="none" w:pos="17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21" w:right="339" w:bottom="1440" w:gutter="0" w:footer="0" w:header="0"/>
        </w:sectPr>
      </w:pPr>
    </w:p>
    <w:bookmarkStart w:id="176" w:name="page177"/>
    <w:bookmarkEnd w:id="176"/>
    <w:p>
      <w:pPr>
        <w:jc w:val="both"/>
        <w:spacing w:after="0" w:line="290" w:lineRule="auto"/>
        <w:rPr>
          <w:sz w:val="20"/>
          <w:szCs w:val="20"/>
          <w:color w:val="auto"/>
        </w:rPr>
      </w:pPr>
      <w:r>
        <w:rPr>
          <w:rFonts w:ascii="Arial" w:cs="Arial" w:eastAsia="Arial" w:hAnsi="Arial"/>
          <w:sz w:val="16"/>
          <w:szCs w:val="16"/>
          <w:color w:val="auto"/>
        </w:rPr>
        <w:t>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 to Cure</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62" w:lineRule="auto"/>
        <w:tabs>
          <w:tab w:leader="none" w:pos="154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the Borrower of the Net Proceeds of such issuance (the “</w:t>
      </w:r>
      <w:r>
        <w:rPr>
          <w:rFonts w:ascii="Arial" w:cs="Arial" w:eastAsia="Arial" w:hAnsi="Arial"/>
          <w:sz w:val="17"/>
          <w:szCs w:val="17"/>
          <w:u w:val="single" w:color="auto"/>
          <w:color w:val="auto"/>
        </w:rPr>
        <w:t>Cure Amount</w:t>
      </w:r>
      <w:r>
        <w:rPr>
          <w:rFonts w:ascii="Arial" w:cs="Arial" w:eastAsia="Arial" w:hAnsi="Arial"/>
          <w:sz w:val="17"/>
          <w:szCs w:val="17"/>
          <w:color w:val="auto"/>
        </w:rPr>
        <w:t>”) pursuant to the exercise by Holdings of such Cure Right the Financial Performance Covenant shall be recalculated giving effect to one of the following pro forma adjustments:</w:t>
      </w:r>
    </w:p>
    <w:p>
      <w:pPr>
        <w:spacing w:after="0" w:line="171" w:lineRule="exact"/>
        <w:rPr>
          <w:rFonts w:ascii="Arial" w:cs="Arial" w:eastAsia="Arial" w:hAnsi="Arial"/>
          <w:sz w:val="17"/>
          <w:szCs w:val="17"/>
          <w:color w:val="auto"/>
        </w:rPr>
      </w:pPr>
    </w:p>
    <w:p>
      <w:pPr>
        <w:jc w:val="both"/>
        <w:ind w:left="1040" w:firstLine="742"/>
        <w:spacing w:after="0" w:line="256" w:lineRule="auto"/>
        <w:tabs>
          <w:tab w:leader="none" w:pos="215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spacing w:after="0" w:line="188" w:lineRule="exact"/>
        <w:rPr>
          <w:rFonts w:ascii="Arial" w:cs="Arial" w:eastAsia="Arial" w:hAnsi="Arial"/>
          <w:sz w:val="18"/>
          <w:szCs w:val="18"/>
          <w:color w:val="auto"/>
        </w:rPr>
      </w:pPr>
    </w:p>
    <w:p>
      <w:pPr>
        <w:jc w:val="both"/>
        <w:ind w:left="1040" w:firstLine="692"/>
        <w:spacing w:after="0" w:line="280" w:lineRule="auto"/>
        <w:tabs>
          <w:tab w:leader="none" w:pos="218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w:t>
      </w:r>
    </w:p>
    <w:p>
      <w:pPr>
        <w:spacing w:after="0" w:line="184" w:lineRule="exact"/>
        <w:rPr>
          <w:sz w:val="20"/>
          <w:szCs w:val="20"/>
          <w:color w:val="auto"/>
        </w:rPr>
      </w:pPr>
    </w:p>
    <w:p>
      <w:pPr>
        <w:jc w:val="both"/>
        <w:ind w:firstLine="1094"/>
        <w:spacing w:after="0" w:line="260" w:lineRule="auto"/>
        <w:tabs>
          <w:tab w:leader="none" w:pos="158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in each four consecutive fiscal quarter period of the Borrower there shall be at least one (1) fiscal quarter in which the Cure Right is not exercised, (ii)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21" w:right="339" w:bottom="1440" w:gutter="0" w:footer="0" w:header="0"/>
        </w:sectPr>
      </w:pPr>
    </w:p>
    <w:bookmarkStart w:id="177" w:name="page178"/>
    <w:bookmarkEnd w:id="177"/>
    <w:p>
      <w:pPr>
        <w:ind w:firstLine="1296"/>
        <w:spacing w:after="0" w:line="261"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Subject to the terms of any applicable Intercreditor Agreement, the First Lien Collateral Agent shall apply the proceeds of any collection or sale of Collateral, including any Collateral consisting of cash, as follows:</w:t>
      </w:r>
    </w:p>
    <w:p>
      <w:pPr>
        <w:spacing w:after="0" w:line="184" w:lineRule="exact"/>
        <w:rPr>
          <w:sz w:val="20"/>
          <w:szCs w:val="20"/>
          <w:color w:val="auto"/>
        </w:rPr>
      </w:pPr>
    </w:p>
    <w:p>
      <w:pPr>
        <w:jc w:val="both"/>
        <w:ind w:left="660" w:firstLine="648"/>
        <w:spacing w:after="0" w:line="267" w:lineRule="auto"/>
        <w:rPr>
          <w:sz w:val="20"/>
          <w:szCs w:val="20"/>
          <w:color w:val="auto"/>
        </w:rPr>
      </w:pPr>
      <w:r>
        <w:rPr>
          <w:rFonts w:ascii="Arial" w:cs="Arial" w:eastAsia="Arial" w:hAnsi="Arial"/>
          <w:sz w:val="17"/>
          <w:szCs w:val="17"/>
          <w:color w:val="auto"/>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spacing w:after="0" w:line="16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any agent of any other junior secured debt, in accordance with any applicable intercreditor agreement; and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FOURTH, to the Loan Parties, their successors or assigns, or as a court of competent jurisdiction may otherwise direct.</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16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ARTICLE VIII</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ADMINISTRATIVE AGENT</w:t>
      </w:r>
    </w:p>
    <w:p>
      <w:pPr>
        <w:spacing w:after="0" w:line="21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w:t>
      </w:r>
    </w:p>
    <w:p>
      <w:pPr>
        <w:spacing w:after="0" w:line="225" w:lineRule="exact"/>
        <w:rPr>
          <w:sz w:val="20"/>
          <w:szCs w:val="20"/>
          <w:color w:val="auto"/>
        </w:rPr>
      </w:pPr>
    </w:p>
    <w:p>
      <w:pPr>
        <w:jc w:val="both"/>
        <w:ind w:firstLine="1104"/>
        <w:spacing w:after="0" w:line="246" w:lineRule="auto"/>
        <w:tabs>
          <w:tab w:leader="none" w:pos="155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of the Lenders and the Issuing Bank hereby irrevocably appoints JPMorgan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spacing w:after="0" w:line="198" w:lineRule="exact"/>
        <w:rPr>
          <w:rFonts w:ascii="Arial" w:cs="Arial" w:eastAsia="Arial" w:hAnsi="Arial"/>
          <w:sz w:val="18"/>
          <w:szCs w:val="18"/>
          <w:color w:val="auto"/>
        </w:rPr>
      </w:pPr>
    </w:p>
    <w:p>
      <w:pPr>
        <w:jc w:val="both"/>
        <w:ind w:firstLine="1094"/>
        <w:spacing w:after="0" w:line="268" w:lineRule="auto"/>
        <w:tabs>
          <w:tab w:leader="none" w:pos="153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21" w:right="339" w:bottom="1440" w:gutter="0" w:footer="0" w:header="0"/>
        </w:sectPr>
      </w:pPr>
    </w:p>
    <w:bookmarkStart w:id="178" w:name="page179"/>
    <w:bookmarkEnd w:id="178"/>
    <w:p>
      <w:pPr>
        <w:jc w:val="both"/>
        <w:spacing w:after="0" w:line="267" w:lineRule="auto"/>
        <w:rPr>
          <w:sz w:val="20"/>
          <w:szCs w:val="20"/>
          <w:color w:val="auto"/>
        </w:rPr>
      </w:pPr>
      <w:r>
        <w:rPr>
          <w:rFonts w:ascii="Arial" w:cs="Arial" w:eastAsia="Arial" w:hAnsi="Arial"/>
          <w:sz w:val="17"/>
          <w:szCs w:val="17"/>
          <w:color w:val="auto"/>
        </w:rPr>
        <w:t>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Rights as a Lender</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7"/>
          <w:szCs w:val="17"/>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The First Lien Administrative Agent shall not have any duties or obligations except those expressly set forth herein and in the other First Lien Loan Documents. Without limiting the generality of the foregoing, the First Lien Administrative Agent:</w:t>
      </w:r>
    </w:p>
    <w:p>
      <w:pPr>
        <w:spacing w:after="0" w:line="184" w:lineRule="exact"/>
        <w:rPr>
          <w:sz w:val="20"/>
          <w:szCs w:val="20"/>
          <w:color w:val="auto"/>
        </w:rPr>
      </w:pPr>
    </w:p>
    <w:p>
      <w:pPr>
        <w:ind w:left="1680" w:hanging="376"/>
        <w:spacing w:after="0"/>
        <w:tabs>
          <w:tab w:leader="none" w:pos="16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23" w:lineRule="exact"/>
        <w:rPr>
          <w:rFonts w:ascii="Arial" w:cs="Arial" w:eastAsia="Arial" w:hAnsi="Arial"/>
          <w:sz w:val="17"/>
          <w:szCs w:val="17"/>
          <w:color w:val="auto"/>
        </w:rPr>
      </w:pPr>
    </w:p>
    <w:p>
      <w:pPr>
        <w:jc w:val="both"/>
        <w:ind w:left="660" w:firstLine="644"/>
        <w:spacing w:after="0" w:line="249" w:lineRule="auto"/>
        <w:tabs>
          <w:tab w:leader="none" w:pos="17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183" w:lineRule="exact"/>
        <w:rPr>
          <w:rFonts w:ascii="Arial" w:cs="Arial" w:eastAsia="Arial" w:hAnsi="Arial"/>
          <w:sz w:val="18"/>
          <w:szCs w:val="18"/>
          <w:color w:val="auto"/>
        </w:rPr>
      </w:pPr>
    </w:p>
    <w:p>
      <w:pPr>
        <w:jc w:val="both"/>
        <w:ind w:left="660" w:firstLine="644"/>
        <w:spacing w:after="0" w:line="256" w:lineRule="auto"/>
        <w:tabs>
          <w:tab w:leader="none" w:pos="171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174" w:lineRule="exact"/>
        <w:rPr>
          <w:rFonts w:ascii="Arial" w:cs="Arial" w:eastAsia="Arial" w:hAnsi="Arial"/>
          <w:sz w:val="18"/>
          <w:szCs w:val="18"/>
          <w:color w:val="auto"/>
        </w:rPr>
      </w:pPr>
    </w:p>
    <w:p>
      <w:pPr>
        <w:jc w:val="both"/>
        <w:ind w:left="660" w:firstLine="644"/>
        <w:spacing w:after="0" w:line="267" w:lineRule="auto"/>
        <w:tabs>
          <w:tab w:leader="none" w:pos="170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Lien Administrative Agent shall be deemed not to have knowledge of any Default unless and until written notice describing such Default is given to the First Lien Administrative Agent by the Borrower, a Lender or the Issuing Bank; and</w:t>
      </w:r>
    </w:p>
    <w:p>
      <w:pPr>
        <w:spacing w:after="0" w:line="166" w:lineRule="exact"/>
        <w:rPr>
          <w:rFonts w:ascii="Arial" w:cs="Arial" w:eastAsia="Arial" w:hAnsi="Arial"/>
          <w:sz w:val="17"/>
          <w:szCs w:val="17"/>
          <w:color w:val="auto"/>
        </w:rPr>
      </w:pPr>
    </w:p>
    <w:p>
      <w:pPr>
        <w:jc w:val="both"/>
        <w:ind w:left="660" w:firstLine="644"/>
        <w:spacing w:after="0" w:line="278" w:lineRule="auto"/>
        <w:tabs>
          <w:tab w:leader="none" w:pos="171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21" w:right="339" w:bottom="1440" w:gutter="0" w:footer="0" w:header="0"/>
        </w:sectPr>
      </w:pPr>
    </w:p>
    <w:bookmarkStart w:id="179" w:name="page180"/>
    <w:bookmarkEnd w:id="179"/>
    <w:p>
      <w:pPr>
        <w:jc w:val="both"/>
        <w:ind w:left="660"/>
        <w:spacing w:after="0" w:line="249" w:lineRule="auto"/>
        <w:rPr>
          <w:sz w:val="20"/>
          <w:szCs w:val="20"/>
          <w:color w:val="auto"/>
        </w:rPr>
      </w:pPr>
      <w:r>
        <w:rPr>
          <w:rFonts w:ascii="Arial" w:cs="Arial" w:eastAsia="Arial" w:hAnsi="Arial"/>
          <w:sz w:val="18"/>
          <w:szCs w:val="18"/>
          <w:color w:val="auto"/>
        </w:rPr>
        <w:t>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Reliance by First Lien Administrative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Delegation of Duties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spacing w:after="0" w:line="15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Resignation of First Lien Administrative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7"/>
          <w:szCs w:val="17"/>
          <w:color w:val="auto"/>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First Lien Administrative Agent shall notify the Borrower and the Lenders that no qualifying Person accepted such appointment, then such resignation shall nonetheless become effective in accordance with such notice.</w:t>
      </w:r>
    </w:p>
    <w:p>
      <w:pPr>
        <w:spacing w:after="0" w:line="19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21" w:right="339" w:bottom="1440" w:gutter="0" w:footer="0" w:header="0"/>
        </w:sectPr>
      </w:pPr>
    </w:p>
    <w:bookmarkStart w:id="180" w:name="page181"/>
    <w:bookmarkEnd w:id="180"/>
    <w:p>
      <w:pPr>
        <w:jc w:val="both"/>
        <w:spacing w:after="0" w:line="291" w:lineRule="auto"/>
        <w:rPr>
          <w:sz w:val="20"/>
          <w:szCs w:val="20"/>
          <w:color w:val="auto"/>
        </w:rPr>
      </w:pPr>
      <w:r>
        <w:rPr>
          <w:rFonts w:ascii="Arial" w:cs="Arial" w:eastAsia="Arial" w:hAnsi="Arial"/>
          <w:sz w:val="17"/>
          <w:szCs w:val="17"/>
          <w:color w:val="auto"/>
        </w:rPr>
        <w:t>such successor shall have been so appointed by the Required Lenders and shall have accepted such appointment within thirty (30) days (the “</w:t>
      </w:r>
      <w:r>
        <w:rPr>
          <w:rFonts w:ascii="Arial" w:cs="Arial" w:eastAsia="Arial" w:hAnsi="Arial"/>
          <w:sz w:val="17"/>
          <w:szCs w:val="17"/>
          <w:u w:val="single" w:color="auto"/>
          <w:color w:val="auto"/>
        </w:rPr>
        <w:t>Removal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6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Non-Reliance on First Lien Administrative Agent and Other Lenders</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7"/>
          <w:szCs w:val="17"/>
          <w:color w:val="auto"/>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spacing w:after="0" w:line="18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spacing w:after="0" w:line="16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21" w:right="339" w:bottom="1440" w:gutter="0" w:footer="0" w:header="0"/>
        </w:sectPr>
      </w:pPr>
    </w:p>
    <w:bookmarkStart w:id="181" w:name="page182"/>
    <w:bookmarkEnd w:id="181"/>
    <w:p>
      <w:pPr>
        <w:jc w:val="both"/>
        <w:spacing w:after="0" w:line="249" w:lineRule="auto"/>
        <w:rPr>
          <w:sz w:val="20"/>
          <w:szCs w:val="20"/>
          <w:color w:val="auto"/>
        </w:rPr>
      </w:pPr>
      <w:r>
        <w:rPr>
          <w:rFonts w:ascii="Arial" w:cs="Arial" w:eastAsia="Arial" w:hAnsi="Arial"/>
          <w:sz w:val="18"/>
          <w:szCs w:val="18"/>
          <w:color w:val="auto"/>
        </w:rPr>
        <w:t>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No Other Duties,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First Lien Administrative Agent May File Proofs of Claim.</w:t>
      </w:r>
    </w:p>
    <w:p>
      <w:pPr>
        <w:spacing w:after="0" w:line="2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spacing w:after="0" w:line="181" w:lineRule="exact"/>
        <w:rPr>
          <w:sz w:val="20"/>
          <w:szCs w:val="20"/>
          <w:color w:val="auto"/>
        </w:rPr>
      </w:pPr>
    </w:p>
    <w:p>
      <w:pPr>
        <w:jc w:val="both"/>
        <w:ind w:left="660" w:firstLine="644"/>
        <w:spacing w:after="0" w:line="249" w:lineRule="auto"/>
        <w:tabs>
          <w:tab w:leader="none" w:pos="175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spacing w:after="0" w:line="18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spacing w:after="0" w:line="19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u w:val="single" w:color="auto"/>
          <w:color w:val="auto"/>
        </w:rPr>
        <w:t>No Waiver; Cumulative Remedies; Enforcement</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21"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each other First Lien Loan Document, are cumulative and not exclusive of any rights, remedies, powers and privileges provided by law.</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6"/>
          <w:szCs w:val="16"/>
          <w:color w:val="auto"/>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1628"/>
        <w:spacing w:after="0" w:line="249" w:lineRule="auto"/>
        <w:tabs>
          <w:tab w:leader="none" w:pos="21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at least one of the following is and will be true:</w:t>
      </w:r>
    </w:p>
    <w:p>
      <w:pPr>
        <w:spacing w:after="0" w:line="221" w:lineRule="exact"/>
        <w:rPr>
          <w:sz w:val="20"/>
          <w:szCs w:val="20"/>
          <w:color w:val="auto"/>
        </w:rPr>
      </w:pPr>
    </w:p>
    <w:p>
      <w:pPr>
        <w:jc w:val="both"/>
        <w:ind w:left="660" w:right="100" w:firstLine="968"/>
        <w:spacing w:after="0" w:line="256" w:lineRule="auto"/>
        <w:tabs>
          <w:tab w:leader="none" w:pos="20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15" w:lineRule="exact"/>
        <w:rPr>
          <w:rFonts w:ascii="Arial" w:cs="Arial" w:eastAsia="Arial" w:hAnsi="Arial"/>
          <w:sz w:val="18"/>
          <w:szCs w:val="18"/>
          <w:color w:val="auto"/>
        </w:rPr>
      </w:pPr>
    </w:p>
    <w:p>
      <w:pPr>
        <w:jc w:val="both"/>
        <w:ind w:left="660" w:right="100" w:firstLine="968"/>
        <w:spacing w:after="0" w:line="263" w:lineRule="auto"/>
        <w:tabs>
          <w:tab w:leader="none" w:pos="218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13" w:lineRule="exact"/>
        <w:rPr>
          <w:rFonts w:ascii="Arial" w:cs="Arial" w:eastAsia="Arial" w:hAnsi="Arial"/>
          <w:sz w:val="17"/>
          <w:szCs w:val="17"/>
          <w:color w:val="auto"/>
        </w:rPr>
      </w:pPr>
    </w:p>
    <w:p>
      <w:pPr>
        <w:jc w:val="both"/>
        <w:ind w:left="660" w:right="100" w:firstLine="968"/>
        <w:spacing w:after="0" w:line="247" w:lineRule="auto"/>
        <w:tabs>
          <w:tab w:leader="none" w:pos="212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21" w:right="339" w:bottom="1440" w:gutter="0" w:footer="0" w:header="0"/>
        </w:sectPr>
      </w:pPr>
    </w:p>
    <w:bookmarkStart w:id="183" w:name="page184"/>
    <w:bookmarkEnd w:id="183"/>
    <w:p>
      <w:pPr>
        <w:ind w:left="660" w:right="100" w:firstLine="968"/>
        <w:spacing w:after="0" w:line="261" w:lineRule="auto"/>
        <w:tabs>
          <w:tab w:leader="none" w:pos="2074"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First Lien Administrative Agent, in its sole discretion, and such Lender.</w:t>
      </w:r>
    </w:p>
    <w:p>
      <w:pPr>
        <w:spacing w:after="0" w:line="211" w:lineRule="exact"/>
        <w:rPr>
          <w:rFonts w:ascii="Arial" w:cs="Arial" w:eastAsia="Arial" w:hAnsi="Arial"/>
          <w:sz w:val="18"/>
          <w:szCs w:val="18"/>
          <w:color w:val="auto"/>
        </w:rPr>
      </w:pPr>
    </w:p>
    <w:p>
      <w:pPr>
        <w:jc w:val="both"/>
        <w:ind w:right="100" w:firstLine="1385"/>
        <w:spacing w:after="0" w:line="261" w:lineRule="auto"/>
        <w:tabs>
          <w:tab w:leader="none" w:pos="19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First Lien Administrative Agent under this Agreement, any First Lien Loan Document or any documents related hereto or thereto).</w:t>
      </w:r>
    </w:p>
    <w:p>
      <w:pPr>
        <w:spacing w:after="0" w:line="18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ARTICLE 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56" w:lineRule="auto"/>
        <w:tabs>
          <w:tab w:leader="none" w:pos="170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188" w:lineRule="exact"/>
        <w:rPr>
          <w:sz w:val="20"/>
          <w:szCs w:val="20"/>
          <w:color w:val="auto"/>
        </w:rPr>
      </w:pPr>
    </w:p>
    <w:p>
      <w:pPr>
        <w:jc w:val="both"/>
        <w:ind w:left="400" w:firstLine="907"/>
        <w:spacing w:after="0" w:line="261" w:lineRule="auto"/>
        <w:rPr>
          <w:sz w:val="20"/>
          <w:szCs w:val="20"/>
          <w:color w:val="auto"/>
        </w:rPr>
      </w:pPr>
      <w:r>
        <w:rPr>
          <w:rFonts w:ascii="Arial" w:cs="Arial" w:eastAsia="Arial" w:hAnsi="Arial"/>
          <w:sz w:val="18"/>
          <w:szCs w:val="18"/>
          <w:color w:val="auto"/>
        </w:rPr>
        <w:t>(i). if to Holdings, the Borrower, the First Lien Administrative Agent, the Issuing Bank or the Swingline Lender, to the address, fax number, e-mail address or telephone number specified for such Person on Schedule 9.01; and</w:t>
      </w:r>
    </w:p>
    <w:p>
      <w:pPr>
        <w:spacing w:after="0" w:line="184" w:lineRule="exact"/>
        <w:rPr>
          <w:sz w:val="20"/>
          <w:szCs w:val="20"/>
          <w:color w:val="auto"/>
        </w:rPr>
      </w:pPr>
    </w:p>
    <w:p>
      <w:pPr>
        <w:jc w:val="both"/>
        <w:ind w:left="400" w:firstLine="907"/>
        <w:spacing w:after="0" w:line="278" w:lineRule="auto"/>
        <w:rPr>
          <w:sz w:val="20"/>
          <w:szCs w:val="20"/>
          <w:color w:val="auto"/>
        </w:rPr>
      </w:pPr>
      <w:r>
        <w:rPr>
          <w:rFonts w:ascii="Arial" w:cs="Arial" w:eastAsia="Arial" w:hAnsi="Arial"/>
          <w:sz w:val="17"/>
          <w:szCs w:val="17"/>
          <w:color w:val="auto"/>
        </w:rPr>
        <w:t>(ii). 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2" w:lineRule="exact"/>
        <w:rPr>
          <w:sz w:val="20"/>
          <w:szCs w:val="20"/>
          <w:color w:val="auto"/>
        </w:rPr>
      </w:pPr>
    </w:p>
    <w:p>
      <w:pPr>
        <w:jc w:val="both"/>
        <w:ind w:firstLine="1094"/>
        <w:spacing w:after="0" w:line="249" w:lineRule="auto"/>
        <w:tabs>
          <w:tab w:leader="none" w:pos="153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w:t>
      </w:r>
    </w:p>
    <w:p>
      <w:pPr>
        <w:spacing w:after="0" w:line="19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21" w:right="339" w:bottom="1440" w:gutter="0" w:footer="0" w:header="0"/>
        </w:sectPr>
      </w:pPr>
    </w:p>
    <w:bookmarkStart w:id="184" w:name="page185"/>
    <w:bookmarkEnd w:id="184"/>
    <w:p>
      <w:pPr>
        <w:jc w:val="both"/>
        <w:spacing w:after="0" w:line="256" w:lineRule="auto"/>
        <w:rPr>
          <w:sz w:val="20"/>
          <w:szCs w:val="20"/>
          <w:color w:val="auto"/>
        </w:rPr>
      </w:pPr>
      <w:r>
        <w:rPr>
          <w:rFonts w:ascii="Arial" w:cs="Arial" w:eastAsia="Arial" w:hAnsi="Arial"/>
          <w:sz w:val="18"/>
          <w:szCs w:val="18"/>
          <w:color w:val="auto"/>
        </w:rPr>
        <w:t>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5" w:lineRule="exact"/>
        <w:rPr>
          <w:sz w:val="20"/>
          <w:szCs w:val="20"/>
          <w:color w:val="auto"/>
        </w:rPr>
      </w:pPr>
    </w:p>
    <w:p>
      <w:pPr>
        <w:jc w:val="both"/>
        <w:ind w:firstLine="1104"/>
        <w:spacing w:after="0" w:line="244" w:lineRule="auto"/>
        <w:tabs>
          <w:tab w:leader="none" w:pos="169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First Lien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93" w:lineRule="exact"/>
        <w:rPr>
          <w:rFonts w:ascii="Arial" w:cs="Arial" w:eastAsia="Arial" w:hAnsi="Arial"/>
          <w:sz w:val="18"/>
          <w:szCs w:val="18"/>
          <w:color w:val="auto"/>
        </w:rPr>
      </w:pPr>
    </w:p>
    <w:p>
      <w:pPr>
        <w:jc w:val="both"/>
        <w:ind w:firstLine="1094"/>
        <w:spacing w:after="0" w:line="286" w:lineRule="auto"/>
        <w:tabs>
          <w:tab w:leader="none" w:pos="159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156" w:lineRule="exact"/>
        <w:rPr>
          <w:rFonts w:ascii="Arial" w:cs="Arial" w:eastAsia="Arial" w:hAnsi="Arial"/>
          <w:sz w:val="16"/>
          <w:szCs w:val="16"/>
          <w:color w:val="auto"/>
        </w:rPr>
      </w:pPr>
    </w:p>
    <w:p>
      <w:pPr>
        <w:jc w:val="both"/>
        <w:ind w:firstLine="1104"/>
        <w:spacing w:after="0" w:line="261" w:lineRule="auto"/>
        <w:tabs>
          <w:tab w:leader="none" w:pos="1574"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Reliance by</w:t>
      </w:r>
      <w:r>
        <w:rPr>
          <w:rFonts w:ascii="Arial" w:cs="Arial" w:eastAsia="Arial" w:hAnsi="Arial"/>
          <w:sz w:val="17"/>
          <w:szCs w:val="17"/>
          <w:color w:val="auto"/>
        </w:rPr>
        <w:t xml:space="preserve"> First Lien </w:t>
      </w:r>
      <w:r>
        <w:rPr>
          <w:rFonts w:ascii="Arial" w:cs="Arial" w:eastAsia="Arial" w:hAnsi="Arial"/>
          <w:sz w:val="17"/>
          <w:szCs w:val="17"/>
          <w:u w:val="single" w:color="auto"/>
          <w:color w:val="auto"/>
        </w:rPr>
        <w:t>Administrative Agent, Issuing Bank and Lenders</w:t>
      </w:r>
      <w:r>
        <w:rPr>
          <w:rFonts w:ascii="Arial" w:cs="Arial" w:eastAsia="Arial" w:hAnsi="Arial"/>
          <w:sz w:val="17"/>
          <w:szCs w:val="17"/>
          <w:color w:val="auto"/>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18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p>
    <w:p>
      <w:pPr>
        <w:spacing w:after="0" w:line="212" w:lineRule="exact"/>
        <w:rPr>
          <w:sz w:val="20"/>
          <w:szCs w:val="20"/>
          <w:color w:val="auto"/>
        </w:rPr>
      </w:pPr>
    </w:p>
    <w:p>
      <w:pPr>
        <w:jc w:val="both"/>
        <w:ind w:firstLine="1104"/>
        <w:spacing w:after="0" w:line="263" w:lineRule="auto"/>
        <w:tabs>
          <w:tab w:leader="none" w:pos="152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21" w:right="339" w:bottom="1440" w:gutter="0" w:footer="0" w:header="0"/>
        </w:sectPr>
      </w:pPr>
    </w:p>
    <w:bookmarkStart w:id="185" w:name="page186"/>
    <w:bookmarkEnd w:id="185"/>
    <w:p>
      <w:pPr>
        <w:jc w:val="both"/>
        <w:spacing w:after="0" w:line="267" w:lineRule="auto"/>
        <w:rPr>
          <w:sz w:val="20"/>
          <w:szCs w:val="20"/>
          <w:color w:val="auto"/>
        </w:rPr>
      </w:pPr>
      <w:r>
        <w:rPr>
          <w:rFonts w:ascii="Arial" w:cs="Arial" w:eastAsia="Arial" w:hAnsi="Arial"/>
          <w:sz w:val="17"/>
          <w:szCs w:val="17"/>
          <w:color w:val="auto"/>
        </w:rPr>
        <w:t>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68" w:lineRule="exact"/>
        <w:rPr>
          <w:sz w:val="20"/>
          <w:szCs w:val="20"/>
          <w:color w:val="auto"/>
        </w:rPr>
      </w:pPr>
    </w:p>
    <w:p>
      <w:pPr>
        <w:jc w:val="both"/>
        <w:ind w:firstLine="1094"/>
        <w:spacing w:after="0" w:line="272" w:lineRule="auto"/>
        <w:tabs>
          <w:tab w:leader="none" w:pos="153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default interest pursuant to Section 2.13(c),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First Lien Guarantee Agreement (except as expressly provided in the First Lien Loan Documents) without the written consent of each Lender (other than a Defaulting Lender or a Net Short Lender), or</w:t>
      </w:r>
    </w:p>
    <w:p>
      <w:pPr>
        <w:spacing w:after="0" w:line="24" w:lineRule="exact"/>
        <w:rPr>
          <w:rFonts w:ascii="Arial" w:cs="Arial" w:eastAsia="Arial" w:hAnsi="Arial"/>
          <w:sz w:val="16"/>
          <w:szCs w:val="16"/>
          <w:color w:val="auto"/>
        </w:rPr>
      </w:pPr>
    </w:p>
    <w:p>
      <w:pPr>
        <w:jc w:val="both"/>
        <w:ind w:firstLine="8"/>
        <w:spacing w:after="0" w:line="243" w:lineRule="auto"/>
        <w:tabs>
          <w:tab w:leader="none" w:pos="37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the Collateral from the Liens of the Security Documents, without the written consent of each Lender (other than a Defaulting Lender or a Net Short Lender), except as expressly provided in the First Lien Loan Documents;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21" w:right="339" w:bottom="1440" w:gutter="0" w:footer="0" w:header="0"/>
        </w:sectPr>
      </w:pPr>
    </w:p>
    <w:bookmarkStart w:id="186" w:name="page187"/>
    <w:bookmarkEnd w:id="186"/>
    <w:p>
      <w:pPr>
        <w:jc w:val="both"/>
        <w:spacing w:after="0" w:line="283" w:lineRule="auto"/>
        <w:rPr>
          <w:sz w:val="20"/>
          <w:szCs w:val="20"/>
          <w:color w:val="auto"/>
        </w:rPr>
      </w:pPr>
      <w:r>
        <w:rPr>
          <w:rFonts w:ascii="Arial" w:cs="Arial" w:eastAsia="Arial" w:hAnsi="Arial"/>
          <w:sz w:val="16"/>
          <w:szCs w:val="16"/>
          <w:color w:val="auto"/>
        </w:rPr>
        <w:t>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 Section 9.02 if such Class of Lenders were the only Class of Lenders hereunder at the time.</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First Lien Loan Documents, (iii) to cause any guarantee, collateral security document (including 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w:t>
      </w:r>
    </w:p>
    <w:p>
      <w:pPr>
        <w:spacing w:after="0" w:line="179" w:lineRule="exact"/>
        <w:rPr>
          <w:sz w:val="20"/>
          <w:szCs w:val="20"/>
          <w:color w:val="auto"/>
        </w:rPr>
      </w:pPr>
    </w:p>
    <w:p>
      <w:pPr>
        <w:jc w:val="both"/>
        <w:ind w:firstLine="1104"/>
        <w:spacing w:after="0" w:line="275" w:lineRule="auto"/>
        <w:tabs>
          <w:tab w:leader="none" w:pos="154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so long as the Lender that is acting as First Lien Administrative Agent is not a Non-Consenting Lender, the Borrower may, at its sole expense and effort, upon notice to such Non-Consenting Lender and the First Lien Administrative Agent, either (i) if exists, permanently prepay all of the Loans of any Class owing by it to, and terminating any Commitments of such Non-Consenting Lender or (ii)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21" w:right="339" w:bottom="1440" w:gutter="0" w:footer="0" w:header="0"/>
        </w:sectPr>
      </w:pPr>
    </w:p>
    <w:bookmarkStart w:id="187" w:name="page188"/>
    <w:bookmarkEnd w:id="187"/>
    <w:p>
      <w:pPr>
        <w:spacing w:after="0" w:line="261" w:lineRule="auto"/>
        <w:rPr>
          <w:sz w:val="20"/>
          <w:szCs w:val="20"/>
          <w:color w:val="auto"/>
        </w:rPr>
      </w:pPr>
      <w:r>
        <w:rPr>
          <w:rFonts w:ascii="Arial" w:cs="Arial" w:eastAsia="Arial" w:hAnsi="Arial"/>
          <w:sz w:val="18"/>
          <w:szCs w:val="18"/>
          <w:color w:val="auto"/>
        </w:rPr>
        <w:t>Non-Consenting Lender and any such documentation so executed by the First Lien Administrative Agent shall be effective for purposes of documenting an assignment pursuant to Section 9.04.</w:t>
      </w:r>
    </w:p>
    <w:p>
      <w:pPr>
        <w:spacing w:after="0" w:line="184" w:lineRule="exact"/>
        <w:rPr>
          <w:sz w:val="20"/>
          <w:szCs w:val="20"/>
          <w:color w:val="auto"/>
        </w:rPr>
      </w:pPr>
    </w:p>
    <w:p>
      <w:pPr>
        <w:jc w:val="both"/>
        <w:ind w:firstLine="1094"/>
        <w:spacing w:after="0" w:line="259" w:lineRule="auto"/>
        <w:tabs>
          <w:tab w:leader="none" w:pos="1542"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Arial" w:cs="Arial" w:eastAsia="Arial" w:hAnsi="Arial"/>
          <w:sz w:val="17"/>
          <w:szCs w:val="17"/>
          <w:u w:val="single" w:color="auto"/>
          <w:color w:val="auto"/>
        </w:rPr>
        <w:t>Section 9.02(h)</w:t>
      </w:r>
      <w:r>
        <w:rPr>
          <w:rFonts w:ascii="Arial" w:cs="Arial" w:eastAsia="Arial" w:hAnsi="Arial"/>
          <w:sz w:val="17"/>
          <w:szCs w:val="17"/>
          <w:color w:val="auto"/>
        </w:rPr>
        <w:t xml:space="preserve"> (for the avoidance of doubt, other than a Net Short Lender that is also a Disqualified Lender, which shall be subject to the preceding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jc w:val="both"/>
        <w:ind w:firstLine="1104"/>
        <w:spacing w:after="0" w:line="283" w:lineRule="auto"/>
        <w:tabs>
          <w:tab w:leader="none" w:pos="159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spacing w:after="0" w:line="155" w:lineRule="exact"/>
        <w:rPr>
          <w:rFonts w:ascii="Arial" w:cs="Arial" w:eastAsia="Arial" w:hAnsi="Arial"/>
          <w:sz w:val="16"/>
          <w:szCs w:val="16"/>
          <w:color w:val="auto"/>
        </w:rPr>
      </w:pPr>
    </w:p>
    <w:p>
      <w:pPr>
        <w:jc w:val="both"/>
        <w:ind w:firstLine="1124"/>
        <w:spacing w:after="0" w:line="262" w:lineRule="auto"/>
        <w:tabs>
          <w:tab w:leader="none" w:pos="153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spacing w:after="0" w:line="171" w:lineRule="exact"/>
        <w:rPr>
          <w:rFonts w:ascii="Arial" w:cs="Arial" w:eastAsia="Arial" w:hAnsi="Arial"/>
          <w:sz w:val="17"/>
          <w:szCs w:val="17"/>
          <w:color w:val="auto"/>
        </w:rPr>
      </w:pPr>
    </w:p>
    <w:p>
      <w:pPr>
        <w:jc w:val="both"/>
        <w:ind w:firstLine="1094"/>
        <w:spacing w:after="0" w:line="254" w:lineRule="auto"/>
        <w:tabs>
          <w:tab w:leader="none" w:pos="171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w:t>
      </w:r>
    </w:p>
    <w:p>
      <w:pPr>
        <w:spacing w:after="0" w:line="176" w:lineRule="exact"/>
        <w:rPr>
          <w:rFonts w:ascii="Arial" w:cs="Arial" w:eastAsia="Arial" w:hAnsi="Arial"/>
          <w:sz w:val="18"/>
          <w:szCs w:val="18"/>
          <w:color w:val="auto"/>
        </w:rPr>
      </w:pPr>
    </w:p>
    <w:p>
      <w:pPr>
        <w:jc w:val="both"/>
        <w:ind w:firstLine="1094"/>
        <w:spacing w:after="0" w:line="249" w:lineRule="auto"/>
        <w:tabs>
          <w:tab w:leader="none" w:pos="169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21" w:right="339" w:bottom="1440" w:gutter="0" w:footer="0" w:header="0"/>
        </w:sectPr>
      </w:pPr>
    </w:p>
    <w:bookmarkStart w:id="188" w:name="page189"/>
    <w:bookmarkEnd w:id="188"/>
    <w:p>
      <w:pPr>
        <w:jc w:val="both"/>
        <w:spacing w:after="0" w:line="274" w:lineRule="auto"/>
        <w:rPr>
          <w:sz w:val="20"/>
          <w:szCs w:val="20"/>
          <w:color w:val="auto"/>
        </w:rPr>
      </w:pPr>
      <w:r>
        <w:rPr>
          <w:rFonts w:ascii="Arial" w:cs="Arial" w:eastAsia="Arial" w:hAnsi="Arial"/>
          <w:sz w:val="16"/>
          <w:szCs w:val="16"/>
          <w:color w:val="auto"/>
        </w:rPr>
        <w:t>any Lender that is a Regulated Bank and (y) any Revolving Lender as of the Effective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w:t>
      </w:r>
    </w:p>
    <w:p>
      <w:pPr>
        <w:spacing w:after="0" w:line="180"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2" w:lineRule="exact"/>
        <w:rPr>
          <w:sz w:val="20"/>
          <w:szCs w:val="20"/>
          <w:color w:val="auto"/>
        </w:rPr>
      </w:pPr>
    </w:p>
    <w:p>
      <w:pPr>
        <w:jc w:val="both"/>
        <w:ind w:firstLine="1104"/>
        <w:spacing w:after="0" w:line="260" w:lineRule="auto"/>
        <w:tabs>
          <w:tab w:leader="none" w:pos="153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(i) Milbank LLP for any and all of the foregoing in connection with the Transactions and Amendment No.1 and other matters, including the primary syndication, to occur on or prior to or otherwise in connection with the Effective Date and the Amendment No. 1 Effective Date and (ii) Latham &amp; Watkins LLP for any and all of the foregoing in connection with Amendment No.2, including the primary syndication, to occur on or prior to or otherwise in connection with the Amendment No.2 Effective 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21" w:right="339" w:bottom="1440" w:gutter="0" w:footer="0" w:header="0"/>
        </w:sectPr>
      </w:pPr>
    </w:p>
    <w:bookmarkStart w:id="189" w:name="page190"/>
    <w:bookmarkEnd w:id="189"/>
    <w:p>
      <w:pPr>
        <w:jc w:val="both"/>
        <w:spacing w:after="0" w:line="275" w:lineRule="auto"/>
        <w:rPr>
          <w:sz w:val="20"/>
          <w:szCs w:val="20"/>
          <w:color w:val="auto"/>
        </w:rPr>
      </w:pPr>
      <w:r>
        <w:rPr>
          <w:rFonts w:ascii="Arial" w:cs="Arial" w:eastAsia="Arial" w:hAnsi="Arial"/>
          <w:sz w:val="16"/>
          <w:szCs w:val="16"/>
          <w:color w:val="auto"/>
        </w:rPr>
        <w:t>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w:t>
      </w:r>
    </w:p>
    <w:p>
      <w:pPr>
        <w:spacing w:after="0" w:line="1" w:lineRule="exact"/>
        <w:rPr>
          <w:sz w:val="20"/>
          <w:szCs w:val="20"/>
          <w:color w:val="auto"/>
        </w:rPr>
      </w:pPr>
    </w:p>
    <w:p>
      <w:pPr>
        <w:jc w:val="both"/>
        <w:ind w:firstLine="8"/>
        <w:spacing w:after="0" w:line="275" w:lineRule="auto"/>
        <w:tabs>
          <w:tab w:leader="none" w:pos="31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reasonable and documented and invoiced out-of-pocket expenses incurred by the First Lien Administrative Agent, 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spacing w:after="0" w:line="181" w:lineRule="exact"/>
        <w:rPr>
          <w:rFonts w:ascii="Arial" w:cs="Arial" w:eastAsia="Arial" w:hAnsi="Arial"/>
          <w:sz w:val="16"/>
          <w:szCs w:val="16"/>
          <w:color w:val="auto"/>
        </w:rPr>
      </w:pPr>
    </w:p>
    <w:p>
      <w:pPr>
        <w:jc w:val="both"/>
        <w:ind w:firstLine="1094"/>
        <w:spacing w:after="0" w:line="274" w:lineRule="auto"/>
        <w:tabs>
          <w:tab w:leader="none" w:pos="159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21" w:right="339" w:bottom="1440" w:gutter="0" w:footer="0" w:header="0"/>
        </w:sectPr>
      </w:pPr>
    </w:p>
    <w:bookmarkStart w:id="190" w:name="page191"/>
    <w:bookmarkEnd w:id="190"/>
    <w:p>
      <w:pPr>
        <w:jc w:val="both"/>
        <w:spacing w:after="0" w:line="261" w:lineRule="auto"/>
        <w:rPr>
          <w:sz w:val="20"/>
          <w:szCs w:val="20"/>
          <w:color w:val="auto"/>
        </w:rPr>
      </w:pPr>
      <w:r>
        <w:rPr>
          <w:rFonts w:ascii="Arial" w:cs="Arial" w:eastAsia="Arial" w:hAnsi="Arial"/>
          <w:sz w:val="17"/>
          <w:szCs w:val="17"/>
          <w:color w:val="auto"/>
        </w:rPr>
        <w:t xml:space="preserve">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spacing w:after="0" w:line="189" w:lineRule="exact"/>
        <w:rPr>
          <w:sz w:val="20"/>
          <w:szCs w:val="20"/>
          <w:color w:val="auto"/>
        </w:rPr>
      </w:pPr>
    </w:p>
    <w:p>
      <w:pPr>
        <w:jc w:val="both"/>
        <w:ind w:firstLine="1104"/>
        <w:spacing w:after="0" w:line="280" w:lineRule="auto"/>
        <w:tabs>
          <w:tab w:leader="none" w:pos="153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Lenders’ obligations under this paragraph (c)).</w:t>
      </w:r>
    </w:p>
    <w:p>
      <w:pPr>
        <w:spacing w:after="0" w:line="159" w:lineRule="exact"/>
        <w:rPr>
          <w:rFonts w:ascii="Arial" w:cs="Arial" w:eastAsia="Arial" w:hAnsi="Arial"/>
          <w:sz w:val="16"/>
          <w:szCs w:val="16"/>
          <w:color w:val="auto"/>
        </w:rPr>
      </w:pPr>
    </w:p>
    <w:p>
      <w:pPr>
        <w:jc w:val="both"/>
        <w:ind w:firstLine="1094"/>
        <w:spacing w:after="0" w:line="262" w:lineRule="auto"/>
        <w:tabs>
          <w:tab w:leader="none" w:pos="157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in no event limit the Borrower’s indemnification obligations under clause (b) above.</w:t>
      </w:r>
    </w:p>
    <w:p>
      <w:pPr>
        <w:spacing w:after="0" w:line="171" w:lineRule="exact"/>
        <w:rPr>
          <w:rFonts w:ascii="Arial" w:cs="Arial" w:eastAsia="Arial" w:hAnsi="Arial"/>
          <w:sz w:val="17"/>
          <w:szCs w:val="17"/>
          <w:color w:val="auto"/>
        </w:rPr>
      </w:pPr>
    </w:p>
    <w:p>
      <w:pPr>
        <w:jc w:val="both"/>
        <w:ind w:firstLine="1104"/>
        <w:spacing w:after="0" w:line="244" w:lineRule="auto"/>
        <w:tabs>
          <w:tab w:leader="none" w:pos="152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204" w:lineRule="exact"/>
        <w:rPr>
          <w:rFonts w:ascii="Arial" w:cs="Arial" w:eastAsia="Arial" w:hAnsi="Arial"/>
          <w:sz w:val="18"/>
          <w:szCs w:val="18"/>
          <w:color w:val="auto"/>
        </w:rPr>
      </w:pPr>
    </w:p>
    <w:p>
      <w:pPr>
        <w:jc w:val="both"/>
        <w:ind w:firstLine="1124"/>
        <w:spacing w:after="0" w:line="268" w:lineRule="auto"/>
        <w:tabs>
          <w:tab w:leader="none" w:pos="1653" w:val="left"/>
        </w:tabs>
        <w:numPr>
          <w:ilvl w:val="0"/>
          <w:numId w:val="23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21" w:right="339" w:bottom="1440" w:gutter="0" w:footer="0" w:header="0"/>
        </w:sectPr>
      </w:pPr>
    </w:p>
    <w:bookmarkStart w:id="191" w:name="page192"/>
    <w:bookmarkEnd w:id="191"/>
    <w:p>
      <w:pPr>
        <w:jc w:val="both"/>
        <w:spacing w:after="0" w:line="256" w:lineRule="auto"/>
        <w:rPr>
          <w:sz w:val="20"/>
          <w:szCs w:val="20"/>
          <w:color w:val="auto"/>
        </w:rPr>
      </w:pPr>
      <w:r>
        <w:rPr>
          <w:rFonts w:ascii="Arial" w:cs="Arial" w:eastAsia="Arial" w:hAnsi="Arial"/>
          <w:sz w:val="18"/>
          <w:szCs w:val="18"/>
          <w:color w:val="auto"/>
        </w:rPr>
        <w:t xml:space="preserve">Lien Loan Documents or the transactions contemplated hereby or thereby;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175" w:lineRule="exact"/>
        <w:rPr>
          <w:sz w:val="20"/>
          <w:szCs w:val="20"/>
          <w:color w:val="auto"/>
        </w:rPr>
      </w:pPr>
    </w:p>
    <w:p>
      <w:pPr>
        <w:jc w:val="both"/>
        <w:ind w:firstLine="1094"/>
        <w:spacing w:after="0" w:line="278" w:lineRule="auto"/>
        <w:tabs>
          <w:tab w:leader="none" w:pos="166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9.03 shall be payable not later than ten (10) Business Days after written demand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71"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12" w:lineRule="exact"/>
        <w:rPr>
          <w:sz w:val="20"/>
          <w:szCs w:val="20"/>
          <w:color w:val="auto"/>
        </w:rPr>
      </w:pPr>
    </w:p>
    <w:p>
      <w:pPr>
        <w:jc w:val="both"/>
        <w:ind w:firstLine="1104"/>
        <w:spacing w:after="0" w:line="261" w:lineRule="auto"/>
        <w:tabs>
          <w:tab w:leader="none" w:pos="1569"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172" w:lineRule="exact"/>
        <w:rPr>
          <w:rFonts w:ascii="Arial" w:cs="Arial" w:eastAsia="Arial" w:hAnsi="Arial"/>
          <w:sz w:val="17"/>
          <w:szCs w:val="17"/>
          <w:color w:val="auto"/>
        </w:rPr>
      </w:pPr>
    </w:p>
    <w:p>
      <w:pPr>
        <w:jc w:val="both"/>
        <w:ind w:firstLine="1094"/>
        <w:spacing w:after="0" w:line="278" w:lineRule="auto"/>
        <w:tabs>
          <w:tab w:leader="none" w:pos="1542"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w:t>
      </w:r>
    </w:p>
    <w:p>
      <w:pPr>
        <w:jc w:val="both"/>
        <w:ind w:firstLine="8"/>
        <w:spacing w:after="0" w:line="275" w:lineRule="auto"/>
        <w:tabs>
          <w:tab w:leader="none" w:pos="31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First Lien Administrative Agent shall be required for an assignment of a Term Loan or assignments pursuant to the proviso in clause (z) of Section 9.04(b)(i)(A) to (x) a Revolving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21" w:right="339" w:bottom="1440" w:gutter="0" w:footer="0" w:header="0"/>
        </w:sectPr>
      </w:pPr>
    </w:p>
    <w:bookmarkStart w:id="192" w:name="page193"/>
    <w:bookmarkEnd w:id="192"/>
    <w:p>
      <w:pPr>
        <w:jc w:val="both"/>
        <w:ind w:firstLine="1304"/>
        <w:spacing w:after="0" w:line="275" w:lineRule="auto"/>
        <w:tabs>
          <w:tab w:leader="none" w:pos="169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and determined on an aggregate basis in the event of concurrent assignments to Related Funds or by Related Funds) shall, in the case of Revolving Loans, not be less than $2,500,000 or, in the case of a Term Loan, $1,000,000, unless the Borrower and the First Lien Administrative Agent otherwise consent (in each case,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Administrative Agent, in its sole discretion, may elect to waive or reduce such processing and recordation fee;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processing and recordation fee shall not be payable in the case of assignments by any Agent or any Lender to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Assignment and Assumption shall include a representation by the assignee that the assignee is not a Disqualified Lender or an Affiliate of a Disqualified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assignments made pursuant to Section 2.19(b) or Section 9.02(c) shall not require the signature of the assigning Lender to become effective, (D) 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 Specified Event of Default has occurred and is continuing.</w:t>
      </w:r>
    </w:p>
    <w:p>
      <w:pPr>
        <w:spacing w:after="0" w:line="388" w:lineRule="exact"/>
        <w:rPr>
          <w:rFonts w:ascii="Arial" w:cs="Arial" w:eastAsia="Arial" w:hAnsi="Arial"/>
          <w:sz w:val="16"/>
          <w:szCs w:val="16"/>
          <w:color w:val="auto"/>
        </w:rPr>
      </w:pPr>
    </w:p>
    <w:p>
      <w:pPr>
        <w:jc w:val="both"/>
        <w:ind w:firstLine="1304"/>
        <w:spacing w:after="0" w:line="260" w:lineRule="auto"/>
        <w:tabs>
          <w:tab w:leader="none" w:pos="181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86" w:lineRule="exact"/>
        <w:rPr>
          <w:rFonts w:ascii="Arial" w:cs="Arial" w:eastAsia="Arial" w:hAnsi="Arial"/>
          <w:sz w:val="17"/>
          <w:szCs w:val="17"/>
          <w:color w:val="auto"/>
        </w:rPr>
      </w:pPr>
    </w:p>
    <w:p>
      <w:pPr>
        <w:ind w:firstLine="1304"/>
        <w:spacing w:after="0" w:line="261" w:lineRule="auto"/>
        <w:tabs>
          <w:tab w:leader="none" w:pos="177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First Lien Administrative Agent, acting for this purpose as a non-fiduciary agent of the Borrower, shall maintain at one of its offices in the United States a copy of each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21" w:right="339" w:bottom="1440" w:gutter="0" w:footer="0" w:header="0"/>
        </w:sectPr>
      </w:pPr>
    </w:p>
    <w:bookmarkStart w:id="193" w:name="page194"/>
    <w:bookmarkEnd w:id="193"/>
    <w:p>
      <w:pPr>
        <w:jc w:val="both"/>
        <w:spacing w:after="0" w:line="280" w:lineRule="auto"/>
        <w:rPr>
          <w:sz w:val="20"/>
          <w:szCs w:val="20"/>
          <w:color w:val="auto"/>
        </w:rPr>
      </w:pPr>
      <w:r>
        <w:rPr>
          <w:rFonts w:ascii="Arial" w:cs="Arial" w:eastAsia="Arial" w:hAnsi="Arial"/>
          <w:sz w:val="16"/>
          <w:szCs w:val="16"/>
          <w:color w:val="auto"/>
        </w:rPr>
        <w:t>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61" w:lineRule="exact"/>
        <w:rPr>
          <w:sz w:val="20"/>
          <w:szCs w:val="20"/>
          <w:color w:val="auto"/>
        </w:rPr>
      </w:pPr>
    </w:p>
    <w:p>
      <w:pPr>
        <w:jc w:val="both"/>
        <w:ind w:firstLine="1304"/>
        <w:spacing w:after="0" w:line="288" w:lineRule="auto"/>
        <w:tabs>
          <w:tab w:leader="none" w:pos="1712" w:val="left"/>
        </w:tabs>
        <w:numPr>
          <w:ilvl w:val="2"/>
          <w:numId w:val="238"/>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1" w:lineRule="exact"/>
        <w:rPr>
          <w:rFonts w:ascii="Arial" w:cs="Arial" w:eastAsia="Arial" w:hAnsi="Arial"/>
          <w:sz w:val="16"/>
          <w:szCs w:val="16"/>
          <w:color w:val="auto"/>
        </w:rPr>
      </w:pPr>
    </w:p>
    <w:p>
      <w:pPr>
        <w:jc w:val="both"/>
        <w:ind w:firstLine="1304"/>
        <w:spacing w:after="0" w:line="249" w:lineRule="auto"/>
        <w:tabs>
          <w:tab w:leader="none" w:pos="1807"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rFonts w:ascii="Arial" w:cs="Arial" w:eastAsia="Arial" w:hAnsi="Arial"/>
          <w:sz w:val="18"/>
          <w:szCs w:val="18"/>
          <w:color w:val="auto"/>
        </w:rPr>
      </w:pPr>
    </w:p>
    <w:p>
      <w:pPr>
        <w:jc w:val="both"/>
        <w:ind w:firstLine="1104"/>
        <w:spacing w:after="0" w:line="276" w:lineRule="auto"/>
        <w:tabs>
          <w:tab w:leader="none" w:pos="159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(i) Any Lender may, without the consent of the Borrower, the First Lien Administrative Agent, the Issuing Banks or the Swingline Lender, sell participations to one or more banks or other Persons (other than to a Person that is not an Eligible Assignee)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jc w:val="both"/>
        <w:ind w:firstLine="8"/>
        <w:spacing w:after="0" w:line="258" w:lineRule="auto"/>
        <w:tabs>
          <w:tab w:leader="none" w:pos="29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Section 2.18(c) as though it were a Lender.</w:t>
      </w:r>
    </w:p>
    <w:p>
      <w:pPr>
        <w:spacing w:after="0" w:line="175" w:lineRule="exact"/>
        <w:rPr>
          <w:rFonts w:ascii="Arial" w:cs="Arial" w:eastAsia="Arial" w:hAnsi="Arial"/>
          <w:sz w:val="17"/>
          <w:szCs w:val="17"/>
          <w:color w:val="auto"/>
        </w:rPr>
      </w:pPr>
    </w:p>
    <w:p>
      <w:pPr>
        <w:jc w:val="both"/>
        <w:ind w:firstLine="1304"/>
        <w:spacing w:after="0" w:line="273" w:lineRule="auto"/>
        <w:tabs>
          <w:tab w:leader="none" w:pos="1777" w:val="left"/>
        </w:tabs>
        <w:numPr>
          <w:ilvl w:val="2"/>
          <w:numId w:val="240"/>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the parties hereto shall treat each person whose name is recorded in the Participant Register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21" w:right="339" w:bottom="1440" w:gutter="0" w:footer="0" w:header="0"/>
        </w:sectPr>
      </w:pPr>
    </w:p>
    <w:bookmarkStart w:id="194" w:name="page195"/>
    <w:bookmarkEnd w:id="194"/>
    <w:p>
      <w:pPr>
        <w:jc w:val="both"/>
        <w:spacing w:after="0" w:line="267" w:lineRule="auto"/>
        <w:rPr>
          <w:sz w:val="20"/>
          <w:szCs w:val="20"/>
          <w:color w:val="auto"/>
        </w:rPr>
      </w:pPr>
      <w:r>
        <w:rPr>
          <w:rFonts w:ascii="Arial" w:cs="Arial" w:eastAsia="Arial" w:hAnsi="Arial"/>
          <w:sz w:val="17"/>
          <w:szCs w:val="17"/>
          <w:color w:val="auto"/>
        </w:rPr>
        <w:t>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168" w:lineRule="exact"/>
        <w:rPr>
          <w:sz w:val="20"/>
          <w:szCs w:val="20"/>
          <w:color w:val="auto"/>
        </w:rPr>
      </w:pPr>
    </w:p>
    <w:p>
      <w:pPr>
        <w:jc w:val="both"/>
        <w:ind w:firstLine="1304"/>
        <w:spacing w:after="0" w:line="256" w:lineRule="auto"/>
        <w:tabs>
          <w:tab w:leader="none" w:pos="1747"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188" w:lineRule="exact"/>
        <w:rPr>
          <w:rFonts w:ascii="Arial" w:cs="Arial" w:eastAsia="Arial" w:hAnsi="Arial"/>
          <w:sz w:val="18"/>
          <w:szCs w:val="18"/>
          <w:color w:val="auto"/>
        </w:rPr>
      </w:pPr>
    </w:p>
    <w:p>
      <w:pPr>
        <w:jc w:val="both"/>
        <w:ind w:firstLine="1094"/>
        <w:spacing w:after="0" w:line="245" w:lineRule="auto"/>
        <w:tabs>
          <w:tab w:leader="none" w:pos="15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99" w:lineRule="exact"/>
        <w:rPr>
          <w:rFonts w:ascii="Arial" w:cs="Arial" w:eastAsia="Arial" w:hAnsi="Arial"/>
          <w:sz w:val="18"/>
          <w:szCs w:val="18"/>
          <w:color w:val="auto"/>
        </w:rPr>
      </w:pPr>
    </w:p>
    <w:p>
      <w:pPr>
        <w:jc w:val="both"/>
        <w:ind w:firstLine="1104"/>
        <w:spacing w:after="0" w:line="259" w:lineRule="auto"/>
        <w:tabs>
          <w:tab w:leader="none" w:pos="152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rFonts w:ascii="Arial" w:cs="Arial" w:eastAsia="Arial" w:hAnsi="Arial"/>
          <w:sz w:val="17"/>
          <w:szCs w:val="17"/>
          <w:color w:val="auto"/>
        </w:rPr>
      </w:pPr>
    </w:p>
    <w:p>
      <w:pPr>
        <w:ind w:firstLine="1124"/>
        <w:spacing w:after="0" w:line="261" w:lineRule="auto"/>
        <w:tabs>
          <w:tab w:leader="none" w:pos="160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any Lender may, at any time, assign all or a portion of its rights and obligations under this Agreement to an Affiliated Lender subject to the following limitations:</w:t>
      </w:r>
    </w:p>
    <w:p>
      <w:pPr>
        <w:spacing w:after="0" w:line="184" w:lineRule="exact"/>
        <w:rPr>
          <w:sz w:val="20"/>
          <w:szCs w:val="20"/>
          <w:color w:val="auto"/>
        </w:rPr>
      </w:pPr>
    </w:p>
    <w:p>
      <w:pPr>
        <w:jc w:val="both"/>
        <w:ind w:left="400" w:firstLine="907"/>
        <w:spacing w:after="0" w:line="249" w:lineRule="auto"/>
        <w:rPr>
          <w:sz w:val="20"/>
          <w:szCs w:val="20"/>
          <w:color w:val="auto"/>
        </w:rPr>
      </w:pPr>
      <w:r>
        <w:rPr>
          <w:rFonts w:ascii="Arial" w:cs="Arial" w:eastAsia="Arial" w:hAnsi="Arial"/>
          <w:sz w:val="18"/>
          <w:szCs w:val="18"/>
          <w:color w:val="auto"/>
        </w:rPr>
        <w:t>(i). 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spacing w:after="0" w:line="194" w:lineRule="exact"/>
        <w:rPr>
          <w:sz w:val="20"/>
          <w:szCs w:val="20"/>
          <w:color w:val="auto"/>
        </w:rPr>
      </w:pPr>
    </w:p>
    <w:p>
      <w:pPr>
        <w:jc w:val="both"/>
        <w:ind w:left="400" w:firstLine="907"/>
        <w:spacing w:after="0" w:line="245" w:lineRule="auto"/>
        <w:rPr>
          <w:sz w:val="20"/>
          <w:szCs w:val="20"/>
          <w:color w:val="auto"/>
        </w:rPr>
      </w:pPr>
      <w:r>
        <w:rPr>
          <w:rFonts w:ascii="Arial" w:cs="Arial" w:eastAsia="Arial" w:hAnsi="Arial"/>
          <w:sz w:val="18"/>
          <w:szCs w:val="18"/>
          <w:color w:val="auto"/>
        </w:rPr>
        <w:t>(ii). for purposes of any amendment, waiver or modification of any First Lien Loan Document (including such modifications pursuant to 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21" w:right="339" w:bottom="1440" w:gutter="0" w:footer="0" w:header="0"/>
        </w:sectPr>
      </w:pPr>
    </w:p>
    <w:bookmarkStart w:id="195" w:name="page196"/>
    <w:bookmarkEnd w:id="195"/>
    <w:p>
      <w:pPr>
        <w:jc w:val="both"/>
        <w:ind w:left="400"/>
        <w:spacing w:after="0" w:line="303" w:lineRule="auto"/>
        <w:rPr>
          <w:sz w:val="20"/>
          <w:szCs w:val="20"/>
          <w:color w:val="auto"/>
        </w:rPr>
      </w:pPr>
      <w:r>
        <w:rPr>
          <w:rFonts w:ascii="Arial" w:cs="Arial" w:eastAsia="Arial" w:hAnsi="Arial"/>
          <w:sz w:val="16"/>
          <w:szCs w:val="16"/>
          <w:color w:val="auto"/>
        </w:rPr>
        <w:t xml:space="preserve">not counted in determining whether the applicable class has accepted or rejected such plan in accordance with Section 1126(c) of the U.S. Bankruptcy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Affiliated Debt Funds will not be subject to such voting limitations and will be entitled to vote as any other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Affiliated Debt Funds may not account for more than 49.9% of the “Required Lenders” in any Required Lender vote;</w:t>
      </w:r>
    </w:p>
    <w:p>
      <w:pPr>
        <w:spacing w:after="0" w:line="14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Affiliated Lenders may not purchase Revolving Loans, including pursuant to this Section 9.04;</w:t>
      </w:r>
    </w:p>
    <w:p>
      <w:pPr>
        <w:spacing w:after="0" w:line="225" w:lineRule="exact"/>
        <w:rPr>
          <w:sz w:val="20"/>
          <w:szCs w:val="20"/>
          <w:color w:val="auto"/>
        </w:rPr>
      </w:pPr>
    </w:p>
    <w:p>
      <w:pPr>
        <w:jc w:val="both"/>
        <w:ind w:left="400" w:firstLine="907"/>
        <w:spacing w:after="0" w:line="256" w:lineRule="auto"/>
        <w:rPr>
          <w:sz w:val="20"/>
          <w:szCs w:val="20"/>
          <w:color w:val="auto"/>
        </w:rPr>
      </w:pPr>
      <w:r>
        <w:rPr>
          <w:rFonts w:ascii="Arial" w:cs="Arial" w:eastAsia="Arial" w:hAnsi="Arial"/>
          <w:sz w:val="18"/>
          <w:szCs w:val="18"/>
          <w:color w:val="auto"/>
        </w:rPr>
        <w:t>(iv). 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spacing w:after="0" w:line="175" w:lineRule="exact"/>
        <w:rPr>
          <w:sz w:val="20"/>
          <w:szCs w:val="20"/>
          <w:color w:val="auto"/>
        </w:rPr>
      </w:pPr>
    </w:p>
    <w:p>
      <w:pPr>
        <w:jc w:val="both"/>
        <w:ind w:left="400" w:firstLine="907"/>
        <w:spacing w:after="0" w:line="273" w:lineRule="auto"/>
        <w:rPr>
          <w:sz w:val="20"/>
          <w:szCs w:val="20"/>
          <w:color w:val="auto"/>
        </w:rPr>
      </w:pPr>
      <w:r>
        <w:rPr>
          <w:rFonts w:ascii="Arial" w:cs="Arial" w:eastAsia="Arial" w:hAnsi="Arial"/>
          <w:sz w:val="17"/>
          <w:szCs w:val="17"/>
          <w:color w:val="auto"/>
        </w:rPr>
        <w:t>(v). 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spacing w:after="0" w:line="164" w:lineRule="exact"/>
        <w:rPr>
          <w:sz w:val="20"/>
          <w:szCs w:val="20"/>
          <w:color w:val="auto"/>
        </w:rPr>
      </w:pPr>
    </w:p>
    <w:p>
      <w:pPr>
        <w:jc w:val="both"/>
        <w:ind w:left="820" w:firstLine="735"/>
        <w:spacing w:after="0" w:line="264" w:lineRule="auto"/>
        <w:tabs>
          <w:tab w:leader="none" w:pos="195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169" w:lineRule="exact"/>
        <w:rPr>
          <w:sz w:val="20"/>
          <w:szCs w:val="20"/>
          <w:color w:val="auto"/>
        </w:rPr>
      </w:pPr>
    </w:p>
    <w:p>
      <w:pPr>
        <w:jc w:val="both"/>
        <w:ind w:left="400" w:firstLine="907"/>
        <w:spacing w:after="0" w:line="260" w:lineRule="auto"/>
        <w:rPr>
          <w:sz w:val="20"/>
          <w:szCs w:val="20"/>
          <w:color w:val="auto"/>
        </w:rPr>
      </w:pPr>
      <w:r>
        <w:rPr>
          <w:rFonts w:ascii="Arial" w:cs="Arial" w:eastAsia="Arial" w:hAnsi="Arial"/>
          <w:sz w:val="17"/>
          <w:szCs w:val="17"/>
          <w:color w:val="auto"/>
        </w:rPr>
        <w:t>(vi). 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191" w:lineRule="exact"/>
        <w:rPr>
          <w:sz w:val="20"/>
          <w:szCs w:val="20"/>
          <w:color w:val="auto"/>
        </w:rPr>
      </w:pPr>
    </w:p>
    <w:p>
      <w:pPr>
        <w:jc w:val="both"/>
        <w:ind w:firstLine="1094"/>
        <w:spacing w:after="0" w:line="261" w:lineRule="auto"/>
        <w:tabs>
          <w:tab w:leader="none" w:pos="167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21" w:right="339" w:bottom="1440" w:gutter="0" w:footer="0" w:header="0"/>
        </w:sectPr>
      </w:pPr>
    </w:p>
    <w:bookmarkStart w:id="196" w:name="page197"/>
    <w:bookmarkEnd w:id="196"/>
    <w:p>
      <w:pPr>
        <w:jc w:val="both"/>
        <w:spacing w:after="0" w:line="245" w:lineRule="auto"/>
        <w:rPr>
          <w:sz w:val="20"/>
          <w:szCs w:val="20"/>
          <w:color w:val="auto"/>
        </w:rPr>
      </w:pPr>
      <w:r>
        <w:rPr>
          <w:rFonts w:ascii="Arial" w:cs="Arial" w:eastAsia="Arial" w:hAnsi="Arial"/>
          <w:sz w:val="18"/>
          <w:szCs w:val="18"/>
          <w:color w:val="auto"/>
        </w:rPr>
        <w:t>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200" w:lineRule="exact"/>
        <w:rPr>
          <w:sz w:val="20"/>
          <w:szCs w:val="20"/>
          <w:color w:val="auto"/>
        </w:rPr>
      </w:pPr>
    </w:p>
    <w:p>
      <w:pPr>
        <w:jc w:val="both"/>
        <w:ind w:firstLine="1094"/>
        <w:spacing w:after="0" w:line="274" w:lineRule="auto"/>
        <w:tabs>
          <w:tab w:leader="none" w:pos="15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Notwithstanding the foregoing, no assignment may be made or participation sold to a Disqualified Lender without the prior written consent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w:t>
      </w:r>
    </w:p>
    <w:p>
      <w:pPr>
        <w:spacing w:after="0" w:line="394" w:lineRule="exact"/>
        <w:rPr>
          <w:rFonts w:ascii="Arial" w:cs="Arial" w:eastAsia="Arial" w:hAnsi="Arial"/>
          <w:sz w:val="16"/>
          <w:szCs w:val="16"/>
          <w:color w:val="auto"/>
        </w:rPr>
      </w:pPr>
    </w:p>
    <w:p>
      <w:pPr>
        <w:jc w:val="both"/>
        <w:ind w:firstLine="1134"/>
        <w:spacing w:after="0" w:line="245" w:lineRule="auto"/>
        <w:tabs>
          <w:tab w:leader="none" w:pos="158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spacing w:after="0" w:line="19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1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21" w:right="339" w:bottom="1440" w:gutter="0" w:footer="0" w:header="0"/>
        </w:sectPr>
      </w:pPr>
    </w:p>
    <w:bookmarkStart w:id="197" w:name="page198"/>
    <w:bookmarkEnd w:id="197"/>
    <w:p>
      <w:pPr>
        <w:jc w:val="both"/>
        <w:spacing w:after="0" w:line="277" w:lineRule="auto"/>
        <w:rPr>
          <w:sz w:val="20"/>
          <w:szCs w:val="20"/>
          <w:color w:val="auto"/>
        </w:rPr>
      </w:pPr>
      <w:r>
        <w:rPr>
          <w:rFonts w:ascii="Arial" w:cs="Arial" w:eastAsia="Arial" w:hAnsi="Arial"/>
          <w:sz w:val="16"/>
          <w:szCs w:val="16"/>
          <w:color w:val="auto"/>
        </w:rPr>
        <w:t>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spacing w:after="0" w:line="165"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7"/>
          <w:szCs w:val="17"/>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72"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spacing w:after="0" w:line="167"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21" w:right="339" w:bottom="1440" w:gutter="0" w:footer="0" w:header="0"/>
        </w:sectPr>
      </w:pPr>
    </w:p>
    <w:bookmarkStart w:id="198" w:name="page199"/>
    <w:bookmarkEnd w:id="198"/>
    <w:p>
      <w:pPr>
        <w:jc w:val="both"/>
        <w:spacing w:after="0" w:line="260" w:lineRule="auto"/>
        <w:rPr>
          <w:sz w:val="20"/>
          <w:szCs w:val="20"/>
          <w:color w:val="auto"/>
        </w:rPr>
      </w:pPr>
      <w:r>
        <w:rPr>
          <w:rFonts w:ascii="Arial" w:cs="Arial" w:eastAsia="Arial" w:hAnsi="Arial"/>
          <w:sz w:val="17"/>
          <w:szCs w:val="17"/>
          <w:color w:val="auto"/>
        </w:rPr>
        <w:t xml:space="preserve">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191"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12" w:lineRule="exact"/>
        <w:rPr>
          <w:sz w:val="20"/>
          <w:szCs w:val="20"/>
          <w:color w:val="auto"/>
        </w:rPr>
      </w:pPr>
    </w:p>
    <w:p>
      <w:pPr>
        <w:ind w:left="1520" w:hanging="416"/>
        <w:spacing w:after="0"/>
        <w:tabs>
          <w:tab w:leader="none" w:pos="15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w:t>
      </w:r>
    </w:p>
    <w:p>
      <w:pPr>
        <w:spacing w:after="0" w:line="211" w:lineRule="exact"/>
        <w:rPr>
          <w:rFonts w:ascii="Arial" w:cs="Arial" w:eastAsia="Arial" w:hAnsi="Arial"/>
          <w:sz w:val="18"/>
          <w:szCs w:val="18"/>
          <w:color w:val="auto"/>
        </w:rPr>
      </w:pPr>
    </w:p>
    <w:p>
      <w:pPr>
        <w:jc w:val="both"/>
        <w:ind w:firstLine="1094"/>
        <w:spacing w:after="0" w:line="262" w:lineRule="auto"/>
        <w:tabs>
          <w:tab w:leader="none" w:pos="16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spacing w:after="0" w:line="185" w:lineRule="exact"/>
        <w:rPr>
          <w:rFonts w:ascii="Arial" w:cs="Arial" w:eastAsia="Arial" w:hAnsi="Arial"/>
          <w:sz w:val="17"/>
          <w:szCs w:val="17"/>
          <w:color w:val="auto"/>
        </w:rPr>
      </w:pPr>
    </w:p>
    <w:p>
      <w:pPr>
        <w:jc w:val="both"/>
        <w:ind w:firstLine="1104"/>
        <w:spacing w:after="0" w:line="249" w:lineRule="auto"/>
        <w:tabs>
          <w:tab w:leader="none" w:pos="164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80" w:lineRule="exact"/>
        <w:rPr>
          <w:rFonts w:ascii="Arial" w:cs="Arial" w:eastAsia="Arial" w:hAnsi="Arial"/>
          <w:sz w:val="18"/>
          <w:szCs w:val="18"/>
          <w:color w:val="auto"/>
        </w:rPr>
      </w:pPr>
    </w:p>
    <w:p>
      <w:pPr>
        <w:ind w:firstLine="1094"/>
        <w:spacing w:after="0" w:line="308" w:lineRule="auto"/>
        <w:tabs>
          <w:tab w:leader="none" w:pos="152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133"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7"/>
          <w:szCs w:val="17"/>
          <w:u w:val="single" w:color="auto"/>
          <w:color w:val="auto"/>
        </w:rPr>
        <w:t>WAIVER OF JURY TRIAL</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21" w:right="339" w:bottom="1440" w:gutter="0" w:footer="0" w:header="0"/>
        </w:sectPr>
      </w:pPr>
    </w:p>
    <w:bookmarkStart w:id="199" w:name="page200"/>
    <w:bookmarkEnd w:id="199"/>
    <w:p>
      <w:pPr>
        <w:ind w:left="1620"/>
        <w:spacing w:after="0"/>
        <w:tabs>
          <w:tab w:leader="none" w:pos="290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w:t>
      </w:r>
    </w:p>
    <w:p>
      <w:pPr>
        <w:spacing w:after="0" w:line="21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57"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jc w:val="both"/>
        <w:ind w:firstLine="1104"/>
        <w:spacing w:after="0" w:line="273" w:lineRule="auto"/>
        <w:tabs>
          <w:tab w:leader="none" w:pos="168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firstLine="1094"/>
        <w:spacing w:after="0" w:line="261" w:lineRule="auto"/>
        <w:tabs>
          <w:tab w:leader="none" w:pos="175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LENDER ACKNOWLEDGES THAT INFORMATION (AS DEFINED IN SECTION 9.12(a)) FURNISHED TO IT PURSUANT TO THIS AGREEMENT MAY INCLUDE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21" w:right="339" w:bottom="1440" w:gutter="0" w:footer="0" w:header="0"/>
        </w:sectPr>
      </w:pPr>
    </w:p>
    <w:bookmarkStart w:id="200" w:name="page201"/>
    <w:bookmarkEnd w:id="200"/>
    <w:p>
      <w:pPr>
        <w:jc w:val="both"/>
        <w:spacing w:after="0" w:line="249" w:lineRule="auto"/>
        <w:rPr>
          <w:sz w:val="20"/>
          <w:szCs w:val="20"/>
          <w:color w:val="auto"/>
        </w:rPr>
      </w:pPr>
      <w:r>
        <w:rPr>
          <w:rFonts w:ascii="Arial" w:cs="Arial" w:eastAsia="Arial" w:hAnsi="Arial"/>
          <w:sz w:val="18"/>
          <w:szCs w:val="18"/>
          <w:color w:val="auto"/>
        </w:rPr>
        <w:t>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4" w:lineRule="exact"/>
        <w:rPr>
          <w:sz w:val="20"/>
          <w:szCs w:val="20"/>
          <w:color w:val="auto"/>
        </w:rPr>
      </w:pPr>
    </w:p>
    <w:p>
      <w:pPr>
        <w:jc w:val="both"/>
        <w:ind w:firstLine="1104"/>
        <w:spacing w:after="0" w:line="245" w:lineRule="auto"/>
        <w:tabs>
          <w:tab w:leader="none" w:pos="160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6"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u w:val="single" w:color="auto"/>
          <w:color w:val="auto"/>
        </w:rPr>
        <w:t>USA PATRIOT Act.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spacing w:after="0" w:line="180"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5"/>
          <w:szCs w:val="15"/>
          <w:u w:val="single" w:color="auto"/>
          <w:color w:val="auto"/>
        </w:rPr>
        <w:t>Release of Liens and Guarantees</w:t>
      </w:r>
      <w:r>
        <w:rPr>
          <w:rFonts w:ascii="Arial" w:cs="Arial" w:eastAsia="Arial" w:hAnsi="Arial"/>
          <w:sz w:val="15"/>
          <w:szCs w:val="15"/>
          <w:color w:val="auto"/>
        </w:rPr>
        <w:t>.</w:t>
      </w:r>
    </w:p>
    <w:p>
      <w:pPr>
        <w:spacing w:after="0" w:line="212" w:lineRule="exact"/>
        <w:rPr>
          <w:sz w:val="20"/>
          <w:szCs w:val="20"/>
          <w:color w:val="auto"/>
        </w:rPr>
      </w:pPr>
    </w:p>
    <w:p>
      <w:pPr>
        <w:jc w:val="both"/>
        <w:ind w:firstLine="1104"/>
        <w:spacing w:after="0" w:line="258" w:lineRule="auto"/>
        <w:tabs>
          <w:tab w:leader="none" w:pos="158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Non-Wholly Owned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21" w:right="339" w:bottom="1440" w:gutter="0" w:footer="0" w:header="0"/>
        </w:sectPr>
      </w:pPr>
    </w:p>
    <w:bookmarkStart w:id="201" w:name="page202"/>
    <w:bookmarkEnd w:id="201"/>
    <w:p>
      <w:pPr>
        <w:jc w:val="both"/>
        <w:ind w:firstLine="1094"/>
        <w:spacing w:after="0" w:line="268" w:lineRule="auto"/>
        <w:tabs>
          <w:tab w:leader="none" w:pos="156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179" w:lineRule="exact"/>
        <w:rPr>
          <w:rFonts w:ascii="Arial" w:cs="Arial" w:eastAsia="Arial" w:hAnsi="Arial"/>
          <w:sz w:val="17"/>
          <w:szCs w:val="17"/>
          <w:color w:val="auto"/>
        </w:rPr>
      </w:pPr>
    </w:p>
    <w:p>
      <w:pPr>
        <w:jc w:val="both"/>
        <w:ind w:firstLine="1104"/>
        <w:spacing w:after="0" w:line="246" w:lineRule="auto"/>
        <w:tabs>
          <w:tab w:leader="none" w:pos="160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19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 (iii) 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spacing w:after="0" w:line="174"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8"/>
          <w:szCs w:val="18"/>
          <w:color w:val="auto"/>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First Lien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21" w:right="339" w:bottom="1440" w:gutter="0" w:footer="0" w:header="0"/>
        </w:sectPr>
      </w:pPr>
    </w:p>
    <w:bookmarkStart w:id="202" w:name="page203"/>
    <w:bookmarkEnd w:id="202"/>
    <w:p>
      <w:pPr>
        <w:ind w:left="1620"/>
        <w:spacing w:after="0"/>
        <w:tabs>
          <w:tab w:leader="none" w:pos="2900" w:val="left"/>
        </w:tabs>
        <w:rPr>
          <w:sz w:val="20"/>
          <w:szCs w:val="20"/>
          <w:color w:val="auto"/>
        </w:rPr>
      </w:pPr>
      <w:r>
        <w:rPr>
          <w:rFonts w:ascii="Arial" w:cs="Arial" w:eastAsia="Arial" w:hAnsi="Arial"/>
          <w:sz w:val="18"/>
          <w:szCs w:val="18"/>
          <w:color w:val="auto"/>
        </w:rPr>
        <w:t>SECTION 9.17</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1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7"/>
          <w:szCs w:val="17"/>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177"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9.18</w:t>
      </w:r>
      <w:r>
        <w:rPr>
          <w:sz w:val="20"/>
          <w:szCs w:val="20"/>
          <w:color w:val="auto"/>
        </w:rPr>
        <w:tab/>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Notwithstanding anything to the contrary in any First Lien Loan Document or in any other agreement, arrangement or understanding among any parties to any First Lien Loan Document, each party hereto acknowledges that any liability of any Lender that is an Affected Financial Institution arising under any First Lien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104"/>
        <w:spacing w:after="0" w:line="261" w:lineRule="auto"/>
        <w:tabs>
          <w:tab w:leader="none" w:pos="16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w:t>
      </w:r>
    </w:p>
    <w:p>
      <w:pPr>
        <w:spacing w:after="0" w:line="184" w:lineRule="exact"/>
        <w:rPr>
          <w:rFonts w:ascii="Arial" w:cs="Arial" w:eastAsia="Arial" w:hAnsi="Arial"/>
          <w:sz w:val="18"/>
          <w:szCs w:val="18"/>
          <w:color w:val="auto"/>
        </w:rPr>
      </w:pPr>
    </w:p>
    <w:p>
      <w:pPr>
        <w:ind w:left="1520" w:hanging="426"/>
        <w:spacing w:after="0"/>
        <w:tabs>
          <w:tab w:leader="none" w:pos="15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00" w:lineRule="exact"/>
        <w:rPr>
          <w:sz w:val="20"/>
          <w:szCs w:val="20"/>
          <w:color w:val="auto"/>
        </w:rPr>
      </w:pPr>
    </w:p>
    <w:p>
      <w:pPr>
        <w:spacing w:after="0" w:line="255"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 reduction in full or in part or cancellation of any such liability</w:t>
      </w:r>
    </w:p>
    <w:p>
      <w:pPr>
        <w:spacing w:after="0" w:line="212" w:lineRule="exact"/>
        <w:rPr>
          <w:sz w:val="20"/>
          <w:szCs w:val="20"/>
          <w:color w:val="auto"/>
        </w:rPr>
      </w:pPr>
    </w:p>
    <w:p>
      <w:pPr>
        <w:jc w:val="both"/>
        <w:ind w:left="500" w:firstLine="907"/>
        <w:spacing w:after="0" w:line="254" w:lineRule="auto"/>
        <w:rPr>
          <w:sz w:val="20"/>
          <w:szCs w:val="20"/>
          <w:color w:val="auto"/>
        </w:rPr>
      </w:pPr>
      <w:r>
        <w:rPr>
          <w:rFonts w:ascii="Arial" w:cs="Arial" w:eastAsia="Arial" w:hAnsi="Arial"/>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177" w:lineRule="exact"/>
        <w:rPr>
          <w:sz w:val="20"/>
          <w:szCs w:val="20"/>
          <w:color w:val="auto"/>
        </w:rPr>
      </w:pPr>
    </w:p>
    <w:p>
      <w:pPr>
        <w:ind w:firstLine="907"/>
        <w:spacing w:after="0" w:line="277" w:lineRule="auto"/>
        <w:rPr>
          <w:sz w:val="20"/>
          <w:szCs w:val="20"/>
          <w:color w:val="auto"/>
        </w:rPr>
      </w:pPr>
      <w:r>
        <w:rPr>
          <w:rFonts w:ascii="Arial" w:cs="Arial" w:eastAsia="Arial" w:hAnsi="Arial"/>
          <w:sz w:val="18"/>
          <w:szCs w:val="18"/>
          <w:color w:val="auto"/>
        </w:rPr>
        <w:t>(iii). the variation of the terms of such liability in connection with the exercise of the Write-Down and Conversion Powers of the applicable Resolution Authority.</w:t>
      </w:r>
    </w:p>
    <w:p>
      <w:pPr>
        <w:spacing w:after="0" w:line="157"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w:t>
      </w:r>
    </w:p>
    <w:p>
      <w:pPr>
        <w:spacing w:after="0" w:line="225" w:lineRule="exact"/>
        <w:rPr>
          <w:sz w:val="20"/>
          <w:szCs w:val="20"/>
          <w:color w:val="auto"/>
        </w:rPr>
      </w:pPr>
    </w:p>
    <w:p>
      <w:pPr>
        <w:jc w:val="both"/>
        <w:ind w:firstLine="1104"/>
        <w:spacing w:after="0" w:line="283" w:lineRule="auto"/>
        <w:tabs>
          <w:tab w:leader="none" w:pos="161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JPMorgan (or its affiliated designee, representative, agent or successor) on its behalf as collateral agent, respectively,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21" w:right="339" w:bottom="1440" w:gutter="0" w:footer="0" w:header="0"/>
        </w:sectPr>
      </w:pPr>
    </w:p>
    <w:bookmarkStart w:id="203" w:name="page204"/>
    <w:bookmarkEnd w:id="203"/>
    <w:p>
      <w:pPr>
        <w:jc w:val="both"/>
        <w:ind w:firstLine="1094"/>
        <w:spacing w:after="0" w:line="264" w:lineRule="auto"/>
        <w:tabs>
          <w:tab w:leader="none" w:pos="1583"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169" w:lineRule="exact"/>
        <w:rPr>
          <w:sz w:val="20"/>
          <w:szCs w:val="20"/>
          <w:color w:val="auto"/>
        </w:rPr>
      </w:pPr>
    </w:p>
    <w:p>
      <w:pPr>
        <w:jc w:val="both"/>
        <w:ind w:firstLine="1096"/>
        <w:spacing w:after="0" w:line="246" w:lineRule="auto"/>
        <w:rPr>
          <w:sz w:val="20"/>
          <w:szCs w:val="20"/>
          <w:color w:val="auto"/>
        </w:rPr>
      </w:pPr>
      <w:r>
        <w:rPr>
          <w:rFonts w:ascii="Arial" w:cs="Arial" w:eastAsia="Arial" w:hAnsi="Arial"/>
          <w:sz w:val="18"/>
          <w:szCs w:val="18"/>
          <w:color w:val="auto"/>
        </w:rPr>
        <w:t>(c)Notwithstanding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spacing w:after="0" w:line="19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SECTION 9.20</w:t>
      </w:r>
      <w:r>
        <w:rPr>
          <w:sz w:val="20"/>
          <w:szCs w:val="20"/>
          <w:color w:val="auto"/>
        </w:rPr>
        <w:tab/>
      </w:r>
      <w:r>
        <w:rPr>
          <w:rFonts w:ascii="Arial" w:cs="Arial" w:eastAsia="Arial" w:hAnsi="Arial"/>
          <w:sz w:val="15"/>
          <w:szCs w:val="15"/>
          <w:u w:val="single" w:color="auto"/>
          <w:color w:val="auto"/>
        </w:rPr>
        <w:t>Cashless Settlement</w:t>
      </w:r>
      <w:r>
        <w:rPr>
          <w:rFonts w:ascii="Arial" w:cs="Arial" w:eastAsia="Arial" w:hAnsi="Arial"/>
          <w:sz w:val="15"/>
          <w:szCs w:val="15"/>
          <w:color w:val="auto"/>
        </w:rPr>
        <w:t>.</w:t>
      </w:r>
    </w:p>
    <w:p>
      <w:pPr>
        <w:spacing w:after="0" w:line="21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spacing w:after="0" w:line="215" w:lineRule="exact"/>
        <w:rPr>
          <w:sz w:val="20"/>
          <w:szCs w:val="20"/>
          <w:color w:val="auto"/>
        </w:rPr>
      </w:pPr>
    </w:p>
    <w:p>
      <w:pPr>
        <w:jc w:val="both"/>
        <w:ind w:firstLine="1620"/>
        <w:spacing w:after="0" w:line="261"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Acknowledgment Regarding Any Supported QFCs</w:t>
      </w:r>
      <w:r>
        <w:rPr>
          <w:rFonts w:ascii="Arial" w:cs="Arial" w:eastAsia="Arial" w:hAnsi="Arial"/>
          <w:sz w:val="17"/>
          <w:szCs w:val="17"/>
          <w:color w:val="auto"/>
        </w:rPr>
        <w:t>. To the extent that the First Lien Loan Documents provide support, through a guarantee or otherwise, for any Swap Agreement or any other agreement or instrument that is a QFC (such support, “</w:t>
      </w:r>
      <w:r>
        <w:rPr>
          <w:rFonts w:ascii="Arial" w:cs="Arial" w:eastAsia="Arial" w:hAnsi="Arial"/>
          <w:sz w:val="17"/>
          <w:szCs w:val="17"/>
          <w:u w:val="single" w:color="auto"/>
          <w:color w:val="auto"/>
        </w:rPr>
        <w:t>QFC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Support</w:t>
      </w:r>
      <w:r>
        <w:rPr>
          <w:rFonts w:ascii="Arial" w:cs="Arial" w:eastAsia="Arial" w:hAnsi="Arial"/>
          <w:sz w:val="17"/>
          <w:szCs w:val="17"/>
          <w:color w:val="auto"/>
        </w:rPr>
        <w:t xml:space="preserve"> ”,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w:t>
      </w:r>
    </w:p>
    <w:p>
      <w:pPr>
        <w:spacing w:after="0" w:line="186" w:lineRule="exact"/>
        <w:rPr>
          <w:sz w:val="20"/>
          <w:szCs w:val="20"/>
          <w:color w:val="auto"/>
        </w:rPr>
      </w:pPr>
    </w:p>
    <w:p>
      <w:pPr>
        <w:jc w:val="both"/>
        <w:ind w:firstLine="1628"/>
        <w:spacing w:after="0" w:line="277" w:lineRule="auto"/>
        <w:tabs>
          <w:tab w:leader="none" w:pos="1903" w:val="left"/>
        </w:tabs>
        <w:numPr>
          <w:ilvl w:val="0"/>
          <w:numId w:val="254"/>
        </w:numPr>
        <w:rPr>
          <w:rFonts w:ascii="Arial" w:cs="Arial" w:eastAsia="Arial" w:hAnsi="Arial"/>
          <w:sz w:val="16"/>
          <w:szCs w:val="16"/>
          <w:color w:val="010000"/>
        </w:rPr>
      </w:pPr>
      <w:r>
        <w:rPr>
          <w:rFonts w:ascii="Arial" w:cs="Arial" w:eastAsia="Arial" w:hAnsi="Arial"/>
          <w:sz w:val="16"/>
          <w:szCs w:val="16"/>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rFonts w:ascii="Arial" w:cs="Arial" w:eastAsia="Arial" w:hAnsi="Arial"/>
          <w:sz w:val="16"/>
          <w:szCs w:val="16"/>
          <w:color w:val="010000"/>
        </w:rPr>
      </w:pPr>
    </w:p>
    <w:p>
      <w:pPr>
        <w:ind w:left="1900" w:hanging="272"/>
        <w:spacing w:after="0"/>
        <w:tabs>
          <w:tab w:leader="none" w:pos="1900"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9.21</w:t>
      </w:r>
      <w:r>
        <w:rPr>
          <w:rFonts w:ascii="Arial" w:cs="Arial" w:eastAsia="Arial" w:hAnsi="Arial"/>
          <w:sz w:val="18"/>
          <w:szCs w:val="18"/>
          <w:color w:val="auto"/>
        </w:rPr>
        <w:t>, the following terms have the following meanings:</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of a party means an “affiliate” (as such term is defined under, and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1841(k))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21" w:right="339" w:bottom="1440" w:gutter="0" w:footer="0" w:header="0"/>
        </w:sectPr>
      </w:pPr>
    </w:p>
    <w:bookmarkStart w:id="204" w:name="page205"/>
    <w:bookmarkEnd w:id="204"/>
    <w:p>
      <w:pPr>
        <w:jc w:val="both"/>
        <w:ind w:firstLine="1620"/>
        <w:spacing w:after="0" w:line="25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382.1, as applicable.</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320" w:top="1421" w:right="399" w:bottom="1440" w:gutter="0" w:footer="0" w:header="0"/>
        </w:sectPr>
      </w:pPr>
    </w:p>
    <w:bookmarkStart w:id="205" w:name="page206"/>
    <w:bookmarkEnd w:id="205"/>
    <w:p>
      <w:pPr>
        <w:spacing w:after="0" w:line="235"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SOTERA HEALTH TOPCO, INC.</w:t>
      </w:r>
      <w:r>
        <w:rPr>
          <w:rFonts w:ascii="Arial" w:cs="Arial" w:eastAsia="Arial" w:hAnsi="Arial"/>
          <w:sz w:val="18"/>
          <w:szCs w:val="18"/>
          <w:color w:val="auto"/>
        </w:rPr>
        <w:t>,</w:t>
      </w:r>
    </w:p>
    <w:p>
      <w:pPr>
        <w:ind w:left="4540"/>
        <w:spacing w:after="0"/>
        <w:rPr>
          <w:sz w:val="20"/>
          <w:szCs w:val="20"/>
          <w:color w:val="auto"/>
        </w:rPr>
      </w:pPr>
      <w:r>
        <w:rPr>
          <w:rFonts w:ascii="Arial" w:cs="Arial" w:eastAsia="Arial" w:hAnsi="Arial"/>
          <w:sz w:val="18"/>
          <w:szCs w:val="18"/>
          <w:color w:val="auto"/>
        </w:rPr>
        <w:t>as Holdings</w:t>
      </w:r>
    </w:p>
    <w:p>
      <w:pPr>
        <w:spacing w:after="0" w:line="38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-8890</wp:posOffset>
            </wp:positionV>
            <wp:extent cx="228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Name:</w:t>
      </w: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SOTERA HEALTH HOLDINGS, LLC</w:t>
      </w:r>
      <w:r>
        <w:rPr>
          <w:rFonts w:ascii="Arial" w:cs="Arial" w:eastAsia="Arial" w:hAnsi="Arial"/>
          <w:sz w:val="18"/>
          <w:szCs w:val="18"/>
          <w:color w:val="auto"/>
        </w:rPr>
        <w:t>, as Borrower</w:t>
      </w: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-635</wp:posOffset>
            </wp:positionV>
            <wp:extent cx="228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Name:</w:t>
      </w: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240"/>
          </w:cols>
          <w:pgMar w:left="320" w:top="1408" w:right="339" w:bottom="1440" w:gutter="0" w:footer="0" w:header="0"/>
        </w:sectPr>
      </w:pPr>
    </w:p>
    <w:bookmarkStart w:id="206" w:name="page207"/>
    <w:bookmarkEnd w:id="206"/>
    <w:p>
      <w:pPr>
        <w:ind w:left="2780"/>
        <w:spacing w:after="0"/>
        <w:rPr>
          <w:sz w:val="20"/>
          <w:szCs w:val="20"/>
          <w:color w:val="auto"/>
        </w:rPr>
      </w:pPr>
      <w:r>
        <w:rPr>
          <w:rFonts w:ascii="Arial" w:cs="Arial" w:eastAsia="Arial" w:hAnsi="Arial"/>
          <w:sz w:val="16"/>
          <w:szCs w:val="16"/>
          <w:b w:val="1"/>
          <w:bCs w:val="1"/>
          <w:color w:val="auto"/>
        </w:rPr>
        <w:t xml:space="preserve">JEFFERIES FINANCE LLC </w:t>
      </w:r>
      <w:r>
        <w:rPr>
          <w:rFonts w:ascii="Arial" w:cs="Arial" w:eastAsia="Arial" w:hAnsi="Arial"/>
          <w:sz w:val="16"/>
          <w:szCs w:val="16"/>
          <w:color w:val="auto"/>
        </w:rPr>
        <w:t>as Administrative Agent, an Issuing Bank and a Lender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23495</wp:posOffset>
            </wp:positionV>
            <wp:extent cx="21170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[__]</w:t>
      </w:r>
      <w:r>
        <w:rPr>
          <w:rFonts w:ascii="Arial" w:cs="Arial" w:eastAsia="Arial" w:hAnsi="Arial"/>
          <w:sz w:val="18"/>
          <w:szCs w:val="18"/>
          <w:color w:val="auto"/>
        </w:rPr>
        <w:t>, as a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23495</wp:posOffset>
            </wp:positionV>
            <wp:extent cx="21170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[__]</w:t>
      </w:r>
      <w:r>
        <w:rPr>
          <w:rFonts w:ascii="Arial" w:cs="Arial" w:eastAsia="Arial" w:hAnsi="Arial"/>
          <w:sz w:val="18"/>
          <w:szCs w:val="18"/>
          <w:color w:val="auto"/>
        </w:rPr>
        <w:t>, as a Lender</w:t>
      </w: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23495</wp:posOffset>
            </wp:positionV>
            <wp:extent cx="21170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[__]</w:t>
      </w:r>
      <w:r>
        <w:rPr>
          <w:rFonts w:ascii="Arial" w:cs="Arial" w:eastAsia="Arial" w:hAnsi="Arial"/>
          <w:sz w:val="18"/>
          <w:szCs w:val="18"/>
          <w:color w:val="auto"/>
        </w:rPr>
        <w:t>, as an Issuing Bank and a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23495</wp:posOffset>
            </wp:positionV>
            <wp:extent cx="21170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40"/>
          </w:cols>
          <w:pgMar w:left="1440" w:top="1404" w:right="1419" w:bottom="1440" w:gutter="0" w:footer="0" w:header="0"/>
        </w:sectPr>
      </w:pPr>
    </w:p>
    <w:bookmarkStart w:id="207" w:name="page208"/>
    <w:bookmarkEnd w:id="207"/>
    <w:p>
      <w:pPr>
        <w:ind w:left="10180"/>
        <w:spacing w:after="0"/>
        <w:rPr>
          <w:sz w:val="20"/>
          <w:szCs w:val="20"/>
          <w:color w:val="auto"/>
        </w:rPr>
      </w:pPr>
      <w:r>
        <w:rPr>
          <w:rFonts w:ascii="Arial" w:cs="Arial" w:eastAsia="Arial" w:hAnsi="Arial"/>
          <w:sz w:val="20"/>
          <w:szCs w:val="20"/>
          <w:b w:val="1"/>
          <w:bCs w:val="1"/>
          <w:color w:val="auto"/>
        </w:rPr>
        <w:t>EXHIBIT 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Borrowing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04" w:lineRule="auto"/>
        <w:rPr>
          <w:sz w:val="20"/>
          <w:szCs w:val="20"/>
          <w:color w:val="auto"/>
        </w:rPr>
      </w:pPr>
      <w:r>
        <w:rPr>
          <w:rFonts w:ascii="Arial" w:cs="Arial" w:eastAsia="Arial" w:hAnsi="Arial"/>
          <w:sz w:val="22"/>
          <w:szCs w:val="22"/>
          <w:color w:val="auto"/>
        </w:rPr>
        <w:t>as First Lien Administrative Agent</w:t>
      </w:r>
    </w:p>
    <w:p>
      <w:pPr>
        <w:spacing w:after="0" w:line="205" w:lineRule="auto"/>
        <w:rPr>
          <w:sz w:val="20"/>
          <w:szCs w:val="20"/>
          <w:color w:val="auto"/>
        </w:rPr>
      </w:pPr>
      <w:r>
        <w:rPr>
          <w:rFonts w:ascii="Arial" w:cs="Arial" w:eastAsia="Arial" w:hAnsi="Arial"/>
          <w:sz w:val="22"/>
          <w:szCs w:val="22"/>
          <w:color w:val="auto"/>
        </w:rPr>
        <w:t>500 Stanton Christiana Rd.</w:t>
      </w:r>
    </w:p>
    <w:p>
      <w:pPr>
        <w:spacing w:after="0" w:line="205" w:lineRule="auto"/>
        <w:rPr>
          <w:sz w:val="20"/>
          <w:szCs w:val="20"/>
          <w:color w:val="auto"/>
        </w:rPr>
      </w:pPr>
      <w:r>
        <w:rPr>
          <w:rFonts w:ascii="Arial" w:cs="Arial" w:eastAsia="Arial" w:hAnsi="Arial"/>
          <w:sz w:val="22"/>
          <w:szCs w:val="22"/>
          <w:color w:val="auto"/>
        </w:rPr>
        <w:t>NCC5 / 1st Floor</w:t>
      </w:r>
    </w:p>
    <w:p>
      <w:pPr>
        <w:spacing w:after="0" w:line="205" w:lineRule="auto"/>
        <w:rPr>
          <w:sz w:val="20"/>
          <w:szCs w:val="20"/>
          <w:color w:val="auto"/>
        </w:rPr>
      </w:pPr>
      <w:r>
        <w:rPr>
          <w:rFonts w:ascii="Arial" w:cs="Arial" w:eastAsia="Arial" w:hAnsi="Arial"/>
          <w:sz w:val="22"/>
          <w:szCs w:val="22"/>
          <w:color w:val="auto"/>
        </w:rPr>
        <w:t>Newark, DE 19713</w:t>
      </w:r>
    </w:p>
    <w:p>
      <w:pPr>
        <w:spacing w:after="0" w:line="205" w:lineRule="auto"/>
        <w:rPr>
          <w:sz w:val="20"/>
          <w:szCs w:val="20"/>
          <w:color w:val="auto"/>
        </w:rPr>
      </w:pPr>
      <w:r>
        <w:rPr>
          <w:rFonts w:ascii="Arial" w:cs="Arial" w:eastAsia="Arial" w:hAnsi="Arial"/>
          <w:sz w:val="22"/>
          <w:szCs w:val="22"/>
          <w:color w:val="auto"/>
        </w:rPr>
        <w:t>Attention: Loan &amp; Agency Services Group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mitchell.soobryan@chase.com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 20[●]</w:t>
      </w:r>
      <w:r>
        <w:rPr>
          <w:rFonts w:ascii="Arial" w:cs="Arial" w:eastAsia="Arial" w:hAnsi="Arial"/>
          <w:sz w:val="28"/>
          <w:szCs w:val="28"/>
          <w:color w:val="auto"/>
          <w:vertAlign w:val="superscript"/>
        </w:rPr>
        <w:t>1</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Reference is hereby made to that certain First Lien Credit Agreement dated as of December 13, 2019 (as amended, restated,</w:t>
      </w:r>
    </w:p>
    <w:p>
      <w:pPr>
        <w:jc w:val="both"/>
        <w:spacing w:after="0" w:line="215" w:lineRule="auto"/>
        <w:rPr>
          <w:sz w:val="20"/>
          <w:szCs w:val="20"/>
          <w:color w:val="auto"/>
        </w:rPr>
      </w:pPr>
      <w:r>
        <w:rPr>
          <w:rFonts w:ascii="Arial" w:cs="Arial" w:eastAsia="Arial" w:hAnsi="Arial"/>
          <w:sz w:val="19"/>
          <w:szCs w:val="19"/>
          <w:color w:val="auto"/>
        </w:rPr>
        <w:t>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and</w:t>
      </w:r>
    </w:p>
    <w:p>
      <w:pPr>
        <w:jc w:val="both"/>
        <w:spacing w:after="0" w:line="266" w:lineRule="auto"/>
        <w:rPr>
          <w:sz w:val="20"/>
          <w:szCs w:val="20"/>
          <w:color w:val="auto"/>
        </w:rPr>
      </w:pPr>
      <w:r>
        <w:rPr>
          <w:rFonts w:ascii="Arial" w:cs="Arial" w:eastAsia="Arial" w:hAnsi="Arial"/>
          <w:sz w:val="18"/>
          <w:szCs w:val="18"/>
          <w:color w:val="auto"/>
        </w:rPr>
        <w:t>ISSUING BANKS party thereto and 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as First Lien Administrative Agent (the “</w:t>
      </w:r>
      <w:r>
        <w:rPr>
          <w:rFonts w:ascii="Arial" w:cs="Arial" w:eastAsia="Arial" w:hAnsi="Arial"/>
          <w:sz w:val="18"/>
          <w:szCs w:val="18"/>
          <w:u w:val="single" w:color="auto"/>
          <w:color w:val="auto"/>
        </w:rPr>
        <w:t>First Lien</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Terms defined in the Credit Agreement are used herein with the same meanings unless otherwise defined herein.</w:t>
      </w:r>
    </w:p>
    <w:p>
      <w:pPr>
        <w:spacing w:after="0" w:line="13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undersigned hereby gives you notice pursuant to Section 2.03 of the Credit Agreement that it requests the Borrowings under the Credit Agreement to be made on [●] [●], 20[●], and in that connection sets forth below the terms on which the Borrowings are requested to be made:</w:t>
      </w:r>
    </w:p>
    <w:p>
      <w:pPr>
        <w:spacing w:after="0" w:line="157" w:lineRule="exact"/>
        <w:rPr>
          <w:sz w:val="20"/>
          <w:szCs w:val="20"/>
          <w:color w:val="auto"/>
        </w:rPr>
      </w:pPr>
    </w:p>
    <w:p>
      <w:pPr>
        <w:ind w:left="480" w:hanging="472"/>
        <w:spacing w:after="0"/>
        <w:tabs>
          <w:tab w:leader="none" w:pos="48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Borrower:  [●]</w:t>
      </w:r>
    </w:p>
    <w:p>
      <w:pPr>
        <w:spacing w:after="0" w:line="188" w:lineRule="exact"/>
        <w:rPr>
          <w:rFonts w:ascii="Arial" w:cs="Arial" w:eastAsia="Arial" w:hAnsi="Arial"/>
          <w:sz w:val="20"/>
          <w:szCs w:val="20"/>
          <w:color w:val="auto"/>
        </w:rPr>
      </w:pPr>
    </w:p>
    <w:p>
      <w:pPr>
        <w:ind w:left="460" w:hanging="452"/>
        <w:spacing w:after="0"/>
        <w:tabs>
          <w:tab w:leader="none" w:pos="4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Date of Borrowing (which shall be a Business Day):  [●]</w:t>
      </w:r>
    </w:p>
    <w:p>
      <w:pPr>
        <w:spacing w:after="0" w:line="175" w:lineRule="exact"/>
        <w:rPr>
          <w:rFonts w:ascii="Arial" w:cs="Arial" w:eastAsia="Arial" w:hAnsi="Arial"/>
          <w:sz w:val="20"/>
          <w:szCs w:val="20"/>
          <w:color w:val="auto"/>
        </w:rPr>
      </w:pPr>
    </w:p>
    <w:p>
      <w:pPr>
        <w:ind w:left="460" w:hanging="452"/>
        <w:spacing w:after="0"/>
        <w:tabs>
          <w:tab w:leader="none" w:pos="4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Aggregate Amount of Borrowing:</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w:t>
      </w:r>
    </w:p>
    <w:p>
      <w:pPr>
        <w:spacing w:after="0" w:line="130" w:lineRule="exact"/>
        <w:rPr>
          <w:rFonts w:ascii="Arial" w:cs="Arial" w:eastAsia="Arial" w:hAnsi="Arial"/>
          <w:sz w:val="20"/>
          <w:szCs w:val="20"/>
          <w:color w:val="auto"/>
        </w:rPr>
      </w:pPr>
    </w:p>
    <w:p>
      <w:pPr>
        <w:ind w:left="480" w:hanging="472"/>
        <w:spacing w:after="0"/>
        <w:tabs>
          <w:tab w:leader="none" w:pos="48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Type of Borrowing:</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2" w:lineRule="exact"/>
        <w:rPr>
          <w:sz w:val="20"/>
          <w:szCs w:val="20"/>
          <w:color w:val="auto"/>
        </w:rPr>
      </w:pPr>
    </w:p>
    <w:p>
      <w:pPr>
        <w:jc w:val="right"/>
        <w:ind w:left="340" w:hanging="332"/>
        <w:spacing w:after="0" w:line="221" w:lineRule="auto"/>
        <w:tabs>
          <w:tab w:leader="none" w:pos="193" w:val="left"/>
        </w:tabs>
        <w:numPr>
          <w:ilvl w:val="0"/>
          <w:numId w:val="256"/>
        </w:numPr>
        <w:rPr>
          <w:rFonts w:ascii="Arial" w:cs="Arial" w:eastAsia="Arial" w:hAnsi="Arial"/>
          <w:sz w:val="21"/>
          <w:szCs w:val="21"/>
          <w:color w:val="auto"/>
          <w:vertAlign w:val="superscript"/>
        </w:rPr>
      </w:pPr>
      <w:r>
        <w:rPr>
          <w:rFonts w:ascii="Arial" w:cs="Arial" w:eastAsia="Arial" w:hAnsi="Arial"/>
          <w:sz w:val="16"/>
          <w:szCs w:val="16"/>
          <w:color w:val="auto"/>
        </w:rPr>
        <w:t xml:space="preserve">The First Lien Administrative Agent must be notified by telephone (with such telephonic notification to be promptly confirmed in writing in substantially in the form of this Exhibit Q), which must be received by the First Lien Administrative Agent (by hand delivery, fax or other electronic transmission (including “.pdf” or “.tif”)) not later than (i) in the case of a </w:t>
      </w:r>
      <w:r>
        <w:rPr>
          <w:rFonts w:ascii="Arial" w:cs="Arial" w:eastAsia="Arial" w:hAnsi="Arial"/>
          <w:sz w:val="16"/>
          <w:szCs w:val="16"/>
          <w:color w:val="FF0000"/>
          <w:strike w:val="1"/>
        </w:rPr>
        <w:t>Eurodollar Borrowing or</w:t>
      </w:r>
      <w:r>
        <w:rPr>
          <w:rFonts w:ascii="Arial" w:cs="Arial" w:eastAsia="Arial" w:hAnsi="Arial"/>
          <w:sz w:val="16"/>
          <w:szCs w:val="16"/>
          <w:color w:val="auto"/>
        </w:rPr>
        <w:t xml:space="preserve"> Term Benchmark Borrowing in Dollars or Canadian Dollars, 2:00 p.m. New York City time, three (3) Business Days prior to the requested day of such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 Benchmark</w:t>
      </w:r>
      <w:r>
        <w:rPr>
          <w:rFonts w:ascii="Arial" w:cs="Arial" w:eastAsia="Arial" w:hAnsi="Arial"/>
          <w:sz w:val="16"/>
          <w:szCs w:val="16"/>
          <w:color w:val="auto"/>
        </w:rPr>
        <w:t xml:space="preserve"> Borrowing </w:t>
      </w:r>
      <w:r>
        <w:rPr>
          <w:rFonts w:ascii="Arial" w:cs="Arial" w:eastAsia="Arial" w:hAnsi="Arial"/>
          <w:sz w:val="16"/>
          <w:szCs w:val="16"/>
          <w:color w:val="FF0000"/>
        </w:rPr>
        <w:t>(or in the case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6086475</wp:posOffset>
            </wp:positionH>
            <wp:positionV relativeFrom="paragraph">
              <wp:posOffset>-59690</wp:posOffset>
            </wp:positionV>
            <wp:extent cx="1050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br w:type="column"/>
      </w:r>
    </w:p>
    <w:p>
      <w:pPr>
        <w:jc w:val="both"/>
        <w:ind w:left="40"/>
        <w:spacing w:after="0" w:line="234" w:lineRule="auto"/>
        <w:rPr>
          <w:sz w:val="20"/>
          <w:szCs w:val="20"/>
          <w:color w:val="auto"/>
        </w:rPr>
      </w:pPr>
      <w:r>
        <w:rPr>
          <w:rFonts w:ascii="Arial" w:cs="Arial" w:eastAsia="Arial" w:hAnsi="Arial"/>
          <w:sz w:val="16"/>
          <w:szCs w:val="16"/>
          <w:color w:val="FF0000"/>
          <w:strike w:val="1"/>
        </w:rPr>
        <w:t>Eurodollar Borrowing to be made on the Effective Date, one (1) Business Day)</w:t>
      </w:r>
      <w:r>
        <w:rPr>
          <w:rFonts w:ascii="Arial" w:cs="Arial" w:eastAsia="Arial" w:hAnsi="Arial"/>
          <w:sz w:val="16"/>
          <w:szCs w:val="16"/>
          <w:color w:val="000000"/>
        </w:rPr>
        <w:t>, (ii) in the case of an ABR Borrowing, 10:00 a.m. New York City time,</w:t>
      </w:r>
      <w:r>
        <w:rPr>
          <w:rFonts w:ascii="Arial" w:cs="Arial" w:eastAsia="Arial" w:hAnsi="Arial"/>
          <w:sz w:val="16"/>
          <w:szCs w:val="16"/>
          <w:color w:val="FF0000"/>
        </w:rPr>
        <w:t xml:space="preserve"> </w:t>
      </w:r>
      <w:r>
        <w:rPr>
          <w:rFonts w:ascii="Arial" w:cs="Arial" w:eastAsia="Arial" w:hAnsi="Arial"/>
          <w:sz w:val="16"/>
          <w:szCs w:val="16"/>
          <w:color w:val="000000"/>
        </w:rPr>
        <w:t>on the requested date of any such ABR Borrowing ABR (other than Swingline Loans), (iii) in the case of a SONIA Borrowing, not later than 2.00 p.m. London, England time, five (5) Business Days before the date of such SONIA Borrowing and (iv) in the case of an RFR Borrowing (other than a</w:t>
      </w:r>
    </w:p>
    <w:p>
      <w:pPr>
        <w:spacing w:after="0" w:line="2" w:lineRule="exact"/>
        <w:rPr>
          <w:sz w:val="20"/>
          <w:szCs w:val="20"/>
          <w:color w:val="auto"/>
        </w:rPr>
      </w:pPr>
    </w:p>
    <w:p>
      <w:pPr>
        <w:jc w:val="both"/>
        <w:ind w:left="40"/>
        <w:spacing w:after="0" w:line="218" w:lineRule="auto"/>
        <w:rPr>
          <w:sz w:val="20"/>
          <w:szCs w:val="20"/>
          <w:color w:val="auto"/>
        </w:rPr>
      </w:pPr>
      <w:r>
        <w:rPr>
          <w:rFonts w:ascii="Arial" w:cs="Arial" w:eastAsia="Arial" w:hAnsi="Arial"/>
          <w:sz w:val="18"/>
          <w:szCs w:val="18"/>
          <w:color w:val="auto"/>
        </w:rPr>
        <w:t>SONIA Borrowing), not later than 11:00 a.m. New York City time, five (5) Business Days before the date of such RFR Borrowing (or, in each case, such later time as is acceptable to the First Lien Administrative Agent), and (iv) in the case of Term Benchmark Borrowing denominated in Euro, not later than 12:00 p.m., New York City time, three (3) Business Days before the date of the proposed Borrowing.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of the Credit Agreement.</w:t>
      </w:r>
    </w:p>
    <w:p>
      <w:pPr>
        <w:spacing w:after="0" w:line="77" w:lineRule="exact"/>
        <w:rPr>
          <w:sz w:val="20"/>
          <w:szCs w:val="20"/>
          <w:color w:val="auto"/>
        </w:rPr>
      </w:pPr>
    </w:p>
    <w:p>
      <w:pPr>
        <w:jc w:val="both"/>
        <w:ind w:left="40" w:firstLine="66"/>
        <w:spacing w:after="0" w:line="248" w:lineRule="auto"/>
        <w:rPr>
          <w:sz w:val="20"/>
          <w:szCs w:val="20"/>
          <w:color w:val="auto"/>
        </w:rPr>
      </w:pPr>
      <w:r>
        <w:rPr>
          <w:rFonts w:ascii="Arial" w:cs="Arial" w:eastAsia="Arial" w:hAnsi="Arial"/>
          <w:sz w:val="16"/>
          <w:szCs w:val="16"/>
          <w:color w:val="auto"/>
        </w:rPr>
        <w:t xml:space="preserve">State whether such Borrowing is to be </w:t>
      </w:r>
      <w:r>
        <w:rPr>
          <w:rFonts w:ascii="Arial" w:cs="Arial" w:eastAsia="Arial" w:hAnsi="Arial"/>
          <w:sz w:val="16"/>
          <w:szCs w:val="16"/>
          <w:color w:val="FF0000"/>
          <w:strike w:val="1"/>
        </w:rPr>
        <w:t>a Eurodollar Borrowing,</w:t>
      </w:r>
      <w:r>
        <w:rPr>
          <w:rFonts w:ascii="Arial" w:cs="Arial" w:eastAsia="Arial" w:hAnsi="Arial"/>
          <w:sz w:val="16"/>
          <w:szCs w:val="16"/>
          <w:color w:val="auto"/>
        </w:rPr>
        <w:t xml:space="preserve"> an ABR Borrowing, SONIA Borrowing, Term Benchmark Borrowing or an RFR Borrowing (provided that Term Borrowings and Term Loans shall only be available as ABR Loans </w:t>
      </w:r>
      <w:r>
        <w:rPr>
          <w:rFonts w:ascii="Arial" w:cs="Arial" w:eastAsia="Arial" w:hAnsi="Arial"/>
          <w:sz w:val="16"/>
          <w:szCs w:val="16"/>
          <w:color w:val="FF0000"/>
          <w:strike w:val="1"/>
        </w:rPr>
        <w:t>and Eurodollars</w:t>
      </w:r>
      <w:r>
        <w:rPr>
          <w:rFonts w:ascii="Arial" w:cs="Arial" w:eastAsia="Arial" w:hAnsi="Arial"/>
          <w:sz w:val="16"/>
          <w:szCs w:val="16"/>
          <w:u w:val="single" w:color="auto"/>
          <w:color w:val="0000FF"/>
        </w:rPr>
        <w:t>Term Benchmark Loans and RFR</w:t>
      </w:r>
    </w:p>
    <w:p>
      <w:pPr>
        <w:ind w:left="40"/>
        <w:spacing w:after="0"/>
        <w:rPr>
          <w:sz w:val="20"/>
          <w:szCs w:val="20"/>
          <w:color w:val="auto"/>
        </w:rPr>
      </w:pPr>
      <w:r>
        <w:rPr>
          <w:rFonts w:ascii="Arial" w:cs="Arial" w:eastAsia="Arial" w:hAnsi="Arial"/>
          <w:sz w:val="18"/>
          <w:szCs w:val="18"/>
          <w:color w:val="auto"/>
        </w:rPr>
        <w:t>Loans). If no Type of Borrowing is specified, then the requested Borrowing shall be an ABR Borrowing.</w:t>
      </w:r>
    </w:p>
    <w:p>
      <w:pPr>
        <w:spacing w:after="0" w:line="200" w:lineRule="exact"/>
        <w:rPr>
          <w:sz w:val="20"/>
          <w:szCs w:val="20"/>
          <w:color w:val="auto"/>
        </w:rPr>
      </w:pPr>
    </w:p>
    <w:p>
      <w:pPr>
        <w:sectPr>
          <w:pgSz w:w="11900" w:h="16838" w:orient="portrait"/>
          <w:cols w:equalWidth="0" w:num="2">
            <w:col w:w="60" w:space="240"/>
            <w:col w:w="10940"/>
          </w:cols>
          <w:pgMar w:left="320" w:top="13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Q-1</w:t>
      </w:r>
    </w:p>
    <w:p>
      <w:pPr>
        <w:sectPr>
          <w:pgSz w:w="11900" w:h="16838" w:orient="portrait"/>
          <w:cols w:equalWidth="0" w:num="1">
            <w:col w:w="11240"/>
          </w:cols>
          <w:pgMar w:left="320" w:top="1399" w:right="339" w:bottom="1440" w:gutter="0" w:footer="0" w:header="0"/>
          <w:type w:val="continuous"/>
        </w:sectPr>
      </w:pPr>
    </w:p>
    <w:bookmarkStart w:id="208" w:name="page209"/>
    <w:bookmarkEnd w:id="208"/>
    <w:p>
      <w:pPr>
        <w:spacing w:after="0"/>
        <w:tabs>
          <w:tab w:leader="none" w:pos="440" w:val="left"/>
          <w:tab w:leader="none" w:pos="2300" w:val="left"/>
        </w:tabs>
        <w:rPr>
          <w:sz w:val="20"/>
          <w:szCs w:val="20"/>
          <w:color w:val="auto"/>
        </w:rPr>
      </w:pPr>
      <w:r>
        <w:rPr>
          <w:rFonts w:ascii="Arial" w:cs="Arial" w:eastAsia="Arial" w:hAnsi="Arial"/>
          <w:sz w:val="20"/>
          <w:szCs w:val="20"/>
          <w:color w:val="auto"/>
        </w:rPr>
        <w:t>(E)</w:t>
        <w:tab/>
        <w:t>Class of Borrowing:</w:t>
      </w:r>
      <w:r>
        <w:rPr>
          <w:rFonts w:ascii="Arial" w:cs="Arial" w:eastAsia="Arial" w:hAnsi="Arial"/>
          <w:sz w:val="25"/>
          <w:szCs w:val="25"/>
          <w:color w:val="auto"/>
          <w:vertAlign w:val="superscript"/>
        </w:rPr>
        <w:t>4</w:t>
      </w:r>
      <w:r>
        <w:rPr>
          <w:rFonts w:ascii="Arial" w:cs="Arial" w:eastAsia="Arial" w:hAnsi="Arial"/>
          <w:sz w:val="20"/>
          <w:szCs w:val="20"/>
          <w:color w:val="auto"/>
        </w:rPr>
        <w:tab/>
        <w:t>[●]</w:t>
      </w:r>
    </w:p>
    <w:p>
      <w:pPr>
        <w:spacing w:after="0" w:line="49" w:lineRule="exact"/>
        <w:rPr>
          <w:sz w:val="20"/>
          <w:szCs w:val="20"/>
          <w:color w:val="auto"/>
        </w:rPr>
      </w:pPr>
    </w:p>
    <w:p>
      <w:pPr>
        <w:spacing w:after="0"/>
        <w:tabs>
          <w:tab w:leader="none" w:pos="420" w:val="left"/>
          <w:tab w:leader="none" w:pos="2800" w:val="left"/>
        </w:tabs>
        <w:rPr>
          <w:sz w:val="20"/>
          <w:szCs w:val="20"/>
          <w:color w:val="auto"/>
        </w:rPr>
      </w:pPr>
      <w:r>
        <w:rPr>
          <w:rFonts w:ascii="Arial" w:cs="Arial" w:eastAsia="Arial" w:hAnsi="Arial"/>
          <w:sz w:val="20"/>
          <w:szCs w:val="20"/>
          <w:color w:val="auto"/>
        </w:rPr>
        <w:t>(F)</w:t>
        <w:tab/>
        <w:t>Interest Period</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(in the case</w:t>
        <w:tab/>
        <w:t>[●]</w:t>
      </w:r>
    </w:p>
    <w:p>
      <w:pPr>
        <w:ind w:left="660"/>
        <w:spacing w:after="0"/>
        <w:rPr>
          <w:sz w:val="20"/>
          <w:szCs w:val="20"/>
          <w:color w:val="auto"/>
        </w:rPr>
      </w:pPr>
      <w:r>
        <w:rPr>
          <w:rFonts w:ascii="Arial" w:cs="Arial" w:eastAsia="Arial" w:hAnsi="Arial"/>
          <w:sz w:val="20"/>
          <w:szCs w:val="20"/>
          <w:color w:val="auto"/>
        </w:rPr>
        <w:t xml:space="preserve">of a </w:t>
      </w:r>
      <w:r>
        <w:rPr>
          <w:rFonts w:ascii="Arial" w:cs="Arial" w:eastAsia="Arial" w:hAnsi="Arial"/>
          <w:sz w:val="20"/>
          <w:szCs w:val="20"/>
          <w:color w:val="FF0000"/>
          <w:strike w:val="1"/>
        </w:rPr>
        <w:t>Eurodollar Borrowing or</w:t>
      </w:r>
      <w:r>
        <w:rPr>
          <w:rFonts w:ascii="Arial" w:cs="Arial" w:eastAsia="Arial" w:hAnsi="Arial"/>
          <w:sz w:val="20"/>
          <w:szCs w:val="20"/>
          <w:color w:val="auto"/>
        </w:rPr>
        <w:t xml:space="preserve"> Term Benchmark Borrowing):</w:t>
      </w:r>
    </w:p>
    <w:p>
      <w:pPr>
        <w:spacing w:after="0" w:line="155" w:lineRule="exact"/>
        <w:rPr>
          <w:sz w:val="20"/>
          <w:szCs w:val="20"/>
          <w:color w:val="auto"/>
        </w:rPr>
      </w:pPr>
    </w:p>
    <w:p>
      <w:pPr>
        <w:ind w:left="480" w:hanging="472"/>
        <w:spacing w:after="0"/>
        <w:tabs>
          <w:tab w:leader="none" w:pos="48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Location and Number of the Borrower’s</w:t>
      </w:r>
    </w:p>
    <w:p>
      <w:pPr>
        <w:ind w:left="660"/>
        <w:spacing w:after="0"/>
        <w:tabs>
          <w:tab w:leader="none" w:pos="4600" w:val="left"/>
        </w:tabs>
        <w:rPr>
          <w:sz w:val="20"/>
          <w:szCs w:val="20"/>
          <w:color w:val="auto"/>
        </w:rPr>
      </w:pPr>
      <w:r>
        <w:rPr>
          <w:rFonts w:ascii="Arial" w:cs="Arial" w:eastAsia="Arial" w:hAnsi="Arial"/>
          <w:sz w:val="20"/>
          <w:szCs w:val="20"/>
          <w:color w:val="auto"/>
        </w:rPr>
        <w:t>Account(s) to which funds are to be disbursed</w:t>
      </w:r>
      <w:r>
        <w:rPr>
          <w:rFonts w:ascii="Arial" w:cs="Arial" w:eastAsia="Arial" w:hAnsi="Arial"/>
          <w:sz w:val="25"/>
          <w:szCs w:val="25"/>
          <w:color w:val="auto"/>
          <w:vertAlign w:val="superscript"/>
        </w:rPr>
        <w:t>6</w:t>
      </w:r>
      <w:r>
        <w:rPr>
          <w:rFonts w:ascii="Arial" w:cs="Arial" w:eastAsia="Arial" w:hAnsi="Arial"/>
          <w:sz w:val="20"/>
          <w:szCs w:val="20"/>
          <w:color w:val="auto"/>
        </w:rPr>
        <w:t>:</w:t>
        <w:tab/>
        <w:t>[●]</w:t>
      </w:r>
    </w:p>
    <w:p>
      <w:pPr>
        <w:spacing w:after="0" w:line="107" w:lineRule="exact"/>
        <w:rPr>
          <w:sz w:val="20"/>
          <w:szCs w:val="20"/>
          <w:color w:val="auto"/>
        </w:rPr>
      </w:pPr>
    </w:p>
    <w:p>
      <w:pPr>
        <w:ind w:left="480" w:hanging="472"/>
        <w:spacing w:after="0"/>
        <w:tabs>
          <w:tab w:leader="none" w:pos="48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Currency of Borrowing:</w:t>
      </w:r>
      <w:r>
        <w:rPr>
          <w:rFonts w:ascii="Arial" w:cs="Arial" w:eastAsia="Arial" w:hAnsi="Arial"/>
          <w:sz w:val="25"/>
          <w:szCs w:val="25"/>
          <w:color w:val="auto"/>
          <w:vertAlign w:val="superscript"/>
        </w:rPr>
        <w:t>7</w:t>
      </w:r>
      <w:r>
        <w:rPr>
          <w:rFonts w:ascii="Arial" w:cs="Arial" w:eastAsia="Arial" w:hAnsi="Arial"/>
          <w:sz w:val="20"/>
          <w:szCs w:val="20"/>
          <w:color w:val="auto"/>
        </w:rPr>
        <w:t xml:space="preserve">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Borrowing:</w:t>
      </w:r>
    </w:p>
    <w:p>
      <w:pPr>
        <w:spacing w:after="0" w:line="212" w:lineRule="exact"/>
        <w:rPr>
          <w:sz w:val="20"/>
          <w:szCs w:val="20"/>
          <w:color w:val="auto"/>
        </w:rPr>
      </w:pPr>
    </w:p>
    <w:p>
      <w:pPr>
        <w:jc w:val="both"/>
        <w:ind w:left="1300" w:firstLine="652"/>
        <w:spacing w:after="0" w:line="225" w:lineRule="auto"/>
        <w:tabs>
          <w:tab w:leader="none" w:pos="2479"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Loan Parties set forth in the Credit Agreement and the other Loan Documents are true and correct in all material respects on and as of the date of the Borrowing with the same effect as though such representations and warranties had been made on and as of the date of such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representation and warranty specifically refers to an earlier date, it is true and correct in all material respects as of such earlier date;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any representation and warranty is qualified as to “materiality”, “Material Adverse Effect” or similar language, it is true and correct in all respects on and as of the date of such Borrowing or on such earlier date, as the case may be.</w:t>
      </w:r>
    </w:p>
    <w:p>
      <w:pPr>
        <w:spacing w:after="0" w:line="159" w:lineRule="exact"/>
        <w:rPr>
          <w:rFonts w:ascii="Arial" w:cs="Arial" w:eastAsia="Arial" w:hAnsi="Arial"/>
          <w:sz w:val="19"/>
          <w:szCs w:val="19"/>
          <w:color w:val="auto"/>
        </w:rPr>
      </w:pPr>
    </w:p>
    <w:p>
      <w:pPr>
        <w:ind w:left="2420" w:hanging="468"/>
        <w:spacing w:after="0"/>
        <w:tabs>
          <w:tab w:leader="none" w:pos="242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the Borrowing, no Default or Event of Default exists]</w:t>
      </w:r>
      <w:r>
        <w:rPr>
          <w:rFonts w:ascii="Arial" w:cs="Arial" w:eastAsia="Arial" w:hAnsi="Arial"/>
          <w:sz w:val="24"/>
          <w:szCs w:val="24"/>
          <w:color w:val="auto"/>
          <w:vertAlign w:val="superscript"/>
        </w:rPr>
        <w:t>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consideration for permitting the Borrower to request Loans as </w:t>
      </w:r>
      <w:r>
        <w:rPr>
          <w:rFonts w:ascii="Arial" w:cs="Arial" w:eastAsia="Arial" w:hAnsi="Arial"/>
          <w:sz w:val="18"/>
          <w:szCs w:val="18"/>
          <w:color w:val="FF0000"/>
          <w:strike w:val="1"/>
        </w:rPr>
        <w:t>Eurodollar Loans or</w:t>
      </w:r>
      <w:r>
        <w:rPr>
          <w:rFonts w:ascii="Arial" w:cs="Arial" w:eastAsia="Arial" w:hAnsi="Arial"/>
          <w:sz w:val="18"/>
          <w:szCs w:val="18"/>
          <w:color w:val="auto"/>
        </w:rPr>
        <w:t xml:space="preserve"> Term Benchmark Loans</w:t>
      </w:r>
      <w:r>
        <w:rPr>
          <w:rFonts w:ascii="Arial" w:cs="Arial" w:eastAsia="Arial" w:hAnsi="Arial"/>
          <w:sz w:val="18"/>
          <w:szCs w:val="18"/>
          <w:color w:val="FF0000"/>
          <w:strike w:val="1"/>
        </w:rPr>
        <w:t>, as applicable,</w:t>
      </w:r>
      <w:r>
        <w:rPr>
          <w:rFonts w:ascii="Arial" w:cs="Arial" w:eastAsia="Arial" w:hAnsi="Arial"/>
          <w:sz w:val="18"/>
          <w:szCs w:val="18"/>
          <w:color w:val="auto"/>
        </w:rPr>
        <w:t xml:space="preserve"> pursuant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Credit Agreement prior to the effectiveness thereof, the Borrower hereby agrees that, in the event the Borrower fails to borrow such </w:t>
      </w:r>
      <w:r>
        <w:rPr>
          <w:rFonts w:ascii="Arial" w:cs="Arial" w:eastAsia="Arial" w:hAnsi="Arial"/>
          <w:sz w:val="18"/>
          <w:szCs w:val="18"/>
          <w:color w:val="FF0000"/>
          <w:strike w:val="1"/>
        </w:rPr>
        <w:t>Eurodollar Loans or</w:t>
      </w:r>
      <w:r>
        <w:rPr>
          <w:rFonts w:ascii="Arial" w:cs="Arial" w:eastAsia="Arial" w:hAnsi="Arial"/>
          <w:sz w:val="18"/>
          <w:szCs w:val="18"/>
          <w:color w:val="FF0000"/>
        </w:rPr>
        <w:t xml:space="preserve"> </w:t>
      </w:r>
      <w:r>
        <w:rPr>
          <w:rFonts w:ascii="Arial" w:cs="Arial" w:eastAsia="Arial" w:hAnsi="Arial"/>
          <w:sz w:val="18"/>
          <w:szCs w:val="18"/>
          <w:color w:val="000000"/>
        </w:rPr>
        <w:t>Term Benchmark Loans</w:t>
      </w:r>
      <w:r>
        <w:rPr>
          <w:rFonts w:ascii="Arial" w:cs="Arial" w:eastAsia="Arial" w:hAnsi="Arial"/>
          <w:sz w:val="18"/>
          <w:szCs w:val="18"/>
          <w:color w:val="FF0000"/>
          <w:strike w:val="1"/>
        </w:rPr>
        <w:t>, as applicable,</w:t>
      </w:r>
      <w:r>
        <w:rPr>
          <w:rFonts w:ascii="Arial" w:cs="Arial" w:eastAsia="Arial" w:hAnsi="Arial"/>
          <w:sz w:val="18"/>
          <w:szCs w:val="18"/>
          <w:color w:val="FF0000"/>
        </w:rPr>
        <w:t xml:space="preserve"> </w:t>
      </w:r>
      <w:r>
        <w:rPr>
          <w:rFonts w:ascii="Arial" w:cs="Arial" w:eastAsia="Arial" w:hAnsi="Arial"/>
          <w:sz w:val="18"/>
          <w:szCs w:val="18"/>
          <w:color w:val="000000"/>
        </w:rPr>
        <w:t>on the requested date of Borrowing above for any reason (other than the failure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by a Lender to make a Loan, but including the failure of the Credit Agreement to become effective), the Borrower shall reimburse each applicable Lender in respect of its </w:t>
      </w:r>
      <w:r>
        <w:rPr>
          <w:rFonts w:ascii="Arial" w:cs="Arial" w:eastAsia="Arial" w:hAnsi="Arial"/>
          <w:sz w:val="18"/>
          <w:szCs w:val="18"/>
          <w:color w:val="FF0000"/>
          <w:strike w:val="1"/>
        </w:rPr>
        <w:t>Eurodollar Loans or</w:t>
      </w:r>
      <w:r>
        <w:rPr>
          <w:rFonts w:ascii="Arial" w:cs="Arial" w:eastAsia="Arial" w:hAnsi="Arial"/>
          <w:sz w:val="18"/>
          <w:szCs w:val="18"/>
          <w:color w:val="auto"/>
        </w:rPr>
        <w:t xml:space="preserve"> Term Benchmark Loans</w:t>
      </w:r>
      <w:r>
        <w:rPr>
          <w:rFonts w:ascii="Arial" w:cs="Arial" w:eastAsia="Arial" w:hAnsi="Arial"/>
          <w:sz w:val="18"/>
          <w:szCs w:val="18"/>
          <w:color w:val="FF0000"/>
          <w:strike w:val="1"/>
        </w:rPr>
        <w:t>, as applicable,</w:t>
      </w:r>
      <w:r>
        <w:rPr>
          <w:rFonts w:ascii="Arial" w:cs="Arial" w:eastAsia="Arial" w:hAnsi="Arial"/>
          <w:sz w:val="18"/>
          <w:szCs w:val="18"/>
          <w:color w:val="auto"/>
        </w:rPr>
        <w:t xml:space="preserve"> upon its demand as set forth in Section 2.16 of</w:t>
      </w:r>
    </w:p>
    <w:p>
      <w:pPr>
        <w:spacing w:after="0" w:line="236" w:lineRule="auto"/>
        <w:rPr>
          <w:sz w:val="20"/>
          <w:szCs w:val="20"/>
          <w:color w:val="auto"/>
        </w:rPr>
      </w:pPr>
      <w:r>
        <w:rPr>
          <w:rFonts w:ascii="Arial" w:cs="Arial" w:eastAsia="Arial" w:hAnsi="Arial"/>
          <w:sz w:val="18"/>
          <w:szCs w:val="18"/>
          <w:color w:val="auto"/>
        </w:rPr>
        <w:t xml:space="preserve">the Credit Agreement as if the Credit Agreement were in effect with respect to the requested </w:t>
      </w:r>
      <w:r>
        <w:rPr>
          <w:rFonts w:ascii="Arial" w:cs="Arial" w:eastAsia="Arial" w:hAnsi="Arial"/>
          <w:sz w:val="18"/>
          <w:szCs w:val="18"/>
          <w:color w:val="FF0000"/>
          <w:strike w:val="1"/>
        </w:rPr>
        <w:t>Eurodollar Loans or</w:t>
      </w:r>
      <w:r>
        <w:rPr>
          <w:rFonts w:ascii="Arial" w:cs="Arial" w:eastAsia="Arial" w:hAnsi="Arial"/>
          <w:sz w:val="18"/>
          <w:szCs w:val="18"/>
          <w:color w:val="auto"/>
        </w:rPr>
        <w:t xml:space="preserve"> Term Benchmark Loans</w:t>
      </w:r>
      <w:r>
        <w:rPr>
          <w:rFonts w:ascii="Arial" w:cs="Arial" w:eastAsia="Arial" w:hAnsi="Arial"/>
          <w:sz w:val="18"/>
          <w:szCs w:val="18"/>
          <w:color w:val="FF0000"/>
          <w:strike w:val="1"/>
        </w:rPr>
        <w:t>,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applicable</w:t>
      </w:r>
      <w:r>
        <w:rPr>
          <w:rFonts w:ascii="Arial" w:cs="Arial" w:eastAsia="Arial" w:hAnsi="Arial"/>
          <w:sz w:val="20"/>
          <w:szCs w:val="20"/>
          <w:color w:val="000000"/>
        </w:rPr>
        <w:t>.</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Notwithstanding anything herein to the contrary, the Borrowings contemplated by this Borrowing Request shall be subject to and conditioned upon the effectiveness of the Credit Agreement.]</w:t>
      </w:r>
      <w:r>
        <w:rPr>
          <w:rFonts w:ascii="Arial" w:cs="Arial" w:eastAsia="Arial" w:hAnsi="Arial"/>
          <w:sz w:val="25"/>
          <w:szCs w:val="25"/>
          <w:color w:val="auto"/>
          <w:vertAlign w:val="superscript"/>
        </w:rPr>
        <w:t>9</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This Notice of Borrowing shall be governed by, and construed in accordance with the laws of the State of New York</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194"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8</w:t>
      </w:r>
    </w:p>
    <w:p>
      <w:pPr>
        <w:spacing w:after="0" w:line="180" w:lineRule="exact"/>
        <w:rPr>
          <w:sz w:val="20"/>
          <w:szCs w:val="20"/>
          <w:color w:val="auto"/>
        </w:rPr>
      </w:pPr>
    </w:p>
    <w:p>
      <w:pPr>
        <w:spacing w:after="0"/>
        <w:rPr>
          <w:sz w:val="20"/>
          <w:szCs w:val="20"/>
          <w:color w:val="auto"/>
        </w:rPr>
      </w:pPr>
      <w:r>
        <w:rPr>
          <w:rFonts w:ascii="Arial" w:cs="Arial" w:eastAsia="Arial" w:hAnsi="Arial"/>
          <w:sz w:val="9"/>
          <w:szCs w:val="9"/>
          <w:color w:val="auto"/>
        </w:rPr>
        <w:t>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139065</wp:posOffset>
            </wp:positionV>
            <wp:extent cx="1714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State whether such Borrowing is to be of Term Loans, Incremental Term Loans, Other Term Loans, Revolving Loans, etc.</w:t>
      </w:r>
    </w:p>
    <w:p>
      <w:pPr>
        <w:spacing w:after="0" w:line="77" w:lineRule="exact"/>
        <w:rPr>
          <w:sz w:val="20"/>
          <w:szCs w:val="20"/>
          <w:color w:val="auto"/>
        </w:rPr>
      </w:pPr>
    </w:p>
    <w:p>
      <w:pPr>
        <w:ind w:left="40" w:firstLine="85"/>
        <w:spacing w:after="0" w:line="248" w:lineRule="auto"/>
        <w:rPr>
          <w:sz w:val="20"/>
          <w:szCs w:val="20"/>
          <w:color w:val="auto"/>
        </w:rPr>
      </w:pPr>
      <w:r>
        <w:rPr>
          <w:rFonts w:ascii="Arial" w:cs="Arial" w:eastAsia="Arial" w:hAnsi="Arial"/>
          <w:sz w:val="16"/>
          <w:szCs w:val="16"/>
          <w:color w:val="auto"/>
        </w:rPr>
        <w:t xml:space="preserve">Must be a period contemplated by the definition of “Interest Period”. If no Interest Period is specified with respect to any requested </w:t>
      </w:r>
      <w:r>
        <w:rPr>
          <w:rFonts w:ascii="Arial" w:cs="Arial" w:eastAsia="Arial" w:hAnsi="Arial"/>
          <w:sz w:val="16"/>
          <w:szCs w:val="16"/>
          <w:color w:val="FF0000"/>
          <w:strike w:val="1"/>
        </w:rPr>
        <w:t>Eurodollar</w:t>
      </w:r>
      <w:r>
        <w:rPr>
          <w:rFonts w:ascii="Arial" w:cs="Arial" w:eastAsia="Arial" w:hAnsi="Arial"/>
          <w:sz w:val="16"/>
          <w:szCs w:val="16"/>
          <w:color w:val="auto"/>
        </w:rPr>
        <w:t xml:space="preserve"> </w:t>
      </w:r>
      <w:r>
        <w:rPr>
          <w:rFonts w:ascii="Arial" w:cs="Arial" w:eastAsia="Arial" w:hAnsi="Arial"/>
          <w:sz w:val="16"/>
          <w:szCs w:val="16"/>
          <w:color w:val="FF0000"/>
          <w:strike w:val="1"/>
        </w:rPr>
        <w:t>Borrowing (in the case of Term Loans) or</w:t>
      </w:r>
      <w:r>
        <w:rPr>
          <w:rFonts w:ascii="Arial" w:cs="Arial" w:eastAsia="Arial" w:hAnsi="Arial"/>
          <w:sz w:val="16"/>
          <w:szCs w:val="16"/>
          <w:color w:val="FF0000"/>
        </w:rPr>
        <w:t xml:space="preserve"> </w:t>
      </w:r>
      <w:r>
        <w:rPr>
          <w:rFonts w:ascii="Arial" w:cs="Arial" w:eastAsia="Arial" w:hAnsi="Arial"/>
          <w:sz w:val="16"/>
          <w:szCs w:val="16"/>
          <w:color w:val="000000"/>
        </w:rPr>
        <w:t>Term Benchmark Borrowing</w:t>
      </w:r>
      <w:r>
        <w:rPr>
          <w:rFonts w:ascii="Arial" w:cs="Arial" w:eastAsia="Arial" w:hAnsi="Arial"/>
          <w:sz w:val="16"/>
          <w:szCs w:val="16"/>
          <w:color w:val="FF0000"/>
        </w:rPr>
        <w:t xml:space="preserve"> (in the case of Revolving Loans)</w:t>
      </w:r>
      <w:r>
        <w:rPr>
          <w:rFonts w:ascii="Arial" w:cs="Arial" w:eastAsia="Arial" w:hAnsi="Arial"/>
          <w:sz w:val="16"/>
          <w:szCs w:val="16"/>
          <w:color w:val="000000"/>
        </w:rPr>
        <w:t>, then the Borrower shall be deemed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-60325</wp:posOffset>
            </wp:positionV>
            <wp:extent cx="1558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829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selected an Interest Period of one-month’s duration.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shall comply with the requirements of Section 2.06 of the Credit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Revolving Borrowings.</w:t>
      </w:r>
    </w:p>
    <w:p>
      <w:pPr>
        <w:spacing w:after="0" w:line="90" w:lineRule="exact"/>
        <w:rPr>
          <w:sz w:val="20"/>
          <w:szCs w:val="20"/>
          <w:color w:val="auto"/>
        </w:rPr>
      </w:pPr>
    </w:p>
    <w:p>
      <w:pPr>
        <w:ind w:right="1400"/>
        <w:spacing w:after="0" w:line="355" w:lineRule="auto"/>
        <w:rPr>
          <w:sz w:val="20"/>
          <w:szCs w:val="20"/>
          <w:color w:val="auto"/>
        </w:rPr>
      </w:pPr>
      <w:r>
        <w:rPr>
          <w:rFonts w:ascii="Arial" w:cs="Arial" w:eastAsia="Arial" w:hAnsi="Arial"/>
          <w:sz w:val="18"/>
          <w:szCs w:val="18"/>
          <w:color w:val="auto"/>
        </w:rPr>
        <w:t>Include bracketed language for Borrowings after the Effective Date other than the exceptions/revisions contemplated in Section 4.02 Include bracketed language for Borrowings on the Effective Date.</w:t>
      </w:r>
    </w:p>
    <w:p>
      <w:pPr>
        <w:spacing w:after="0" w:line="200" w:lineRule="exact"/>
        <w:rPr>
          <w:sz w:val="20"/>
          <w:szCs w:val="20"/>
          <w:color w:val="auto"/>
        </w:rPr>
      </w:pPr>
    </w:p>
    <w:p>
      <w:pPr>
        <w:sectPr>
          <w:pgSz w:w="11900" w:h="16838" w:orient="portrait"/>
          <w:cols w:equalWidth="0" w:num="2">
            <w:col w:w="60" w:space="240"/>
            <w:col w:w="10940"/>
          </w:cols>
          <w:pgMar w:left="320" w:top="1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Q-2</w:t>
      </w:r>
    </w:p>
    <w:p>
      <w:pPr>
        <w:sectPr>
          <w:pgSz w:w="11900" w:h="16838" w:orient="portrait"/>
          <w:cols w:equalWidth="0" w:num="1">
            <w:col w:w="11240"/>
          </w:cols>
          <w:pgMar w:left="320" w:top="1405" w:right="339" w:bottom="1440" w:gutter="0" w:footer="0" w:header="0"/>
          <w:type w:val="continuous"/>
        </w:sectPr>
      </w:pPr>
    </w:p>
    <w:bookmarkStart w:id="209" w:name="page210"/>
    <w:bookmarkEnd w:id="209"/>
    <w:p>
      <w:pPr>
        <w:ind w:left="2780"/>
        <w:spacing w:after="0"/>
        <w:rPr>
          <w:sz w:val="20"/>
          <w:szCs w:val="20"/>
          <w:color w:val="auto"/>
        </w:rPr>
      </w:pPr>
      <w:r>
        <w:rPr>
          <w:rFonts w:ascii="Arial" w:cs="Arial" w:eastAsia="Arial" w:hAnsi="Arial"/>
          <w:sz w:val="22"/>
          <w:szCs w:val="22"/>
          <w:b w:val="1"/>
          <w:bCs w:val="1"/>
          <w:color w:val="auto"/>
        </w:rPr>
        <w:t>[BORROWER]</w:t>
      </w:r>
    </w:p>
    <w:p>
      <w:pPr>
        <w:spacing w:after="0" w:line="38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Q-3</w:t>
      </w:r>
    </w:p>
    <w:p>
      <w:pPr>
        <w:sectPr>
          <w:pgSz w:w="11900" w:h="16838" w:orient="portrait"/>
          <w:cols w:equalWidth="0" w:num="1">
            <w:col w:w="9019"/>
          </w:cols>
          <w:pgMar w:left="1440" w:top="1395"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1148715" cy="368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87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Sotera Health Finalizes Setlement of Ethylene Oxide Litgaton in Illinois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99.7% of eligible claimants agree to partcipate in setlement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CLEVELAND, June 22, 2023 – Sotera Health Company (“The Company”) (Nasdaq: SHC), a leading global provider of mission-critcal end-to-end sterilizaton solutons and lab testng and advisory services for the healthcare industry, today announced that the opt-in process for the January 2023 setlements of ethylene oxide claims against Sterigenics in the Circuit Court of Cook County, Illinois is complete and Sterigenics has elected to proceed with the setlements.</w:t>
      </w:r>
    </w:p>
    <w:p>
      <w:pPr>
        <w:spacing w:after="0" w:line="180"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879 of the 882 claimants eligible to partcipate in the setlement program have opted in. The setling claimants and Sterigenics will now request that the Circuit Court enter an order confrming that these are good-faith setlements under the Illinois Contributon Among Joint Torteasors Act. The setlement funds will be released from escrow for disbursement to the setling claimants ten days afer the Court enters the antcipated good-faith determinaton and their claims against Sterigenics will subsequently be dismissed with prejudice. The lawsuits of the three claimants who opted out of the setlement will proceed to pretrial discovery pursuant to a schedule to be set by the Circuit Court.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Company issued the following statement regarding the setlement agreement:</w:t>
      </w:r>
    </w:p>
    <w:p>
      <w:pPr>
        <w:spacing w:after="0" w:line="256" w:lineRule="exact"/>
        <w:rPr>
          <w:sz w:val="20"/>
          <w:szCs w:val="20"/>
          <w:color w:val="auto"/>
        </w:rPr>
      </w:pPr>
    </w:p>
    <w:p>
      <w:pPr>
        <w:ind w:right="340"/>
        <w:spacing w:after="0" w:line="283" w:lineRule="auto"/>
        <w:rPr>
          <w:sz w:val="20"/>
          <w:szCs w:val="20"/>
          <w:color w:val="auto"/>
        </w:rPr>
      </w:pPr>
      <w:r>
        <w:rPr>
          <w:rFonts w:ascii="Arial" w:cs="Arial" w:eastAsia="Arial" w:hAnsi="Arial"/>
          <w:sz w:val="20"/>
          <w:szCs w:val="20"/>
          <w:i w:val="1"/>
          <w:iCs w:val="1"/>
          <w:color w:val="auto"/>
        </w:rPr>
        <w:t>“We are pleased that 99.7 percent of the eligible claimants are partcipatng in the setlements. The agreements explicitly state that the setlements are not to be construed as an admission of liability, and Sterigenics maintains that its Willowbrook operatons did not pose a safety risk to the surrounding community. As we have done throughout our history, we will contnue to operate all our facilites in compliance with applicable rules and regulatons and best industry practces to ensure the safety of our employees, the communites in which we operate and patents around the world.”</w:t>
      </w:r>
    </w:p>
    <w:p>
      <w:pPr>
        <w:spacing w:after="0" w:line="183" w:lineRule="exact"/>
        <w:rPr>
          <w:sz w:val="20"/>
          <w:szCs w:val="20"/>
          <w:color w:val="auto"/>
        </w:rPr>
      </w:pPr>
    </w:p>
    <w:p>
      <w:pPr>
        <w:ind w:right="40"/>
        <w:spacing w:after="0" w:line="289" w:lineRule="auto"/>
        <w:rPr>
          <w:sz w:val="20"/>
          <w:szCs w:val="20"/>
          <w:color w:val="auto"/>
        </w:rPr>
      </w:pPr>
      <w:r>
        <w:rPr>
          <w:rFonts w:ascii="Arial" w:cs="Arial" w:eastAsia="Arial" w:hAnsi="Arial"/>
          <w:sz w:val="20"/>
          <w:szCs w:val="20"/>
          <w:color w:val="auto"/>
        </w:rPr>
        <w:t>The Company will not incur any additonal charges in associaton with the completon of the setlement beyond those previously incurred in the fourth quarter of 2022.</w:t>
      </w:r>
    </w:p>
    <w:p>
      <w:pPr>
        <w:spacing w:after="0" w:line="175" w:lineRule="exact"/>
        <w:rPr>
          <w:sz w:val="20"/>
          <w:szCs w:val="20"/>
          <w:color w:val="auto"/>
        </w:rPr>
      </w:pPr>
    </w:p>
    <w:p>
      <w:pPr>
        <w:ind w:right="300"/>
        <w:spacing w:after="0" w:line="303" w:lineRule="auto"/>
        <w:rPr>
          <w:sz w:val="20"/>
          <w:szCs w:val="20"/>
          <w:color w:val="auto"/>
        </w:rPr>
      </w:pPr>
      <w:r>
        <w:rPr>
          <w:rFonts w:ascii="Arial" w:cs="Arial" w:eastAsia="Arial" w:hAnsi="Arial"/>
          <w:sz w:val="20"/>
          <w:szCs w:val="20"/>
          <w:color w:val="auto"/>
        </w:rPr>
        <w:t>For additonal informaton on the setlement agreements and ethylene oxide lawsuits, please refer to the Company’s Form 8-K disclosing the setlement terms, the Company’s other SEC flings and its website.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1" w:lineRule="exact"/>
        <w:rPr>
          <w:sz w:val="20"/>
          <w:szCs w:val="20"/>
          <w:color w:val="auto"/>
        </w:rPr>
      </w:pPr>
    </w:p>
    <w:p>
      <w:pPr>
        <w:ind w:right="40"/>
        <w:spacing w:after="0" w:line="320" w:lineRule="auto"/>
        <w:rPr>
          <w:sz w:val="20"/>
          <w:szCs w:val="20"/>
          <w:color w:val="auto"/>
        </w:rPr>
      </w:pPr>
      <w:r>
        <w:rPr>
          <w:rFonts w:ascii="Arial" w:cs="Arial" w:eastAsia="Arial" w:hAnsi="Arial"/>
          <w:sz w:val="18"/>
          <w:szCs w:val="18"/>
          <w:color w:val="auto"/>
        </w:rPr>
        <w:t>This release contains forward-looking statements that refect management’s expectatons about future events and speak only as of the date hereof. You can identfy these forward-looking statements by the use of forward-looking words such as “will,” “expect,” “may,” “post-trial,” “appeal,” “believe,” “contnue,” or other comparable words. Any forward-looking statements contained in this release are based upon current plans, estmates and expectatons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including, without limitaton,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211" w:name="page212"/>
    <w:bookmarkEnd w:id="211"/>
    <w:p>
      <w:pPr>
        <w:ind w:right="40"/>
        <w:spacing w:after="0" w:line="297" w:lineRule="auto"/>
        <w:rPr>
          <w:sz w:val="20"/>
          <w:szCs w:val="20"/>
          <w:color w:val="auto"/>
        </w:rPr>
      </w:pPr>
      <w:r>
        <w:rPr>
          <w:rFonts w:ascii="Arial" w:cs="Arial" w:eastAsia="Arial" w:hAnsi="Arial"/>
          <w:sz w:val="19"/>
          <w:szCs w:val="19"/>
          <w:color w:val="auto"/>
        </w:rPr>
        <w:t>changes in environmental, health and safety regulatons; satsfacton of conditons to completng the setlement, including the entry of an order by the Circuit Court of Cook County confrming that the setlements of the EO cases pending against Sterigenics were entered into in good faith pursuant to the Illinois Contributon Among Joint Torteasors Act; the impact of, and developments in, current and future legal proceedings and liability claims related to purported exposure to emissions of EO from Sterigenics’ facilites, including claims not encompassed by the setlement that are presently pending against Sterigenics and related co-defendants in Illinois, Georgia and New Mexico; capital market and other risks to our ability to raise additonal debt fnancing on reasonable terms or at all, including availability of capital and the impact of future litgaton developments on our ability to access capital markets; and the possibility that other claims will be made in the future, including in Illinois. For additonal discussion of these risks and uncertaintes, please refer to Company’s flings with the SEC, such as its annual and quarterly reports, as well as the Current Report on Form 8-K fled by the Company on January 9, 2023, with the SEC disclosing the terms of the setlement. We do not undertake any obligaton to publicly update or revise these forward-looking statements, except as otherwise required by law.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Sterigenics</w:t>
      </w:r>
    </w:p>
    <w:p>
      <w:pPr>
        <w:spacing w:after="0" w:line="135"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u w:val="single" w:color="auto"/>
          <w:color w:val="0000FF"/>
        </w:rPr>
        <w:t>Sterigenics</w:t>
      </w:r>
      <w:r>
        <w:rPr>
          <w:rFonts w:ascii="Arial" w:cs="Arial" w:eastAsia="Arial" w:hAnsi="Arial"/>
          <w:sz w:val="18"/>
          <w:szCs w:val="18"/>
          <w:color w:val="000000"/>
        </w:rPr>
        <w:t>® is a leading global provider of outsourced terminal sterilizaton and irradiaton services for the medical device, pharmaceutcal,</w:t>
      </w:r>
      <w:r>
        <w:rPr>
          <w:rFonts w:ascii="Arial" w:cs="Arial" w:eastAsia="Arial" w:hAnsi="Arial"/>
          <w:sz w:val="18"/>
          <w:szCs w:val="18"/>
          <w:color w:val="0000FF"/>
        </w:rPr>
        <w:t xml:space="preserve"> </w:t>
      </w:r>
      <w:r>
        <w:rPr>
          <w:rFonts w:ascii="Arial" w:cs="Arial" w:eastAsia="Arial" w:hAnsi="Arial"/>
          <w:sz w:val="18"/>
          <w:szCs w:val="18"/>
          <w:color w:val="000000"/>
        </w:rPr>
        <w:t xml:space="preserve">food safety and advanced applicatons markets. With our industry recognized scientfc and technological expertse we help to ensure the safety of millions of patents and healthcare practtoners around the world every year. Across our 48 facilites worldwide, we ofer our customers a complete range of outsourced terminal sterilizaton services, primarily using the three major sterilizaton technologies: gamma irradiaton, ethylene oxide processing and electron beam irradiaton. We are commited to addressing the growing need for sterilizaton in many parts of the world and partnering with our customers to eliminate threats to human health. Learn more about Sterigenics at </w:t>
      </w:r>
      <w:r>
        <w:rPr>
          <w:rFonts w:ascii="Arial" w:cs="Arial" w:eastAsia="Arial" w:hAnsi="Arial"/>
          <w:sz w:val="18"/>
          <w:szCs w:val="18"/>
          <w:u w:val="single" w:color="auto"/>
          <w:color w:val="0000FF"/>
        </w:rPr>
        <w:t>htps://sterigenics.com/</w:t>
      </w:r>
      <w:r>
        <w:rPr>
          <w:rFonts w:ascii="Arial" w:cs="Arial" w:eastAsia="Arial" w:hAnsi="Arial"/>
          <w:sz w:val="18"/>
          <w:szCs w:val="18"/>
          <w:color w:val="000000"/>
        </w:rPr>
        <w:t>. Safeguarding Global Health® - with every product we sterilize.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Sotera Health</w:t>
      </w:r>
    </w:p>
    <w:p>
      <w:pPr>
        <w:spacing w:after="0" w:line="121" w:lineRule="exact"/>
        <w:rPr>
          <w:sz w:val="20"/>
          <w:szCs w:val="20"/>
          <w:color w:val="auto"/>
        </w:rPr>
      </w:pPr>
    </w:p>
    <w:p>
      <w:pPr>
        <w:spacing w:after="0" w:line="292" w:lineRule="auto"/>
        <w:rPr>
          <w:sz w:val="20"/>
          <w:szCs w:val="20"/>
          <w:color w:val="auto"/>
        </w:rPr>
      </w:pPr>
      <w:r>
        <w:rPr>
          <w:rFonts w:ascii="Arial" w:cs="Arial" w:eastAsia="Arial" w:hAnsi="Arial"/>
          <w:sz w:val="20"/>
          <w:szCs w:val="20"/>
          <w:u w:val="single" w:color="auto"/>
          <w:color w:val="0000FF"/>
        </w:rPr>
        <w:t>Sotera Health Company</w:t>
      </w:r>
      <w:r>
        <w:rPr>
          <w:rFonts w:ascii="Arial" w:cs="Arial" w:eastAsia="Arial" w:hAnsi="Arial"/>
          <w:sz w:val="20"/>
          <w:szCs w:val="20"/>
          <w:color w:val="0000FF"/>
        </w:rPr>
        <w:t xml:space="preserve"> </w:t>
      </w:r>
      <w:r>
        <w:rPr>
          <w:rFonts w:ascii="Arial" w:cs="Arial" w:eastAsia="Arial" w:hAnsi="Arial"/>
          <w:sz w:val="20"/>
          <w:szCs w:val="20"/>
          <w:color w:val="000000"/>
        </w:rPr>
        <w:t>is a leading global provider of mission-critcal end-to-end sterilizaton solutons and lab testng and advisory services</w:t>
      </w:r>
      <w:r>
        <w:rPr>
          <w:rFonts w:ascii="Arial" w:cs="Arial" w:eastAsia="Arial" w:hAnsi="Arial"/>
          <w:sz w:val="20"/>
          <w:szCs w:val="20"/>
          <w:color w:val="0000FF"/>
        </w:rPr>
        <w:t xml:space="preserve"> </w:t>
      </w:r>
      <w:r>
        <w:rPr>
          <w:rFonts w:ascii="Arial" w:cs="Arial" w:eastAsia="Arial" w:hAnsi="Arial"/>
          <w:sz w:val="20"/>
          <w:szCs w:val="20"/>
          <w:color w:val="000000"/>
        </w:rPr>
        <w:t xml:space="preserve">for the healthcare industry. Sotera Health goes to market through three businesses – </w:t>
      </w:r>
      <w:r>
        <w:rPr>
          <w:rFonts w:ascii="Arial" w:cs="Arial" w:eastAsia="Arial" w:hAnsi="Arial"/>
          <w:sz w:val="20"/>
          <w:szCs w:val="20"/>
          <w:u w:val="single" w:color="auto"/>
          <w:color w:val="0000FF"/>
        </w:rPr>
        <w:t>Sterigenics</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Nordion</w:t>
      </w:r>
      <w:r>
        <w:rPr>
          <w:rFonts w:ascii="Arial" w:cs="Arial" w:eastAsia="Arial" w:hAnsi="Arial"/>
          <w:sz w:val="20"/>
          <w:szCs w:val="20"/>
          <w:color w:val="000000"/>
        </w:rPr>
        <w:t xml:space="preserve">® and </w:t>
      </w:r>
      <w:r>
        <w:rPr>
          <w:rFonts w:ascii="Arial" w:cs="Arial" w:eastAsia="Arial" w:hAnsi="Arial"/>
          <w:sz w:val="20"/>
          <w:szCs w:val="20"/>
          <w:u w:val="single" w:color="auto"/>
          <w:color w:val="0000FF"/>
        </w:rPr>
        <w:t>Nelson Labs®.</w:t>
      </w:r>
      <w:r>
        <w:rPr>
          <w:rFonts w:ascii="Arial" w:cs="Arial" w:eastAsia="Arial" w:hAnsi="Arial"/>
          <w:sz w:val="20"/>
          <w:szCs w:val="20"/>
          <w:color w:val="000000"/>
        </w:rPr>
        <w:t xml:space="preserve"> Sotera Health is commited to its mission, Safeguarding Global Health®.</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 CONTACTS</w:t>
            </w: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6"/>
        </w:trPr>
        <w:tc>
          <w:tcPr>
            <w:tcW w:w="1600" w:type="dxa"/>
            <w:vAlign w:val="bottom"/>
          </w:tcPr>
          <w:p>
            <w:pPr>
              <w:spacing w:after="0"/>
              <w:rPr>
                <w:sz w:val="20"/>
                <w:szCs w:val="20"/>
                <w:color w:val="auto"/>
              </w:rPr>
            </w:pPr>
            <w:r>
              <w:rPr>
                <w:rFonts w:ascii="Arial" w:cs="Arial" w:eastAsia="Arial" w:hAnsi="Arial"/>
                <w:sz w:val="20"/>
                <w:szCs w:val="20"/>
                <w:color w:val="auto"/>
              </w:rPr>
              <w:t>Jason Peterson</w:t>
            </w:r>
          </w:p>
        </w:tc>
        <w:tc>
          <w:tcPr>
            <w:tcW w:w="3700" w:type="dxa"/>
            <w:vAlign w:val="bottom"/>
            <w:gridSpan w:val="5"/>
          </w:tcPr>
          <w:p>
            <w:pPr>
              <w:ind w:left="680"/>
              <w:spacing w:after="0"/>
              <w:rPr>
                <w:sz w:val="20"/>
                <w:szCs w:val="20"/>
                <w:color w:val="auto"/>
              </w:rPr>
            </w:pPr>
            <w:r>
              <w:rPr>
                <w:rFonts w:ascii="Arial" w:cs="Arial" w:eastAsia="Arial" w:hAnsi="Arial"/>
                <w:sz w:val="20"/>
                <w:szCs w:val="20"/>
                <w:color w:val="auto"/>
              </w:rPr>
              <w:t>Sally J. Curley, IRC</w:t>
            </w:r>
          </w:p>
        </w:tc>
      </w:tr>
      <w:tr>
        <w:trPr>
          <w:trHeight w:val="270"/>
        </w:trPr>
        <w:tc>
          <w:tcPr>
            <w:tcW w:w="3480" w:type="dxa"/>
            <w:vAlign w:val="bottom"/>
            <w:gridSpan w:val="4"/>
          </w:tcPr>
          <w:p>
            <w:pPr>
              <w:spacing w:after="0"/>
              <w:rPr>
                <w:sz w:val="20"/>
                <w:szCs w:val="20"/>
                <w:color w:val="auto"/>
              </w:rPr>
            </w:pPr>
            <w:r>
              <w:rPr>
                <w:rFonts w:ascii="Arial" w:cs="Arial" w:eastAsia="Arial" w:hAnsi="Arial"/>
                <w:sz w:val="20"/>
                <w:szCs w:val="20"/>
                <w:color w:val="auto"/>
                <w:w w:val="92"/>
              </w:rPr>
              <w:t>Vice President &amp; Treasurer, Sotera Health</w:t>
            </w:r>
          </w:p>
        </w:tc>
        <w:tc>
          <w:tcPr>
            <w:tcW w:w="1820" w:type="dxa"/>
            <w:vAlign w:val="bottom"/>
            <w:gridSpan w:val="2"/>
          </w:tcPr>
          <w:p>
            <w:pPr>
              <w:ind w:left="180"/>
              <w:spacing w:after="0"/>
              <w:rPr>
                <w:sz w:val="20"/>
                <w:szCs w:val="20"/>
                <w:color w:val="auto"/>
              </w:rPr>
            </w:pPr>
            <w:r>
              <w:rPr>
                <w:rFonts w:ascii="Arial" w:cs="Arial" w:eastAsia="Arial" w:hAnsi="Arial"/>
                <w:sz w:val="20"/>
                <w:szCs w:val="20"/>
                <w:color w:val="auto"/>
                <w:w w:val="83"/>
              </w:rPr>
              <w:t>Curley Global IR, LLC</w:t>
            </w:r>
          </w:p>
        </w:tc>
      </w:tr>
      <w:tr>
        <w:trPr>
          <w:trHeight w:val="220"/>
        </w:trPr>
        <w:tc>
          <w:tcPr>
            <w:tcW w:w="1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IR@soterahealth.com</w:t>
            </w:r>
          </w:p>
        </w:tc>
        <w:tc>
          <w:tcPr>
            <w:tcW w:w="840" w:type="dxa"/>
            <w:vAlign w:val="bottom"/>
          </w:tcPr>
          <w:p>
            <w:pPr>
              <w:spacing w:after="0"/>
              <w:rPr>
                <w:sz w:val="19"/>
                <w:szCs w:val="19"/>
                <w:color w:val="auto"/>
              </w:rPr>
            </w:pPr>
          </w:p>
        </w:tc>
        <w:tc>
          <w:tcPr>
            <w:tcW w:w="1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IR@soterahealth.com</w:t>
            </w:r>
          </w:p>
        </w:tc>
        <w:tc>
          <w:tcPr>
            <w:tcW w:w="1260" w:type="dxa"/>
            <w:vAlign w:val="bottom"/>
          </w:tcPr>
          <w:p>
            <w:pPr>
              <w:spacing w:after="0"/>
              <w:rPr>
                <w:sz w:val="19"/>
                <w:szCs w:val="19"/>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Kristn Gibbs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Marketng Ofcer, Sotera Health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kgibbs@soterahealth.com</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Source: Sotera Health Company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20"/>
      </w:cols>
      <w:pgMar w:left="320" w:top="11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E21BB2"/>
    <w:multiLevelType w:val="hybridMultilevel"/>
    <w:lvl w:ilvl="0">
      <w:lvlJc w:val="left"/>
      <w:lvlText w:val="☐"/>
      <w:numFmt w:val="bullet"/>
      <w:start w:val="1"/>
    </w:lvl>
  </w:abstractNum>
  <w:abstractNum w:abstractNumId="1">
    <w:nsid w:val="75E0858A"/>
    <w:multiLevelType w:val="hybridMultilevel"/>
    <w:lvl w:ilvl="0">
      <w:lvlJc w:val="left"/>
      <w:lvlText w:val="(%1)"/>
      <w:numFmt w:val="lowerLetter"/>
      <w:start w:val="1"/>
    </w:lvl>
  </w:abstractNum>
  <w:abstractNum w:abstractNumId="2">
    <w:nsid w:val="57A61A29"/>
    <w:multiLevelType w:val="hybridMultilevel"/>
    <w:lvl w:ilvl="0">
      <w:lvlJc w:val="left"/>
      <w:lvlText w:val="(%1)"/>
      <w:numFmt w:val="lowerLetter"/>
      <w:start w:val="2"/>
    </w:lvl>
    <w:lvl w:ilvl="1">
      <w:lvlJc w:val="left"/>
      <w:lvlText w:val="(%2)"/>
      <w:numFmt w:val="lowerLetter"/>
      <w:start w:val="3"/>
    </w:lvl>
  </w:abstractNum>
  <w:abstractNum w:abstractNumId="3">
    <w:nsid w:val="5399C654"/>
    <w:multiLevelType w:val="hybridMultilevel"/>
    <w:lvl w:ilvl="0">
      <w:lvlJc w:val="left"/>
      <w:lvlText w:val="(%1)"/>
      <w:numFmt w:val="lowerLetter"/>
      <w:start w:val="4"/>
    </w:lvl>
  </w:abstractNum>
  <w:abstractNum w:abstractNumId="4">
    <w:nsid w:val="20EE1348"/>
    <w:multiLevelType w:val="hybridMultilevel"/>
    <w:lvl w:ilvl="0">
      <w:lvlJc w:val="left"/>
      <w:lvlText w:val="(%1)"/>
      <w:numFmt w:val="lowerLetter"/>
      <w:start w:val="10"/>
    </w:lvl>
  </w:abstractNum>
  <w:abstractNum w:abstractNumId="5">
    <w:nsid w:val="4427069A"/>
    <w:multiLevelType w:val="hybridMultilevel"/>
    <w:lvl w:ilvl="0">
      <w:lvlJc w:val="left"/>
      <w:lvlText w:val="(%1)"/>
      <w:numFmt w:val="lowerLetter"/>
      <w:start w:val="14"/>
    </w:lvl>
  </w:abstractNum>
  <w:abstractNum w:abstractNumId="6">
    <w:nsid w:val="B37E80A"/>
    <w:multiLevelType w:val="hybridMultilevel"/>
    <w:lvl w:ilvl="0">
      <w:lvlJc w:val="left"/>
      <w:lvlText w:val="1"/>
      <w:numFmt w:val="bullet"/>
      <w:start w:val="1"/>
    </w:lvl>
  </w:abstractNum>
  <w:abstractNum w:abstractNumId="7">
    <w:nsid w:val="2157F6BC"/>
    <w:multiLevelType w:val="hybridMultilevel"/>
    <w:lvl w:ilvl="0">
      <w:lvlJc w:val="left"/>
      <w:lvlText w:val="(%1)"/>
      <w:numFmt w:val="lowerLetter"/>
      <w:start w:val="1"/>
    </w:lvl>
  </w:abstractNum>
  <w:abstractNum w:abstractNumId="8">
    <w:nsid w:val="704E1DD5"/>
    <w:multiLevelType w:val="hybridMultilevel"/>
    <w:lvl w:ilvl="0">
      <w:lvlJc w:val="left"/>
      <w:lvlText w:val="(%1)"/>
      <w:numFmt w:val="lowerLetter"/>
      <w:start w:val="1"/>
    </w:lvl>
  </w:abstractNum>
  <w:abstractNum w:abstractNumId="9">
    <w:nsid w:val="57D2F10E"/>
    <w:multiLevelType w:val="hybridMultilevel"/>
    <w:lvl w:ilvl="0">
      <w:lvlJc w:val="left"/>
      <w:lvlText w:val="(%1)"/>
      <w:numFmt w:val="decimal"/>
      <w:start w:val="1"/>
    </w:lvl>
  </w:abstractNum>
  <w:abstractNum w:abstractNumId="10">
    <w:nsid w:val="BFFAE18"/>
    <w:multiLevelType w:val="hybridMultilevel"/>
    <w:lvl w:ilvl="0">
      <w:lvlJc w:val="left"/>
      <w:lvlText w:val=","/>
      <w:numFmt w:val="bullet"/>
      <w:start w:val="1"/>
    </w:lvl>
  </w:abstractNum>
  <w:abstractNum w:abstractNumId="11">
    <w:nsid w:val="E3E47A8"/>
    <w:multiLevelType w:val="hybridMultilevel"/>
    <w:lvl w:ilvl="0">
      <w:lvlJc w:val="left"/>
      <w:lvlText w:val="(%1)"/>
      <w:numFmt w:val="decimal"/>
      <w:start w:val="2"/>
    </w:lvl>
  </w:abstractNum>
  <w:abstractNum w:abstractNumId="12">
    <w:nsid w:val="2E48F044"/>
    <w:multiLevelType w:val="hybridMultilevel"/>
    <w:lvl w:ilvl="0">
      <w:lvlJc w:val="left"/>
      <w:lvlText w:val="(%1)"/>
      <w:numFmt w:val="decimal"/>
      <w:start w:val="1"/>
    </w:lvl>
  </w:abstractNum>
  <w:abstractNum w:abstractNumId="13">
    <w:nsid w:val="49D0FEAC"/>
    <w:multiLevelType w:val="hybridMultilevel"/>
    <w:lvl w:ilvl="0">
      <w:lvlJc w:val="left"/>
      <w:lvlText w:val="(%1)"/>
      <w:numFmt w:val="decimal"/>
      <w:start w:val="1"/>
    </w:lvl>
  </w:abstractNum>
  <w:abstractNum w:abstractNumId="14">
    <w:nsid w:val="4BEE5A5B"/>
    <w:multiLevelType w:val="hybridMultilevel"/>
    <w:lvl w:ilvl="0">
      <w:lvlJc w:val="left"/>
      <w:lvlText w:val="(%1)"/>
      <w:numFmt w:val="lowerLetter"/>
      <w:start w:val="1"/>
    </w:lvl>
  </w:abstractNum>
  <w:abstractNum w:abstractNumId="15">
    <w:nsid w:val="5551B9F3"/>
    <w:multiLevelType w:val="hybridMultilevel"/>
    <w:lvl w:ilvl="0">
      <w:lvlJc w:val="left"/>
      <w:lvlText w:val="(%1)"/>
      <w:numFmt w:val="lowerLetter"/>
      <w:start w:val="4"/>
    </w:lvl>
  </w:abstractNum>
  <w:abstractNum w:abstractNumId="16">
    <w:nsid w:val="24F6AB8E"/>
    <w:multiLevelType w:val="hybridMultilevel"/>
    <w:lvl w:ilvl="0">
      <w:lvlJc w:val="left"/>
      <w:lvlText w:val="(%1)"/>
      <w:numFmt w:val="lowerLetter"/>
      <w:start w:val="4"/>
    </w:lvl>
  </w:abstractNum>
  <w:abstractNum w:abstractNumId="17">
    <w:nsid w:val="634C574C"/>
    <w:multiLevelType w:val="hybridMultilevel"/>
    <w:lvl w:ilvl="0">
      <w:lvlJc w:val="left"/>
      <w:lvlText w:val="(%1)"/>
      <w:numFmt w:val="lowerLetter"/>
      <w:start w:val="6"/>
    </w:lvl>
  </w:abstractNum>
  <w:abstractNum w:abstractNumId="18">
    <w:nsid w:val="24E99DD7"/>
    <w:multiLevelType w:val="hybridMultilevel"/>
    <w:lvl w:ilvl="0">
      <w:lvlJc w:val="left"/>
      <w:lvlText w:val="(%1)"/>
      <w:numFmt w:val="lowerLetter"/>
      <w:start w:val="1"/>
    </w:lvl>
    <w:lvl w:ilvl="1">
      <w:lvlJc w:val="left"/>
      <w:lvlText w:val="(%2)"/>
      <w:numFmt w:val="lowerLetter"/>
      <w:start w:val="9"/>
    </w:lvl>
  </w:abstractNum>
  <w:abstractNum w:abstractNumId="19">
    <w:nsid w:val="2A31B62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20">
    <w:nsid w:val="1849C29B"/>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21">
    <w:nsid w:val="7DFF9D09"/>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22">
    <w:nsid w:val="754342"/>
    <w:multiLevelType w:val="hybridMultilevel"/>
    <w:lvl w:ilvl="0">
      <w:lvlJc w:val="left"/>
      <w:lvlText w:val="(%1)"/>
      <w:numFmt w:val="lowerRoman"/>
      <w:start w:val="6"/>
    </w:lvl>
  </w:abstractNum>
  <w:abstractNum w:abstractNumId="23">
    <w:nsid w:val="69E7F3E5"/>
    <w:multiLevelType w:val="hybridMultilevel"/>
    <w:lvl w:ilvl="0">
      <w:lvlJc w:val="left"/>
      <w:lvlText w:val="(%1)"/>
      <w:numFmt w:val="lowerRoman"/>
      <w:start w:val="7"/>
    </w:lvl>
    <w:lvl w:ilvl="1">
      <w:lvlJc w:val="left"/>
      <w:lvlText w:val="(%2)"/>
      <w:numFmt w:val="lowerRoman"/>
      <w:start w:val="10"/>
    </w:lvl>
    <w:lvl w:ilvl="2">
      <w:lvlJc w:val="left"/>
      <w:lvlText w:val="(%3)"/>
      <w:numFmt w:val="lowerRoman"/>
      <w:start w:val="11"/>
    </w:lvl>
  </w:abstractNum>
  <w:abstractNum w:abstractNumId="24">
    <w:nsid w:val="2A6DE806"/>
    <w:multiLevelType w:val="hybridMultilevel"/>
    <w:lvl w:ilvl="0">
      <w:lvlJc w:val="left"/>
      <w:lvlText w:val="(%1)"/>
      <w:numFmt w:val="lowerRoman"/>
      <w:start w:val="12"/>
    </w:lvl>
    <w:lvl w:ilvl="1">
      <w:lvlJc w:val="left"/>
      <w:lvlText w:val="(%2)"/>
      <w:numFmt w:val="lowerRoman"/>
      <w:start w:val="14"/>
    </w:lvl>
    <w:lvl w:ilvl="2">
      <w:lvlJc w:val="left"/>
      <w:lvlText w:val="(%3)"/>
      <w:numFmt w:val="lowerRoman"/>
      <w:start w:val="14"/>
    </w:lvl>
    <w:lvl w:ilvl="3">
      <w:lvlJc w:val="left"/>
      <w:lvlText w:val="(%4)"/>
      <w:numFmt w:val="lowerRoman"/>
      <w:start w:val="18"/>
    </w:lvl>
  </w:abstractNum>
  <w:abstractNum w:abstractNumId="25">
    <w:nsid w:val="1816F8C4"/>
    <w:multiLevelType w:val="hybridMultilevel"/>
    <w:lvl w:ilvl="0">
      <w:lvlJc w:val="left"/>
      <w:lvlText w:val="(%1)"/>
      <w:numFmt w:val="lowerLetter"/>
      <w:start w:val="2"/>
    </w:lvl>
  </w:abstractNum>
  <w:abstractNum w:abstractNumId="26">
    <w:nsid w:val="37DF223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7">
    <w:nsid w:val="7AB49DA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abstractNum>
  <w:abstractNum w:abstractNumId="28">
    <w:nsid w:val="759F82C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6"/>
    </w:lvl>
  </w:abstractNum>
  <w:abstractNum w:abstractNumId="29">
    <w:nsid w:val="61E74EA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lvl w:ilvl="3">
      <w:lvlJc w:val="left"/>
      <w:lvlText w:val="%4"/>
      <w:numFmt w:val="lowerRoman"/>
      <w:start w:val="1"/>
    </w:lvl>
  </w:abstractNum>
  <w:abstractNum w:abstractNumId="30">
    <w:nsid w:val="597B4D84"/>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31">
    <w:nsid w:val="F819E7F"/>
    <w:multiLevelType w:val="hybridMultilevel"/>
    <w:lvl w:ilvl="0">
      <w:lvlJc w:val="left"/>
      <w:lvlText w:val="(%1)"/>
      <w:numFmt w:val="lowerLetter"/>
      <w:start w:val="7"/>
    </w:lvl>
  </w:abstractNum>
  <w:abstractNum w:abstractNumId="32">
    <w:nsid w:val="57C7D42D"/>
    <w:multiLevelType w:val="hybridMultilevel"/>
    <w:lvl w:ilvl="0">
      <w:lvlJc w:val="left"/>
      <w:lvlText w:val="(%1)"/>
      <w:numFmt w:val="upperLetter"/>
      <w:start w:val="9"/>
    </w:lvl>
  </w:abstractNum>
  <w:abstractNum w:abstractNumId="33">
    <w:nsid w:val="312167AD"/>
    <w:multiLevelType w:val="hybridMultilevel"/>
    <w:lvl w:ilvl="0">
      <w:lvlJc w:val="left"/>
      <w:lvlText w:val="(%1)"/>
      <w:numFmt w:val="upperLetter"/>
      <w:start w:val="35"/>
    </w:lvl>
  </w:abstractNum>
  <w:abstractNum w:abstractNumId="34">
    <w:nsid w:val="631B64D4"/>
    <w:multiLevelType w:val="hybridMultilevel"/>
    <w:lvl w:ilvl="0">
      <w:lvlJc w:val="left"/>
      <w:lvlText w:val="(%1)"/>
      <w:numFmt w:val="upperLetter"/>
      <w:start w:val="61"/>
    </w:lvl>
  </w:abstractNum>
  <w:abstractNum w:abstractNumId="35">
    <w:nsid w:val="78B5E776"/>
    <w:multiLevelType w:val="hybridMultilevel"/>
    <w:lvl w:ilvl="0">
      <w:lvlJc w:val="left"/>
      <w:lvlText w:val="(%1)"/>
      <w:numFmt w:val="upperLetter"/>
      <w:start w:val="22"/>
    </w:lvl>
  </w:abstractNum>
  <w:abstractNum w:abstractNumId="36">
    <w:nsid w:val="75486E47"/>
    <w:multiLevelType w:val="hybridMultilevel"/>
    <w:lvl w:ilvl="0">
      <w:lvlJc w:val="left"/>
      <w:lvlText w:val="(%1)"/>
      <w:numFmt w:val="lowerLetter"/>
      <w:start w:val="2"/>
    </w:lvl>
  </w:abstractNum>
  <w:abstractNum w:abstractNumId="37">
    <w:nsid w:val="6E534CDE"/>
    <w:multiLevelType w:val="hybridMultilevel"/>
    <w:lvl w:ilvl="0">
      <w:lvlJc w:val="left"/>
      <w:lvlText w:val="(%1)"/>
      <w:numFmt w:val="lowerLetter"/>
      <w:start w:val="2"/>
    </w:lvl>
  </w:abstractNum>
  <w:abstractNum w:abstractNumId="38">
    <w:nsid w:val="1A0DDE32"/>
    <w:multiLevelType w:val="hybridMultilevel"/>
    <w:lvl w:ilvl="0">
      <w:lvlJc w:val="left"/>
      <w:lvlText w:val="(%1)"/>
      <w:numFmt w:val="lowerLetter"/>
      <w:start w:val="1"/>
    </w:lvl>
  </w:abstractNum>
  <w:abstractNum w:abstractNumId="39">
    <w:nsid w:val="65968C1C"/>
    <w:multiLevelType w:val="hybridMultilevel"/>
    <w:lvl w:ilvl="0">
      <w:lvlJc w:val="left"/>
      <w:lvlText w:val="(%1)"/>
      <w:numFmt w:val="lowerLetter"/>
      <w:start w:val="5"/>
    </w:lvl>
  </w:abstractNum>
  <w:abstractNum w:abstractNumId="40">
    <w:nsid w:val="46263DEC"/>
    <w:multiLevelType w:val="hybridMultilevel"/>
    <w:lvl w:ilvl="0">
      <w:lvlJc w:val="left"/>
      <w:lvlText w:val="(%1)"/>
      <w:numFmt w:val="lowerRoman"/>
      <w:start w:val="4"/>
    </w:lvl>
  </w:abstractNum>
  <w:abstractNum w:abstractNumId="41">
    <w:nsid w:val="260D8C4A"/>
    <w:multiLevelType w:val="hybridMultilevel"/>
    <w:lvl w:ilvl="0">
      <w:lvlJc w:val="left"/>
      <w:lvlText w:val="%1."/>
      <w:numFmt w:val="decimal"/>
      <w:start w:val="2"/>
    </w:lvl>
  </w:abstractNum>
  <w:abstractNum w:abstractNumId="42">
    <w:nsid w:val="73D4D3C4"/>
    <w:multiLevelType w:val="hybridMultilevel"/>
    <w:lvl w:ilvl="0">
      <w:lvlJc w:val="left"/>
      <w:lvlText w:val="(%1)"/>
      <w:numFmt w:val="lowerRoman"/>
      <w:start w:val="1"/>
    </w:lvl>
  </w:abstractNum>
  <w:abstractNum w:abstractNumId="43">
    <w:nsid w:val="746F2E30"/>
    <w:multiLevelType w:val="hybridMultilevel"/>
    <w:lvl w:ilvl="0">
      <w:lvlJc w:val="left"/>
      <w:lvlText w:val="(%1)"/>
      <w:numFmt w:val="decimal"/>
      <w:start w:val="1"/>
    </w:lvl>
  </w:abstractNum>
  <w:abstractNum w:abstractNumId="44">
    <w:nsid w:val="6FDE8AF6"/>
    <w:multiLevelType w:val="hybridMultilevel"/>
    <w:lvl w:ilvl="0">
      <w:lvlJc w:val="left"/>
      <w:lvlText w:val="(%1)"/>
      <w:numFmt w:val="decimal"/>
      <w:start w:val="2"/>
    </w:lvl>
  </w:abstractNum>
  <w:abstractNum w:abstractNumId="45">
    <w:nsid w:val="3FC32E20"/>
    <w:multiLevelType w:val="hybridMultilevel"/>
    <w:lvl w:ilvl="0">
      <w:lvlJc w:val="left"/>
      <w:lvlText w:val="(%1)"/>
      <w:numFmt w:val="lowerRoman"/>
      <w:start w:val="3"/>
    </w:lvl>
  </w:abstractNum>
  <w:abstractNum w:abstractNumId="46">
    <w:nsid w:val="49C0E823"/>
    <w:multiLevelType w:val="hybridMultilevel"/>
    <w:lvl w:ilvl="0">
      <w:lvlJc w:val="left"/>
      <w:lvlText w:val="(%1)"/>
      <w:numFmt w:val="lowerLetter"/>
      <w:start w:val="1"/>
    </w:lvl>
  </w:abstractNum>
  <w:abstractNum w:abstractNumId="47">
    <w:nsid w:val="14D53685"/>
    <w:multiLevelType w:val="hybridMultilevel"/>
    <w:lvl w:ilvl="0">
      <w:lvlJc w:val="left"/>
      <w:lvlText w:val="(%1)"/>
      <w:numFmt w:val="lowerLetter"/>
      <w:start w:val="1"/>
    </w:lvl>
  </w:abstractNum>
  <w:abstractNum w:abstractNumId="48">
    <w:nsid w:val="230F856C"/>
    <w:multiLevelType w:val="hybridMultilevel"/>
    <w:lvl w:ilvl="0">
      <w:lvlJc w:val="left"/>
      <w:lvlText w:val="(%1)"/>
      <w:numFmt w:val="lowerLetter"/>
      <w:start w:val="3"/>
    </w:lvl>
  </w:abstractNum>
  <w:abstractNum w:abstractNumId="49">
    <w:nsid w:val="6EAA85FB"/>
    <w:multiLevelType w:val="hybridMultilevel"/>
    <w:lvl w:ilvl="0">
      <w:lvlJc w:val="left"/>
      <w:lvlText w:val="(%1)"/>
      <w:numFmt w:val="decimal"/>
      <w:start w:val="1"/>
    </w:lvl>
  </w:abstractNum>
  <w:abstractNum w:abstractNumId="50">
    <w:nsid w:val="3F06ECB2"/>
    <w:multiLevelType w:val="hybridMultilevel"/>
    <w:lvl w:ilvl="0">
      <w:lvlJc w:val="left"/>
      <w:lvlText w:val="(%1)"/>
      <w:numFmt w:val="lowerRoman"/>
      <w:start w:val="1"/>
    </w:lvl>
  </w:abstractNum>
  <w:abstractNum w:abstractNumId="51">
    <w:nsid w:val="3B594807"/>
    <w:multiLevelType w:val="hybridMultilevel"/>
    <w:lvl w:ilvl="0">
      <w:lvlJc w:val="left"/>
      <w:lvlText w:val="(%1)"/>
      <w:numFmt w:val="lowerLetter"/>
      <w:start w:val="6"/>
    </w:lvl>
  </w:abstractNum>
  <w:abstractNum w:abstractNumId="52">
    <w:nsid w:val="6CAA2304"/>
    <w:multiLevelType w:val="hybridMultilevel"/>
    <w:lvl w:ilvl="0">
      <w:lvlJc w:val="left"/>
      <w:lvlText w:val="(%1)"/>
      <w:numFmt w:val="lowerLetter"/>
      <w:start w:val="1"/>
    </w:lvl>
  </w:abstractNum>
  <w:abstractNum w:abstractNumId="53">
    <w:nsid w:val="3F7C2FF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lvl w:ilvl="4">
      <w:lvlJc w:val="left"/>
      <w:lvlText w:val="(%5)"/>
      <w:numFmt w:val="lowerRoman"/>
      <w:start w:val="1"/>
    </w:lvl>
  </w:abstractNum>
  <w:abstractNum w:abstractNumId="54">
    <w:nsid w:val="25413BE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lvl w:ilvl="3">
      <w:lvlJc w:val="left"/>
      <w:lvlText w:val="%4"/>
      <w:numFmt w:val="lowerRoman"/>
      <w:start w:val="1"/>
    </w:lvl>
    <w:lvl w:ilvl="4">
      <w:lvlJc w:val="left"/>
      <w:lvlText w:val="%5"/>
      <w:numFmt w:val="lowerRoman"/>
      <w:start w:val="1"/>
    </w:lvl>
  </w:abstractNum>
  <w:abstractNum w:abstractNumId="55">
    <w:nsid w:val="17180B0B"/>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lvl w:ilvl="3">
      <w:lvlJc w:val="left"/>
      <w:lvlText w:val="(%4)"/>
      <w:numFmt w:val="lowerRoman"/>
      <w:start w:val="5"/>
    </w:lvl>
    <w:lvl w:ilvl="4">
      <w:lvlJc w:val="left"/>
      <w:lvlText w:val="%5"/>
      <w:numFmt w:val="lowerRoman"/>
      <w:start w:val="1"/>
    </w:lvl>
  </w:abstractNum>
  <w:abstractNum w:abstractNumId="56">
    <w:nsid w:val="579328B9"/>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7"/>
    </w:lvl>
    <w:lvl w:ilvl="3">
      <w:lvlJc w:val="left"/>
      <w:lvlText w:val="%4"/>
      <w:numFmt w:val="lowerRoman"/>
      <w:start w:val="1"/>
    </w:lvl>
    <w:lvl w:ilvl="4">
      <w:lvlJc w:val="left"/>
      <w:lvlText w:val="(%5)"/>
      <w:numFmt w:val="lowerRoman"/>
      <w:start w:val="8"/>
    </w:lvl>
  </w:abstractNum>
  <w:abstractNum w:abstractNumId="57">
    <w:nsid w:val="5D205E20"/>
    <w:multiLevelType w:val="hybridMultilevel"/>
    <w:lvl w:ilvl="0">
      <w:lvlJc w:val="left"/>
      <w:lvlText w:val="(%1)"/>
      <w:numFmt w:val="lowerRoman"/>
      <w:start w:val="9"/>
    </w:lvl>
  </w:abstractNum>
  <w:abstractNum w:abstractNumId="58">
    <w:nsid w:val="11CCA8BA"/>
    <w:multiLevelType w:val="hybridMultilevel"/>
    <w:lvl w:ilvl="0">
      <w:lvlJc w:val="left"/>
      <w:lvlText w:val="2"/>
      <w:numFmt w:val="bullet"/>
      <w:start w:val="1"/>
    </w:lvl>
  </w:abstractNum>
  <w:abstractNum w:abstractNumId="59">
    <w:nsid w:val="4D32AB86"/>
    <w:multiLevelType w:val="hybridMultilevel"/>
    <w:lvl w:ilvl="0">
      <w:lvlJc w:val="left"/>
      <w:lvlText w:val="(%1)"/>
      <w:numFmt w:val="lowerRoman"/>
      <w:start w:val="2"/>
    </w:lvl>
  </w:abstractNum>
  <w:abstractNum w:abstractNumId="60">
    <w:nsid w:val="3F07ACC3"/>
    <w:multiLevelType w:val="hybridMultilevel"/>
    <w:lvl w:ilvl="0">
      <w:lvlJc w:val="left"/>
      <w:lvlText w:val="(%1)"/>
      <w:numFmt w:val="lowerRoman"/>
      <w:start w:val="1"/>
    </w:lvl>
  </w:abstractNum>
  <w:abstractNum w:abstractNumId="61">
    <w:nsid w:val="6B47F63E"/>
    <w:multiLevelType w:val="hybridMultilevel"/>
    <w:lvl w:ilvl="0">
      <w:lvlJc w:val="left"/>
      <w:lvlText w:val="(%1)"/>
      <w:numFmt w:val="lowerLetter"/>
      <w:start w:val="4"/>
    </w:lvl>
  </w:abstractNum>
  <w:abstractNum w:abstractNumId="62">
    <w:nsid w:val="5CB44A05"/>
    <w:multiLevelType w:val="hybridMultilevel"/>
    <w:lvl w:ilvl="0">
      <w:lvlJc w:val="left"/>
      <w:lvlText w:val="(%1)"/>
      <w:numFmt w:val="lowerLetter"/>
      <w:start w:val="24"/>
    </w:lvl>
  </w:abstractNum>
  <w:abstractNum w:abstractNumId="63">
    <w:nsid w:val="16CF80F1"/>
    <w:multiLevelType w:val="hybridMultilevel"/>
    <w:lvl w:ilvl="0">
      <w:lvlJc w:val="left"/>
      <w:lvlText w:val="(%1)"/>
      <w:numFmt w:val="lowerLetter"/>
      <w:start w:val="26"/>
    </w:lvl>
  </w:abstractNum>
  <w:abstractNum w:abstractNumId="64">
    <w:nsid w:val="1C695DEC"/>
    <w:multiLevelType w:val="hybridMultilevel"/>
    <w:lvl w:ilvl="0">
      <w:lvlJc w:val="left"/>
      <w:lvlText w:val="(%1)"/>
      <w:numFmt w:val="lowerLetter"/>
      <w:start w:val="25"/>
    </w:lvl>
  </w:abstractNum>
  <w:abstractNum w:abstractNumId="65">
    <w:nsid w:val="3FCFAED9"/>
    <w:multiLevelType w:val="hybridMultilevel"/>
    <w:lvl w:ilvl="0">
      <w:lvlJc w:val="left"/>
      <w:lvlText w:val="(%1)"/>
      <w:numFmt w:val="lowerLetter"/>
      <w:start w:val="1"/>
    </w:lvl>
  </w:abstractNum>
  <w:abstractNum w:abstractNumId="66">
    <w:nsid w:val="F856867"/>
    <w:multiLevelType w:val="hybridMultilevel"/>
    <w:lvl w:ilvl="0">
      <w:lvlJc w:val="left"/>
      <w:lvlText w:val="(%1)"/>
      <w:numFmt w:val="lowerLetter"/>
      <w:start w:val="6"/>
    </w:lvl>
  </w:abstractNum>
  <w:abstractNum w:abstractNumId="67">
    <w:nsid w:val="11B1CC33"/>
    <w:multiLevelType w:val="hybridMultilevel"/>
    <w:lvl w:ilvl="0">
      <w:lvlJc w:val="left"/>
      <w:lvlText w:val="(%1)"/>
      <w:numFmt w:val="lowerLetter"/>
      <w:start w:val="18"/>
    </w:lvl>
  </w:abstractNum>
  <w:abstractNum w:abstractNumId="68">
    <w:nsid w:val="2E22FBB7"/>
    <w:multiLevelType w:val="hybridMultilevel"/>
    <w:lvl w:ilvl="0">
      <w:lvlJc w:val="left"/>
      <w:lvlText w:val="(%1)"/>
      <w:numFmt w:val="lowerLetter"/>
      <w:start w:val="1"/>
    </w:lvl>
  </w:abstractNum>
  <w:abstractNum w:abstractNumId="69">
    <w:nsid w:val="29934699"/>
    <w:multiLevelType w:val="hybridMultilevel"/>
    <w:lvl w:ilvl="0">
      <w:lvlJc w:val="left"/>
      <w:lvlText w:val="(%1)"/>
      <w:numFmt w:val="lowerLetter"/>
      <w:start w:val="4"/>
    </w:lvl>
  </w:abstractNum>
  <w:abstractNum w:abstractNumId="70">
    <w:nsid w:val="77485850"/>
    <w:multiLevelType w:val="hybridMultilevel"/>
    <w:lvl w:ilvl="0">
      <w:lvlJc w:val="left"/>
      <w:lvlText w:val="(%1)"/>
      <w:numFmt w:val="lowerLetter"/>
      <w:start w:val="12"/>
    </w:lvl>
  </w:abstractNum>
  <w:abstractNum w:abstractNumId="71">
    <w:nsid w:val="744939A3"/>
    <w:multiLevelType w:val="hybridMultilevel"/>
    <w:lvl w:ilvl="0">
      <w:lvlJc w:val="left"/>
      <w:lvlText w:val="(%1)"/>
      <w:numFmt w:val="lowerRoman"/>
      <w:start w:val="3"/>
    </w:lvl>
  </w:abstractNum>
  <w:abstractNum w:abstractNumId="72">
    <w:nsid w:val="4FA0D2E3"/>
    <w:multiLevelType w:val="hybridMultilevel"/>
    <w:lvl w:ilvl="0">
      <w:lvlJc w:val="left"/>
      <w:lvlText w:val="(%1)"/>
      <w:numFmt w:val="lowerLetter"/>
      <w:start w:val="1"/>
    </w:lvl>
  </w:abstractNum>
  <w:abstractNum w:abstractNumId="73">
    <w:nsid w:val="6B1D2C14"/>
    <w:multiLevelType w:val="hybridMultilevel"/>
    <w:lvl w:ilvl="0">
      <w:lvlJc w:val="left"/>
      <w:lvlText w:val="(%1)"/>
      <w:numFmt w:val="lowerRoman"/>
      <w:start w:val="1"/>
    </w:lvl>
  </w:abstractNum>
  <w:abstractNum w:abstractNumId="74">
    <w:nsid w:val="68B867D3"/>
    <w:multiLevelType w:val="hybridMultilevel"/>
    <w:lvl w:ilvl="0">
      <w:lvlJc w:val="left"/>
      <w:lvlText w:val="(%1)"/>
      <w:numFmt w:val="decimal"/>
      <w:start w:val="2"/>
    </w:lvl>
  </w:abstractNum>
  <w:abstractNum w:abstractNumId="75">
    <w:nsid w:val="3F7F5DD9"/>
    <w:multiLevelType w:val="hybridMultilevel"/>
    <w:lvl w:ilvl="0">
      <w:lvlJc w:val="left"/>
      <w:lvlText w:val="(%1)"/>
      <w:numFmt w:val="lowerRoman"/>
      <w:start w:val="2"/>
    </w:lvl>
  </w:abstractNum>
  <w:abstractNum w:abstractNumId="76">
    <w:nsid w:val="2AE05A34"/>
    <w:multiLevelType w:val="hybridMultilevel"/>
    <w:lvl w:ilvl="0">
      <w:lvlJc w:val="left"/>
      <w:lvlText w:val="(%1)"/>
      <w:numFmt w:val="lowerLetter"/>
      <w:start w:val="26"/>
    </w:lvl>
  </w:abstractNum>
  <w:abstractNum w:abstractNumId="77">
    <w:nsid w:val="32794FF7"/>
    <w:multiLevelType w:val="hybridMultilevel"/>
    <w:lvl w:ilvl="0">
      <w:lvlJc w:val="left"/>
      <w:lvlText w:val="(%1)"/>
      <w:numFmt w:val="lowerLetter"/>
      <w:start w:val="1"/>
    </w:lvl>
  </w:abstractNum>
  <w:abstractNum w:abstractNumId="78">
    <w:nsid w:val="5454945E"/>
    <w:multiLevelType w:val="hybridMultilevel"/>
    <w:lvl w:ilvl="0">
      <w:lvlJc w:val="left"/>
      <w:lvlText w:val="%1"/>
      <w:numFmt w:val="lowerLetter"/>
      <w:start w:val="1"/>
    </w:lvl>
    <w:lvl w:ilvl="1">
      <w:lvlJc w:val="left"/>
      <w:lvlText w:val="(%2)"/>
      <w:numFmt w:val="lowerLetter"/>
      <w:start w:val="1"/>
    </w:lvl>
  </w:abstractNum>
  <w:abstractNum w:abstractNumId="79">
    <w:nsid w:val="4DEFDFA0"/>
    <w:multiLevelType w:val="hybridMultilevel"/>
    <w:lvl w:ilvl="0">
      <w:lvlJc w:val="left"/>
      <w:lvlText w:val="(%1)"/>
      <w:numFmt w:val="lowerLetter"/>
      <w:start w:val="35"/>
    </w:lvl>
    <w:lvl w:ilvl="1">
      <w:lvlJc w:val="left"/>
      <w:lvlText w:val="%2"/>
      <w:numFmt w:val="lowerLetter"/>
      <w:start w:val="1"/>
    </w:lvl>
  </w:abstractNum>
  <w:abstractNum w:abstractNumId="80">
    <w:nsid w:val="2123D5F2"/>
    <w:multiLevelType w:val="hybridMultilevel"/>
    <w:lvl w:ilvl="0">
      <w:lvlJc w:val="left"/>
      <w:lvlText w:val="(%1)"/>
      <w:numFmt w:val="lowerLetter"/>
      <w:start w:val="2"/>
    </w:lvl>
  </w:abstractNum>
  <w:abstractNum w:abstractNumId="81">
    <w:nsid w:val="135B8110"/>
    <w:multiLevelType w:val="hybridMultilevel"/>
    <w:lvl w:ilvl="0">
      <w:lvlJc w:val="left"/>
      <w:lvlText w:val="%1"/>
      <w:numFmt w:val="lowerLetter"/>
      <w:start w:val="1"/>
    </w:lvl>
    <w:lvl w:ilvl="1">
      <w:lvlJc w:val="left"/>
      <w:lvlText w:val="(%2)"/>
      <w:numFmt w:val="lowerLetter"/>
      <w:start w:val="1"/>
    </w:lvl>
  </w:abstractNum>
  <w:abstractNum w:abstractNumId="82">
    <w:nsid w:val="94927A8"/>
    <w:multiLevelType w:val="hybridMultilevel"/>
    <w:lvl w:ilvl="0">
      <w:lvlJc w:val="left"/>
      <w:lvlText w:val="(%1)"/>
      <w:numFmt w:val="lowerLetter"/>
      <w:start w:val="9"/>
    </w:lvl>
    <w:lvl w:ilvl="1">
      <w:lvlJc w:val="left"/>
      <w:lvlText w:val="%2"/>
      <w:numFmt w:val="lowerLetter"/>
      <w:start w:val="1"/>
    </w:lvl>
  </w:abstractNum>
  <w:abstractNum w:abstractNumId="83">
    <w:nsid w:val="DCDF8F6"/>
    <w:multiLevelType w:val="hybridMultilevel"/>
    <w:lvl w:ilvl="0">
      <w:lvlJc w:val="left"/>
      <w:lvlText w:val="(%1)"/>
      <w:numFmt w:val="lowerLetter"/>
      <w:start w:val="1"/>
    </w:lvl>
  </w:abstractNum>
  <w:abstractNum w:abstractNumId="84">
    <w:nsid w:val="52D7B105"/>
    <w:multiLevelType w:val="hybridMultilevel"/>
    <w:lvl w:ilvl="0">
      <w:lvlJc w:val="left"/>
      <w:lvlText w:val="%1"/>
      <w:numFmt w:val="lowerLetter"/>
      <w:start w:val="1"/>
    </w:lvl>
    <w:lvl w:ilvl="1">
      <w:lvlJc w:val="left"/>
      <w:lvlText w:val="(%2)"/>
      <w:numFmt w:val="lowerLetter"/>
      <w:start w:val="1"/>
    </w:lvl>
  </w:abstractNum>
  <w:abstractNum w:abstractNumId="85">
    <w:nsid w:val="2E8A6394"/>
    <w:multiLevelType w:val="hybridMultilevel"/>
    <w:lvl w:ilvl="0">
      <w:lvlJc w:val="left"/>
      <w:lvlText w:val="(%1)"/>
      <w:numFmt w:val="lowerLetter"/>
      <w:start w:val="2"/>
    </w:lvl>
    <w:lvl w:ilvl="1">
      <w:lvlJc w:val="left"/>
      <w:lvlText w:val="%2"/>
      <w:numFmt w:val="lowerLetter"/>
      <w:start w:val="1"/>
    </w:lvl>
  </w:abstractNum>
  <w:abstractNum w:abstractNumId="86">
    <w:nsid w:val="24E60401"/>
    <w:multiLevelType w:val="hybridMultilevel"/>
    <w:lvl w:ilvl="0">
      <w:lvlJc w:val="left"/>
      <w:lvlText w:val="(%1)"/>
      <w:numFmt w:val="lowerLetter"/>
      <w:start w:val="1"/>
    </w:lvl>
  </w:abstractNum>
  <w:abstractNum w:abstractNumId="87">
    <w:nsid w:val="2A6AD9BE"/>
    <w:multiLevelType w:val="hybridMultilevel"/>
    <w:lvl w:ilvl="0">
      <w:lvlJc w:val="left"/>
      <w:lvlText w:val="(%1)"/>
      <w:numFmt w:val="upperLetter"/>
      <w:start w:val="1"/>
    </w:lvl>
  </w:abstractNum>
  <w:abstractNum w:abstractNumId="88">
    <w:nsid w:val="BAAC1B4"/>
    <w:multiLevelType w:val="hybridMultilevel"/>
    <w:lvl w:ilvl="0">
      <w:lvlJc w:val="left"/>
      <w:lvlText w:val="(%1)"/>
      <w:numFmt w:val="lowerLetter"/>
      <w:start w:val="1"/>
    </w:lvl>
  </w:abstractNum>
  <w:abstractNum w:abstractNumId="89">
    <w:nsid w:val="36B2ACBC"/>
    <w:multiLevelType w:val="hybridMultilevel"/>
    <w:lvl w:ilvl="0">
      <w:lvlJc w:val="left"/>
      <w:lvlText w:val="(%1)"/>
      <w:numFmt w:val="lowerLetter"/>
      <w:start w:val="3"/>
    </w:lvl>
  </w:abstractNum>
  <w:abstractNum w:abstractNumId="90">
    <w:nsid w:val="779D8544"/>
    <w:multiLevelType w:val="hybridMultilevel"/>
    <w:lvl w:ilvl="0">
      <w:lvlJc w:val="left"/>
      <w:lvlText w:val="(%1)"/>
      <w:numFmt w:val="lowerLetter"/>
      <w:start w:val="1"/>
    </w:lvl>
  </w:abstractNum>
  <w:abstractNum w:abstractNumId="91">
    <w:nsid w:val="4AB26E78"/>
    <w:multiLevelType w:val="hybridMultilevel"/>
    <w:lvl w:ilvl="0">
      <w:lvlJc w:val="left"/>
      <w:lvlText w:val="(%1)"/>
      <w:numFmt w:val="lowerLetter"/>
      <w:start w:val="3"/>
    </w:lvl>
  </w:abstractNum>
  <w:abstractNum w:abstractNumId="92">
    <w:nsid w:val="21FAA2FA"/>
    <w:multiLevelType w:val="hybridMultilevel"/>
    <w:lvl w:ilvl="0">
      <w:lvlJc w:val="left"/>
      <w:lvlText w:val="(%1)"/>
      <w:numFmt w:val="lowerLetter"/>
      <w:start w:val="6"/>
    </w:lvl>
  </w:abstractNum>
  <w:abstractNum w:abstractNumId="93">
    <w:nsid w:val="5451CF49"/>
    <w:multiLevelType w:val="hybridMultilevel"/>
    <w:lvl w:ilvl="0">
      <w:lvlJc w:val="left"/>
      <w:lvlText w:val="(%1)"/>
      <w:numFmt w:val="lowerLetter"/>
      <w:start w:val="61"/>
    </w:lvl>
    <w:lvl w:ilvl="1">
      <w:lvlJc w:val="left"/>
      <w:lvlText w:val="(%2)"/>
      <w:numFmt w:val="lowerLetter"/>
      <w:start w:val="8"/>
    </w:lvl>
  </w:abstractNum>
  <w:abstractNum w:abstractNumId="94">
    <w:nsid w:val="6181EF69"/>
    <w:multiLevelType w:val="hybridMultilevel"/>
    <w:lvl w:ilvl="0">
      <w:lvlJc w:val="left"/>
      <w:lvlText w:val="(%1)"/>
      <w:numFmt w:val="lowerLetter"/>
      <w:start w:val="10"/>
    </w:lvl>
  </w:abstractNum>
  <w:abstractNum w:abstractNumId="95">
    <w:nsid w:val="3E6400E6"/>
    <w:multiLevelType w:val="hybridMultilevel"/>
    <w:lvl w:ilvl="0">
      <w:lvlJc w:val="left"/>
      <w:lvlText w:val="%1"/>
      <w:numFmt w:val="lowerLetter"/>
      <w:start w:val="1"/>
    </w:lvl>
    <w:lvl w:ilvl="1">
      <w:lvlJc w:val="left"/>
      <w:lvlText w:val="(%2)"/>
      <w:numFmt w:val="lowerLetter"/>
      <w:start w:val="12"/>
    </w:lvl>
  </w:abstractNum>
  <w:abstractNum w:abstractNumId="96">
    <w:nsid w:val="14217E23"/>
    <w:multiLevelType w:val="hybridMultilevel"/>
    <w:lvl w:ilvl="0">
      <w:lvlJc w:val="left"/>
      <w:lvlText w:val="(%1)"/>
      <w:numFmt w:val="lowerLetter"/>
      <w:start w:val="9"/>
    </w:lvl>
    <w:lvl w:ilvl="1">
      <w:lvlJc w:val="left"/>
      <w:lvlText w:val="%2"/>
      <w:numFmt w:val="lowerLetter"/>
      <w:start w:val="1"/>
    </w:lvl>
  </w:abstractNum>
  <w:abstractNum w:abstractNumId="97">
    <w:nsid w:val="710757D0"/>
    <w:multiLevelType w:val="hybridMultilevel"/>
    <w:lvl w:ilvl="0">
      <w:lvlJc w:val="left"/>
      <w:lvlText w:val="%1"/>
      <w:numFmt w:val="lowerLetter"/>
      <w:start w:val="1"/>
    </w:lvl>
    <w:lvl w:ilvl="1">
      <w:lvlJc w:val="left"/>
      <w:lvlText w:val="(%2)"/>
      <w:numFmt w:val="lowerLetter"/>
      <w:start w:val="14"/>
    </w:lvl>
  </w:abstractNum>
  <w:abstractNum w:abstractNumId="98">
    <w:nsid w:val="5015CD1A"/>
    <w:multiLevelType w:val="hybridMultilevel"/>
    <w:lvl w:ilvl="0">
      <w:lvlJc w:val="left"/>
      <w:lvlText w:val="(%1)"/>
      <w:numFmt w:val="lowerLetter"/>
      <w:start w:val="35"/>
    </w:lvl>
    <w:lvl w:ilvl="1">
      <w:lvlJc w:val="left"/>
      <w:lvlText w:val="(%2)"/>
      <w:numFmt w:val="lowerLetter"/>
      <w:start w:val="15"/>
    </w:lvl>
  </w:abstractNum>
  <w:abstractNum w:abstractNumId="99">
    <w:nsid w:val="424479DA"/>
    <w:multiLevelType w:val="hybridMultilevel"/>
    <w:lvl w:ilvl="0">
      <w:lvlJc w:val="left"/>
      <w:lvlText w:val="(%1)"/>
      <w:numFmt w:val="lowerLetter"/>
      <w:start w:val="1"/>
    </w:lvl>
  </w:abstractNum>
  <w:abstractNum w:abstractNumId="100">
    <w:nsid w:val="1A9A9E69"/>
    <w:multiLevelType w:val="hybridMultilevel"/>
    <w:lvl w:ilvl="0">
      <w:lvlJc w:val="left"/>
      <w:lvlText w:val="(%1)"/>
      <w:numFmt w:val="lowerLetter"/>
      <w:start w:val="1"/>
    </w:lvl>
  </w:abstractNum>
  <w:abstractNum w:abstractNumId="101">
    <w:nsid w:val="475E256A"/>
    <w:multiLevelType w:val="hybridMultilevel"/>
    <w:lvl w:ilvl="0">
      <w:lvlJc w:val="left"/>
      <w:lvlText w:val="(%1)"/>
      <w:numFmt w:val="lowerLetter"/>
      <w:start w:val="2"/>
    </w:lvl>
    <w:lvl w:ilvl="1">
      <w:lvlJc w:val="left"/>
      <w:lvlText w:val="(%2)"/>
      <w:numFmt w:val="lowerRoman"/>
      <w:start w:val="1"/>
    </w:lvl>
  </w:abstractNum>
  <w:abstractNum w:abstractNumId="102">
    <w:nsid w:val="368DB37E"/>
    <w:multiLevelType w:val="hybridMultilevel"/>
    <w:lvl w:ilvl="0">
      <w:lvlJc w:val="left"/>
      <w:lvlText w:val="(%1)"/>
      <w:numFmt w:val="lowerLetter"/>
      <w:start w:val="4"/>
    </w:lvl>
  </w:abstractNum>
  <w:abstractNum w:abstractNumId="103">
    <w:nsid w:val="6A3B714C"/>
    <w:multiLevelType w:val="hybridMultilevel"/>
    <w:lvl w:ilvl="0">
      <w:lvlJc w:val="left"/>
      <w:lvlText w:val="(%1)"/>
      <w:numFmt w:val="lowerLetter"/>
      <w:start w:val="1"/>
    </w:lvl>
  </w:abstractNum>
  <w:abstractNum w:abstractNumId="104">
    <w:nsid w:val="327B517E"/>
    <w:multiLevelType w:val="hybridMultilevel"/>
    <w:lvl w:ilvl="0">
      <w:lvlJc w:val="left"/>
      <w:lvlText w:val="(%1)"/>
      <w:numFmt w:val="lowerLetter"/>
      <w:start w:val="1"/>
    </w:lvl>
  </w:abstractNum>
  <w:abstractNum w:abstractNumId="105">
    <w:nsid w:val="1F461B51"/>
    <w:multiLevelType w:val="hybridMultilevel"/>
    <w:lvl w:ilvl="0">
      <w:lvlJc w:val="left"/>
      <w:lvlText w:val="(%1)"/>
      <w:numFmt w:val="lowerLetter"/>
      <w:start w:val="5"/>
    </w:lvl>
  </w:abstractNum>
  <w:abstractNum w:abstractNumId="106">
    <w:nsid w:val="29BACF25"/>
    <w:multiLevelType w:val="hybridMultilevel"/>
    <w:lvl w:ilvl="0">
      <w:lvlJc w:val="left"/>
      <w:lvlText w:val="3"/>
      <w:numFmt w:val="bullet"/>
      <w:start w:val="1"/>
    </w:lvl>
  </w:abstractNum>
  <w:abstractNum w:abstractNumId="107">
    <w:nsid w:val="5D5BABB3"/>
    <w:multiLevelType w:val="hybridMultilevel"/>
    <w:lvl w:ilvl="0">
      <w:lvlJc w:val="left"/>
      <w:lvlText w:val="(%1)"/>
      <w:numFmt w:val="lowerLetter"/>
      <w:start w:val="2"/>
    </w:lvl>
  </w:abstractNum>
  <w:abstractNum w:abstractNumId="108">
    <w:nsid w:val="51BF6B48"/>
    <w:multiLevelType w:val="hybridMultilevel"/>
    <w:lvl w:ilvl="0">
      <w:lvlJc w:val="left"/>
      <w:lvlText w:val="(%1)"/>
      <w:numFmt w:val="lowerLetter"/>
      <w:start w:val="1"/>
    </w:lvl>
    <w:lvl w:ilvl="1">
      <w:lvlJc w:val="left"/>
      <w:lvlText w:val="(%2)"/>
      <w:numFmt w:val="lowerLetter"/>
      <w:start w:val="35"/>
    </w:lvl>
  </w:abstractNum>
  <w:abstractNum w:abstractNumId="109">
    <w:nsid w:val="7E0F6384"/>
    <w:multiLevelType w:val="hybridMultilevel"/>
    <w:lvl w:ilvl="0">
      <w:lvlJc w:val="left"/>
      <w:lvlText w:val="(%1)"/>
      <w:numFmt w:val="upperLetter"/>
      <w:start w:val="1"/>
    </w:lvl>
  </w:abstractNum>
  <w:abstractNum w:abstractNumId="110">
    <w:nsid w:val="2B4B8B53"/>
    <w:multiLevelType w:val="hybridMultilevel"/>
    <w:lvl w:ilvl="0">
      <w:lvlJc w:val="left"/>
      <w:lvlText w:val="(%1)"/>
      <w:numFmt w:val="decimal"/>
      <w:start w:val="2"/>
    </w:lvl>
    <w:lvl w:ilvl="1">
      <w:lvlJc w:val="left"/>
      <w:lvlText w:val="(%2)"/>
      <w:numFmt w:val="upperLetter"/>
      <w:start w:val="2"/>
    </w:lvl>
  </w:abstractNum>
  <w:abstractNum w:abstractNumId="111">
    <w:nsid w:val="72E3413A"/>
    <w:multiLevelType w:val="hybridMultilevel"/>
    <w:lvl w:ilvl="0">
      <w:lvlJc w:val="left"/>
      <w:lvlText w:val="(%1)"/>
      <w:numFmt w:val="decimal"/>
      <w:start w:val="2"/>
    </w:lvl>
  </w:abstractNum>
  <w:abstractNum w:abstractNumId="112">
    <w:nsid w:val="116AE494"/>
    <w:multiLevelType w:val="hybridMultilevel"/>
    <w:lvl w:ilvl="0">
      <w:lvlJc w:val="left"/>
      <w:lvlText w:val="(%1)"/>
      <w:numFmt w:val="upperLetter"/>
      <w:start w:val="3"/>
    </w:lvl>
  </w:abstractNum>
  <w:abstractNum w:abstractNumId="113">
    <w:nsid w:val="3494B2FB"/>
    <w:multiLevelType w:val="hybridMultilevel"/>
    <w:lvl w:ilvl="0">
      <w:lvlJc w:val="left"/>
      <w:lvlText w:val="(%1)"/>
      <w:numFmt w:val="decimal"/>
      <w:start w:val="2"/>
    </w:lvl>
  </w:abstractNum>
  <w:abstractNum w:abstractNumId="114">
    <w:nsid w:val="B13A31"/>
    <w:multiLevelType w:val="hybridMultilevel"/>
    <w:lvl w:ilvl="0">
      <w:lvlJc w:val="left"/>
      <w:lvlText w:val="(%1)"/>
      <w:numFmt w:val="decimal"/>
      <w:start w:val="3"/>
    </w:lvl>
  </w:abstractNum>
  <w:abstractNum w:abstractNumId="115">
    <w:nsid w:val="64429599"/>
    <w:multiLevelType w:val="hybridMultilevel"/>
    <w:lvl w:ilvl="0">
      <w:lvlJc w:val="left"/>
      <w:lvlText w:val="(%1)"/>
      <w:numFmt w:val="upperLetter"/>
      <w:start w:val="4"/>
    </w:lvl>
  </w:abstractNum>
  <w:abstractNum w:abstractNumId="116">
    <w:nsid w:val="631F1690"/>
    <w:multiLevelType w:val="hybridMultilevel"/>
    <w:lvl w:ilvl="0">
      <w:lvlJc w:val="left"/>
      <w:lvlText w:val="(%1)"/>
      <w:numFmt w:val="decimal"/>
      <w:start w:val="2"/>
    </w:lvl>
  </w:abstractNum>
  <w:abstractNum w:abstractNumId="117">
    <w:nsid w:val="25973E32"/>
    <w:multiLevelType w:val="hybridMultilevel"/>
    <w:lvl w:ilvl="0">
      <w:lvlJc w:val="left"/>
      <w:lvlText w:val="(%1)"/>
      <w:numFmt w:val="upperLetter"/>
      <w:start w:val="5"/>
    </w:lvl>
  </w:abstractNum>
  <w:abstractNum w:abstractNumId="118">
    <w:nsid w:val="EAD6F57"/>
    <w:multiLevelType w:val="hybridMultilevel"/>
    <w:lvl w:ilvl="0">
      <w:lvlJc w:val="left"/>
      <w:lvlText w:val="%1"/>
      <w:numFmt w:val="lowerLetter"/>
      <w:start w:val="1"/>
    </w:lvl>
    <w:lvl w:ilvl="1">
      <w:lvlJc w:val="left"/>
      <w:lvlText w:val="(%2)"/>
      <w:numFmt w:val="upperLetter"/>
      <w:start w:val="9"/>
    </w:lvl>
  </w:abstractNum>
  <w:abstractNum w:abstractNumId="119">
    <w:nsid w:val="6EC9D844"/>
    <w:multiLevelType w:val="hybridMultilevel"/>
    <w:lvl w:ilvl="0">
      <w:lvlJc w:val="left"/>
      <w:lvlText w:val="(%1)"/>
      <w:numFmt w:val="lowerLetter"/>
      <w:start w:val="2"/>
    </w:lvl>
    <w:lvl w:ilvl="1">
      <w:lvlJc w:val="left"/>
      <w:lvlText w:val="%2"/>
      <w:numFmt w:val="upperLetter"/>
      <w:start w:val="1"/>
    </w:lvl>
  </w:abstractNum>
  <w:abstractNum w:abstractNumId="120">
    <w:nsid w:val="5C49EAEE"/>
    <w:multiLevelType w:val="hybridMultilevel"/>
    <w:lvl w:ilvl="0">
      <w:lvlJc w:val="left"/>
      <w:lvlText w:val="(%1)"/>
      <w:numFmt w:val="lowerRoman"/>
      <w:start w:val="1"/>
    </w:lvl>
  </w:abstractNum>
  <w:abstractNum w:abstractNumId="121">
    <w:nsid w:val="64AF49B"/>
    <w:multiLevelType w:val="hybridMultilevel"/>
    <w:lvl w:ilvl="0">
      <w:lvlJc w:val="left"/>
      <w:lvlText w:val="(%1)"/>
      <w:numFmt w:val="lowerLetter"/>
      <w:start w:val="5"/>
    </w:lvl>
  </w:abstractNum>
  <w:abstractNum w:abstractNumId="122">
    <w:nsid w:val="397C46BC"/>
    <w:multiLevelType w:val="hybridMultilevel"/>
    <w:lvl w:ilvl="0">
      <w:lvlJc w:val="left"/>
      <w:lvlText w:val="(%1)"/>
      <w:numFmt w:val="lowerLetter"/>
      <w:start w:val="7"/>
    </w:lvl>
  </w:abstractNum>
  <w:abstractNum w:abstractNumId="123">
    <w:nsid w:val="7E448DE9"/>
    <w:multiLevelType w:val="hybridMultilevel"/>
    <w:lvl w:ilvl="0">
      <w:lvlJc w:val="left"/>
      <w:lvlText w:val="(%1)"/>
      <w:numFmt w:val="lowerLetter"/>
      <w:start w:val="1"/>
    </w:lvl>
  </w:abstractNum>
  <w:abstractNum w:abstractNumId="124">
    <w:nsid w:val="5A9CC3E5"/>
    <w:multiLevelType w:val="hybridMultilevel"/>
    <w:lvl w:ilvl="0">
      <w:lvlJc w:val="left"/>
      <w:lvlText w:val="(%1)"/>
      <w:numFmt w:val="lowerLetter"/>
      <w:start w:val="2"/>
    </w:lvl>
  </w:abstractNum>
  <w:abstractNum w:abstractNumId="125">
    <w:nsid w:val="1AFE3625"/>
    <w:multiLevelType w:val="hybridMultilevel"/>
    <w:lvl w:ilvl="0">
      <w:lvlJc w:val="left"/>
      <w:lvlText w:val="(%1)"/>
      <w:numFmt w:val="lowerLetter"/>
      <w:start w:val="1"/>
    </w:lvl>
  </w:abstractNum>
  <w:abstractNum w:abstractNumId="126">
    <w:nsid w:val="3CA88ECF"/>
    <w:multiLevelType w:val="hybridMultilevel"/>
    <w:lvl w:ilvl="0">
      <w:lvlJc w:val="left"/>
      <w:lvlText w:val="%1"/>
      <w:numFmt w:val="lowerLetter"/>
      <w:start w:val="1"/>
    </w:lvl>
    <w:lvl w:ilvl="1">
      <w:lvlJc w:val="left"/>
      <w:lvlText w:val="(%2)"/>
      <w:numFmt w:val="lowerLetter"/>
      <w:start w:val="3"/>
    </w:lvl>
  </w:abstractNum>
  <w:abstractNum w:abstractNumId="127">
    <w:nsid w:val="6EBE4208"/>
    <w:multiLevelType w:val="hybridMultilevel"/>
    <w:lvl w:ilvl="0">
      <w:lvlJc w:val="left"/>
      <w:lvlText w:val="(%1)"/>
      <w:numFmt w:val="lowerLetter"/>
      <w:start w:val="8"/>
    </w:lvl>
    <w:lvl w:ilvl="1">
      <w:lvlJc w:val="left"/>
      <w:lvlText w:val="%2"/>
      <w:numFmt w:val="lowerLetter"/>
      <w:start w:val="1"/>
    </w:lvl>
  </w:abstractNum>
  <w:abstractNum w:abstractNumId="128">
    <w:nsid w:val="C058DF5"/>
    <w:multiLevelType w:val="hybridMultilevel"/>
    <w:lvl w:ilvl="0">
      <w:lvlJc w:val="left"/>
      <w:lvlText w:val="(%1)"/>
      <w:numFmt w:val="lowerLetter"/>
      <w:start w:val="4"/>
    </w:lvl>
  </w:abstractNum>
  <w:abstractNum w:abstractNumId="129">
    <w:nsid w:val="CBE5BE9"/>
    <w:multiLevelType w:val="hybridMultilevel"/>
    <w:lvl w:ilvl="0">
      <w:lvlJc w:val="left"/>
      <w:lvlText w:val="%1"/>
      <w:numFmt w:val="lowerRoman"/>
      <w:start w:val="1"/>
    </w:lvl>
    <w:lvl w:ilvl="1">
      <w:lvlJc w:val="left"/>
      <w:lvlText w:val="(%2)"/>
      <w:numFmt w:val="lowerLetter"/>
      <w:start w:val="1"/>
    </w:lvl>
  </w:abstractNum>
  <w:abstractNum w:abstractNumId="130">
    <w:nsid w:val="3102BBE2"/>
    <w:multiLevelType w:val="hybridMultilevel"/>
    <w:lvl w:ilvl="0">
      <w:lvlJc w:val="left"/>
      <w:lvlText w:val="(%1)"/>
      <w:numFmt w:val="lowerRoman"/>
      <w:start w:val="1"/>
    </w:lvl>
    <w:lvl w:ilvl="1">
      <w:lvlJc w:val="left"/>
      <w:lvlText w:val="%2"/>
      <w:numFmt w:val="lowerLetter"/>
      <w:start w:val="1"/>
    </w:lvl>
  </w:abstractNum>
  <w:abstractNum w:abstractNumId="131">
    <w:nsid w:val="26A02C5E"/>
    <w:multiLevelType w:val="hybridMultilevel"/>
    <w:lvl w:ilvl="0">
      <w:lvlJc w:val="left"/>
      <w:lvlText w:val="(%1)"/>
      <w:numFmt w:val="lowerLetter"/>
      <w:start w:val="25"/>
    </w:lvl>
    <w:lvl w:ilvl="1">
      <w:lvlJc w:val="left"/>
      <w:lvlText w:val="(%2)"/>
      <w:numFmt w:val="lowerLetter"/>
      <w:start w:val="2"/>
    </w:lvl>
  </w:abstractNum>
  <w:abstractNum w:abstractNumId="132">
    <w:nsid w:val="541C8153"/>
    <w:multiLevelType w:val="hybridMultilevel"/>
    <w:lvl w:ilvl="0">
      <w:lvlJc w:val="left"/>
      <w:lvlText w:val="(%1)"/>
      <w:numFmt w:val="decimal"/>
      <w:start w:val="1"/>
    </w:lvl>
  </w:abstractNum>
  <w:abstractNum w:abstractNumId="133">
    <w:nsid w:val="67906F60"/>
    <w:multiLevelType w:val="hybridMultilevel"/>
    <w:lvl w:ilvl="0">
      <w:lvlJc w:val="left"/>
      <w:lvlText w:val="(%1)"/>
      <w:numFmt w:val="lowerRoman"/>
      <w:start w:val="1"/>
    </w:lvl>
  </w:abstractNum>
  <w:abstractNum w:abstractNumId="134">
    <w:nsid w:val="10DB9DAA"/>
    <w:multiLevelType w:val="hybridMultilevel"/>
    <w:lvl w:ilvl="0">
      <w:lvlJc w:val="left"/>
      <w:lvlText w:val="(%1)"/>
      <w:numFmt w:val="lowerLetter"/>
      <w:start w:val="2"/>
    </w:lvl>
  </w:abstractNum>
  <w:abstractNum w:abstractNumId="135">
    <w:nsid w:val="697D2D2"/>
    <w:multiLevelType w:val="hybridMultilevel"/>
    <w:lvl w:ilvl="0">
      <w:lvlJc w:val="left"/>
      <w:lvlText w:val="(%1)"/>
      <w:numFmt w:val="lowerLetter"/>
      <w:start w:val="5"/>
    </w:lvl>
  </w:abstractNum>
  <w:abstractNum w:abstractNumId="136">
    <w:nsid w:val="6D68AB2"/>
    <w:multiLevelType w:val="hybridMultilevel"/>
    <w:lvl w:ilvl="0">
      <w:lvlJc w:val="left"/>
      <w:lvlText w:val="(%1)"/>
      <w:numFmt w:val="lowerLetter"/>
      <w:start w:val="1"/>
    </w:lvl>
  </w:abstractNum>
  <w:abstractNum w:abstractNumId="137">
    <w:nsid w:val="3A966CD0"/>
    <w:multiLevelType w:val="hybridMultilevel"/>
    <w:lvl w:ilvl="0">
      <w:lvlJc w:val="left"/>
      <w:lvlText w:val="(%1)"/>
      <w:numFmt w:val="lowerLetter"/>
      <w:start w:val="2"/>
    </w:lvl>
  </w:abstractNum>
  <w:abstractNum w:abstractNumId="138">
    <w:nsid w:val="63F37E85"/>
    <w:multiLevelType w:val="hybridMultilevel"/>
    <w:lvl w:ilvl="0">
      <w:lvlJc w:val="left"/>
      <w:lvlText w:val="%1"/>
      <w:numFmt w:val="lowerRoman"/>
      <w:start w:val="1"/>
    </w:lvl>
    <w:lvl w:ilvl="1">
      <w:lvlJc w:val="left"/>
      <w:lvlText w:val="(%2)"/>
      <w:numFmt w:val="decimal"/>
      <w:start w:val="2"/>
    </w:lvl>
  </w:abstractNum>
  <w:abstractNum w:abstractNumId="139">
    <w:nsid w:val="5895F5FA"/>
    <w:multiLevelType w:val="hybridMultilevel"/>
    <w:lvl w:ilvl="0">
      <w:lvlJc w:val="left"/>
      <w:lvlText w:val="(%1)"/>
      <w:numFmt w:val="lowerRoman"/>
      <w:start w:val="1"/>
    </w:lvl>
    <w:lvl w:ilvl="1">
      <w:lvlJc w:val="left"/>
      <w:lvlText w:val="%2"/>
      <w:numFmt w:val="decimal"/>
      <w:start w:val="1"/>
    </w:lvl>
  </w:abstractNum>
  <w:abstractNum w:abstractNumId="140">
    <w:nsid w:val="38A5D054"/>
    <w:multiLevelType w:val="hybridMultilevel"/>
    <w:lvl w:ilvl="0">
      <w:lvlJc w:val="left"/>
      <w:lvlText w:val="(%1)"/>
      <w:numFmt w:val="lowerRoman"/>
      <w:start w:val="2"/>
    </w:lvl>
    <w:lvl w:ilvl="1">
      <w:lvlJc w:val="left"/>
      <w:lvlText w:val="(%2)"/>
      <w:numFmt w:val="upperLetter"/>
      <w:start w:val="1"/>
    </w:lvl>
  </w:abstractNum>
  <w:abstractNum w:abstractNumId="141">
    <w:nsid w:val="F3F09D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142">
    <w:nsid w:val="4B793735"/>
    <w:multiLevelType w:val="hybridMultilevel"/>
    <w:lvl w:ilvl="0">
      <w:lvlJc w:val="left"/>
      <w:lvlText w:val="(%1)"/>
      <w:numFmt w:val="decimal"/>
      <w:start w:val="3"/>
    </w:lvl>
    <w:lvl w:ilvl="1">
      <w:lvlJc w:val="left"/>
      <w:lvlText w:val="(%2)"/>
      <w:numFmt w:val="decimal"/>
      <w:start w:val="4"/>
    </w:lvl>
    <w:lvl w:ilvl="2">
      <w:lvlJc w:val="left"/>
      <w:lvlText w:val="(%3)"/>
      <w:numFmt w:val="lowerLetter"/>
      <w:start w:val="7"/>
    </w:lvl>
    <w:lvl w:ilvl="3">
      <w:lvlJc w:val="left"/>
      <w:lvlText w:val="%4"/>
      <w:numFmt w:val="lowerLetter"/>
      <w:start w:val="1"/>
    </w:lvl>
  </w:abstractNum>
  <w:abstractNum w:abstractNumId="143">
    <w:nsid w:val="4A10B4E8"/>
    <w:multiLevelType w:val="hybridMultilevel"/>
    <w:lvl w:ilvl="0">
      <w:lvlJc w:val="left"/>
      <w:lvlText w:val="(%1)"/>
      <w:numFmt w:val="lowerLetter"/>
      <w:start w:val="1"/>
    </w:lvl>
  </w:abstractNum>
  <w:abstractNum w:abstractNumId="144">
    <w:nsid w:val="43D3BCD4"/>
    <w:multiLevelType w:val="hybridMultilevel"/>
    <w:lvl w:ilvl="0">
      <w:lvlJc w:val="left"/>
      <w:lvlText w:val="(%1)"/>
      <w:numFmt w:val="lowerLetter"/>
      <w:start w:val="4"/>
    </w:lvl>
  </w:abstractNum>
  <w:abstractNum w:abstractNumId="145">
    <w:nsid w:val="4C2A7166"/>
    <w:multiLevelType w:val="hybridMultilevel"/>
    <w:lvl w:ilvl="0">
      <w:lvlJc w:val="left"/>
      <w:lvlText w:val="(%1)"/>
      <w:numFmt w:val="lowerLetter"/>
      <w:start w:val="1"/>
    </w:lvl>
  </w:abstractNum>
  <w:abstractNum w:abstractNumId="146">
    <w:nsid w:val="2E534A82"/>
    <w:multiLevelType w:val="hybridMultilevel"/>
    <w:lvl w:ilvl="0">
      <w:lvlJc w:val="left"/>
      <w:lvlText w:val="(%1)"/>
      <w:numFmt w:val="lowerLetter"/>
      <w:start w:val="1"/>
    </w:lvl>
  </w:abstractNum>
  <w:abstractNum w:abstractNumId="147">
    <w:nsid w:val="26F2D364"/>
    <w:multiLevelType w:val="hybridMultilevel"/>
    <w:lvl w:ilvl="0">
      <w:lvlJc w:val="left"/>
      <w:lvlText w:val="(%1)"/>
      <w:numFmt w:val="lowerRoman"/>
      <w:start w:val="2"/>
    </w:lvl>
  </w:abstractNum>
  <w:abstractNum w:abstractNumId="148">
    <w:nsid w:val="71C1AF98"/>
    <w:multiLevelType w:val="hybridMultilevel"/>
    <w:lvl w:ilvl="0">
      <w:lvlJc w:val="left"/>
      <w:lvlText w:val="(%1)"/>
      <w:numFmt w:val="lowerLetter"/>
      <w:start w:val="3"/>
    </w:lvl>
  </w:abstractNum>
  <w:abstractNum w:abstractNumId="149">
    <w:nsid w:val="3D00B9D9"/>
    <w:multiLevelType w:val="hybridMultilevel"/>
    <w:lvl w:ilvl="0">
      <w:lvlJc w:val="left"/>
      <w:lvlText w:val="(%1)"/>
      <w:numFmt w:val="lowerLetter"/>
      <w:start w:val="4"/>
    </w:lvl>
  </w:abstractNum>
  <w:abstractNum w:abstractNumId="150">
    <w:nsid w:val="15BCABA8"/>
    <w:multiLevelType w:val="hybridMultilevel"/>
    <w:lvl w:ilvl="0">
      <w:lvlJc w:val="left"/>
      <w:lvlText w:val="(%1)"/>
      <w:numFmt w:val="lowerLetter"/>
      <w:start w:val="1"/>
    </w:lvl>
  </w:abstractNum>
  <w:abstractNum w:abstractNumId="151">
    <w:nsid w:val="4E0B9A87"/>
    <w:multiLevelType w:val="hybridMultilevel"/>
    <w:lvl w:ilvl="0">
      <w:lvlJc w:val="left"/>
      <w:lvlText w:val="(%1)"/>
      <w:numFmt w:val="lowerLetter"/>
      <w:start w:val="2"/>
    </w:lvl>
  </w:abstractNum>
  <w:abstractNum w:abstractNumId="152">
    <w:nsid w:val="434BAE75"/>
    <w:multiLevelType w:val="hybridMultilevel"/>
    <w:lvl w:ilvl="0">
      <w:lvlJc w:val="left"/>
      <w:lvlText w:val="(%1)"/>
      <w:numFmt w:val="lowerLetter"/>
      <w:start w:val="1"/>
    </w:lvl>
    <w:lvl w:ilvl="1">
      <w:lvlJc w:val="left"/>
      <w:lvlText w:val="(%2)"/>
      <w:numFmt w:val="lowerRoman"/>
      <w:start w:val="1"/>
    </w:lvl>
  </w:abstractNum>
  <w:abstractNum w:abstractNumId="153">
    <w:nsid w:val="4F38F265"/>
    <w:multiLevelType w:val="hybridMultilevel"/>
    <w:lvl w:ilvl="0">
      <w:lvlJc w:val="left"/>
      <w:lvlText w:val="%1"/>
      <w:numFmt w:val="lowerLetter"/>
      <w:start w:val="1"/>
    </w:lvl>
    <w:lvl w:ilvl="1">
      <w:lvlJc w:val="left"/>
      <w:lvlText w:val="(%2)"/>
      <w:numFmt w:val="lowerLetter"/>
      <w:start w:val="22"/>
    </w:lvl>
  </w:abstractNum>
  <w:abstractNum w:abstractNumId="154">
    <w:nsid w:val="4C502870"/>
    <w:multiLevelType w:val="hybridMultilevel"/>
    <w:lvl w:ilvl="0">
      <w:lvlJc w:val="left"/>
      <w:lvlText w:val="(%1)"/>
      <w:numFmt w:val="lowerLetter"/>
      <w:start w:val="2"/>
    </w:lvl>
    <w:lvl w:ilvl="1">
      <w:lvlJc w:val="left"/>
      <w:lvlText w:val="%2"/>
      <w:numFmt w:val="lowerLetter"/>
      <w:start w:val="1"/>
    </w:lvl>
  </w:abstractNum>
  <w:abstractNum w:abstractNumId="155">
    <w:nsid w:val="1DE8725A"/>
    <w:multiLevelType w:val="hybridMultilevel"/>
    <w:lvl w:ilvl="0">
      <w:lvlJc w:val="left"/>
      <w:lvlText w:val="(%1)"/>
      <w:numFmt w:val="lowerLetter"/>
      <w:start w:val="1"/>
    </w:lvl>
  </w:abstractNum>
  <w:abstractNum w:abstractNumId="156">
    <w:nsid w:val="6A37288A"/>
    <w:multiLevelType w:val="hybridMultilevel"/>
    <w:lvl w:ilvl="0">
      <w:lvlJc w:val="left"/>
      <w:lvlText w:val="(%1)"/>
      <w:numFmt w:val="lowerLetter"/>
      <w:start w:val="4"/>
    </w:lvl>
  </w:abstractNum>
  <w:abstractNum w:abstractNumId="157">
    <w:nsid w:val="8F8B73F"/>
    <w:multiLevelType w:val="hybridMultilevel"/>
    <w:lvl w:ilvl="0">
      <w:lvlJc w:val="left"/>
      <w:lvlText w:val="(%1)"/>
      <w:numFmt w:val="lowerLetter"/>
      <w:start w:val="4"/>
    </w:lvl>
  </w:abstractNum>
  <w:abstractNum w:abstractNumId="158">
    <w:nsid w:val="CA6B462"/>
    <w:multiLevelType w:val="hybridMultilevel"/>
    <w:lvl w:ilvl="0">
      <w:lvlJc w:val="left"/>
      <w:lvlText w:val="(%1)"/>
      <w:numFmt w:val="lowerLetter"/>
      <w:start w:val="1"/>
    </w:lvl>
  </w:abstractNum>
  <w:abstractNum w:abstractNumId="159">
    <w:nsid w:val="763CB680"/>
    <w:multiLevelType w:val="hybridMultilevel"/>
    <w:lvl w:ilvl="0">
      <w:lvlJc w:val="left"/>
      <w:lvlText w:val="(%1)"/>
      <w:numFmt w:val="lowerLetter"/>
      <w:start w:val="1"/>
    </w:lvl>
  </w:abstractNum>
  <w:abstractNum w:abstractNumId="160">
    <w:nsid w:val="15B71329"/>
    <w:multiLevelType w:val="hybridMultilevel"/>
    <w:lvl w:ilvl="0">
      <w:lvlJc w:val="left"/>
      <w:lvlText w:val="%1"/>
      <w:numFmt w:val="lowerLetter"/>
      <w:start w:val="1"/>
    </w:lvl>
    <w:lvl w:ilvl="1">
      <w:lvlJc w:val="left"/>
      <w:lvlText w:val="(%2)"/>
      <w:numFmt w:val="lowerLetter"/>
      <w:start w:val="1"/>
    </w:lvl>
  </w:abstractNum>
  <w:abstractNum w:abstractNumId="161">
    <w:nsid w:val="3DA97044"/>
    <w:multiLevelType w:val="hybridMultilevel"/>
    <w:lvl w:ilvl="0">
      <w:lvlJc w:val="left"/>
      <w:lvlText w:val="(%1)"/>
      <w:numFmt w:val="lowerLetter"/>
      <w:start w:val="35"/>
    </w:lvl>
    <w:lvl w:ilvl="1">
      <w:lvlJc w:val="left"/>
      <w:lvlText w:val="(%2)"/>
      <w:numFmt w:val="lowerLetter"/>
      <w:start w:val="3"/>
    </w:lvl>
  </w:abstractNum>
  <w:abstractNum w:abstractNumId="162">
    <w:nsid w:val="1CDCE2DE"/>
    <w:multiLevelType w:val="hybridMultilevel"/>
    <w:lvl w:ilvl="0">
      <w:lvlJc w:val="left"/>
      <w:lvlText w:val="(%1)"/>
      <w:numFmt w:val="lowerLetter"/>
      <w:start w:val="1"/>
    </w:lvl>
  </w:abstractNum>
  <w:abstractNum w:abstractNumId="163">
    <w:nsid w:val="69D3947C"/>
    <w:multiLevelType w:val="hybridMultilevel"/>
    <w:lvl w:ilvl="0">
      <w:lvlJc w:val="left"/>
      <w:lvlText w:val="(%1)"/>
      <w:numFmt w:val="lowerLetter"/>
      <w:start w:val="1"/>
    </w:lvl>
  </w:abstractNum>
  <w:abstractNum w:abstractNumId="164">
    <w:nsid w:val="2539DFA5"/>
    <w:multiLevelType w:val="hybridMultilevel"/>
    <w:lvl w:ilvl="0">
      <w:lvlJc w:val="left"/>
      <w:lvlText w:val="(%1)"/>
      <w:numFmt w:val="lowerLetter"/>
      <w:start w:val="5"/>
    </w:lvl>
  </w:abstractNum>
  <w:abstractNum w:abstractNumId="165">
    <w:nsid w:val="2DB88089"/>
    <w:multiLevelType w:val="hybridMultilevel"/>
    <w:lvl w:ilvl="0">
      <w:lvlJc w:val="left"/>
      <w:lvlText w:val="(%1)"/>
      <w:numFmt w:val="lowerLetter"/>
      <w:start w:val="1"/>
    </w:lvl>
  </w:abstractNum>
  <w:abstractNum w:abstractNumId="166">
    <w:nsid w:val="706B674E"/>
    <w:multiLevelType w:val="hybridMultilevel"/>
    <w:lvl w:ilvl="0">
      <w:lvlJc w:val="left"/>
      <w:lvlText w:val="(%1)"/>
      <w:numFmt w:val="lowerLetter"/>
      <w:start w:val="1"/>
    </w:lvl>
  </w:abstractNum>
  <w:abstractNum w:abstractNumId="167">
    <w:nsid w:val="2C106A57"/>
    <w:multiLevelType w:val="hybridMultilevel"/>
    <w:lvl w:ilvl="0">
      <w:lvlJc w:val="left"/>
      <w:lvlText w:val="(%1)"/>
      <w:numFmt w:val="lowerLetter"/>
      <w:start w:val="2"/>
    </w:lvl>
  </w:abstractNum>
  <w:abstractNum w:abstractNumId="168">
    <w:nsid w:val="684EED59"/>
    <w:multiLevelType w:val="hybridMultilevel"/>
    <w:lvl w:ilvl="0">
      <w:lvlJc w:val="left"/>
      <w:lvlText w:val="(%1)"/>
      <w:numFmt w:val="lowerLetter"/>
      <w:start w:val="8"/>
    </w:lvl>
  </w:abstractNum>
  <w:abstractNum w:abstractNumId="169">
    <w:nsid w:val="545EE5D3"/>
    <w:multiLevelType w:val="hybridMultilevel"/>
    <w:lvl w:ilvl="0">
      <w:lvlJc w:val="left"/>
      <w:lvlText w:val="(%1)"/>
      <w:numFmt w:val="lowerLetter"/>
      <w:start w:val="1"/>
    </w:lvl>
  </w:abstractNum>
  <w:abstractNum w:abstractNumId="170">
    <w:nsid w:val="4A66051"/>
    <w:multiLevelType w:val="hybridMultilevel"/>
    <w:lvl w:ilvl="0">
      <w:lvlJc w:val="left"/>
      <w:lvlText w:val="(%1)"/>
      <w:numFmt w:val="lowerLetter"/>
      <w:start w:val="1"/>
    </w:lvl>
  </w:abstractNum>
  <w:abstractNum w:abstractNumId="171">
    <w:nsid w:val="20F4BDAD"/>
    <w:multiLevelType w:val="hybridMultilevel"/>
    <w:lvl w:ilvl="0">
      <w:lvlJc w:val="left"/>
      <w:lvlText w:val="(%1)"/>
      <w:numFmt w:val="lowerLetter"/>
      <w:start w:val="2"/>
    </w:lvl>
  </w:abstractNum>
  <w:abstractNum w:abstractNumId="172">
    <w:nsid w:val="639DEFAC"/>
    <w:multiLevelType w:val="hybridMultilevel"/>
    <w:lvl w:ilvl="0">
      <w:lvlJc w:val="left"/>
      <w:lvlText w:val="(%1)"/>
      <w:numFmt w:val="lowerLetter"/>
      <w:start w:val="1"/>
    </w:lvl>
  </w:abstractNum>
  <w:abstractNum w:abstractNumId="173">
    <w:nsid w:val="501F9786"/>
    <w:multiLevelType w:val="hybridMultilevel"/>
    <w:lvl w:ilvl="0">
      <w:lvlJc w:val="left"/>
      <w:lvlText w:val="(%1)"/>
      <w:numFmt w:val="lowerLetter"/>
      <w:start w:val="2"/>
    </w:lvl>
  </w:abstractNum>
  <w:abstractNum w:abstractNumId="174">
    <w:nsid w:val="6B057295"/>
    <w:multiLevelType w:val="hybridMultilevel"/>
    <w:lvl w:ilvl="0">
      <w:lvlJc w:val="left"/>
      <w:lvlText w:val="(%1)"/>
      <w:numFmt w:val="lowerLetter"/>
      <w:start w:val="1"/>
    </w:lvl>
  </w:abstractNum>
  <w:abstractNum w:abstractNumId="175">
    <w:nsid w:val="2771AC80"/>
    <w:multiLevelType w:val="hybridMultilevel"/>
    <w:lvl w:ilvl="0">
      <w:lvlJc w:val="left"/>
      <w:lvlText w:val="(%1)"/>
      <w:numFmt w:val="lowerLetter"/>
      <w:start w:val="2"/>
    </w:lvl>
  </w:abstractNum>
  <w:abstractNum w:abstractNumId="176">
    <w:nsid w:val="1C4A08EC"/>
    <w:multiLevelType w:val="hybridMultilevel"/>
    <w:lvl w:ilvl="0">
      <w:lvlJc w:val="left"/>
      <w:lvlText w:val="(%1)"/>
      <w:numFmt w:val="lowerLetter"/>
      <w:start w:val="1"/>
    </w:lvl>
  </w:abstractNum>
  <w:abstractNum w:abstractNumId="177">
    <w:nsid w:val="1958BD17"/>
    <w:multiLevelType w:val="hybridMultilevel"/>
    <w:lvl w:ilvl="0">
      <w:lvlJc w:val="left"/>
      <w:lvlText w:val="(%1)"/>
      <w:numFmt w:val="lowerLetter"/>
      <w:start w:val="1"/>
    </w:lvl>
  </w:abstractNum>
  <w:abstractNum w:abstractNumId="178">
    <w:nsid w:val="4E647FE4"/>
    <w:multiLevelType w:val="hybridMultilevel"/>
    <w:lvl w:ilvl="0">
      <w:lvlJc w:val="left"/>
      <w:lvlText w:val="%1"/>
      <w:numFmt w:val="lowerRoman"/>
      <w:start w:val="1"/>
    </w:lvl>
    <w:lvl w:ilvl="1">
      <w:lvlJc w:val="left"/>
      <w:lvlText w:val="(%2)"/>
      <w:numFmt w:val="lowerRoman"/>
      <w:start w:val="1"/>
    </w:lvl>
  </w:abstractNum>
  <w:abstractNum w:abstractNumId="179">
    <w:nsid w:val="E0BB885"/>
    <w:multiLevelType w:val="hybridMultilevel"/>
    <w:lvl w:ilvl="0">
      <w:lvlJc w:val="left"/>
      <w:lvlText w:val="(%1)"/>
      <w:numFmt w:val="lowerRoman"/>
      <w:start w:val="3"/>
    </w:lvl>
    <w:lvl w:ilvl="1">
      <w:lvlJc w:val="left"/>
      <w:lvlText w:val="%2"/>
      <w:numFmt w:val="lowerRoman"/>
      <w:start w:val="1"/>
    </w:lvl>
  </w:abstractNum>
  <w:abstractNum w:abstractNumId="180">
    <w:nsid w:val="565976F1"/>
    <w:multiLevelType w:val="hybridMultilevel"/>
    <w:lvl w:ilvl="0">
      <w:lvlJc w:val="left"/>
      <w:lvlText w:val="(%1)"/>
      <w:numFmt w:val="lowerRoman"/>
      <w:start w:val="8"/>
    </w:lvl>
  </w:abstractNum>
  <w:abstractNum w:abstractNumId="181">
    <w:nsid w:val="64212B8C"/>
    <w:multiLevelType w:val="hybridMultilevel"/>
    <w:lvl w:ilvl="0">
      <w:lvlJc w:val="left"/>
      <w:lvlText w:val="%1"/>
      <w:numFmt w:val="upperLetter"/>
      <w:start w:val="1"/>
    </w:lvl>
    <w:lvl w:ilvl="1">
      <w:lvlJc w:val="left"/>
      <w:lvlText w:val="(%2)"/>
      <w:numFmt w:val="lowerRoman"/>
      <w:start w:val="9"/>
    </w:lvl>
  </w:abstractNum>
  <w:abstractNum w:abstractNumId="182">
    <w:nsid w:val="5C17530C"/>
    <w:multiLevelType w:val="hybridMultilevel"/>
    <w:lvl w:ilvl="0">
      <w:lvlJc w:val="left"/>
      <w:lvlText w:val="(%1)"/>
      <w:numFmt w:val="upperLetter"/>
      <w:start w:val="24"/>
    </w:lvl>
    <w:lvl w:ilvl="1">
      <w:lvlJc w:val="left"/>
      <w:lvlText w:val="%2"/>
      <w:numFmt w:val="lowerRoman"/>
      <w:start w:val="1"/>
    </w:lvl>
  </w:abstractNum>
  <w:abstractNum w:abstractNumId="183">
    <w:nsid w:val="19A52566"/>
    <w:multiLevelType w:val="hybridMultilevel"/>
    <w:lvl w:ilvl="0">
      <w:lvlJc w:val="left"/>
      <w:lvlText w:val="(%1)"/>
      <w:numFmt w:val="lowerRoman"/>
      <w:start w:val="10"/>
    </w:lvl>
  </w:abstractNum>
  <w:abstractNum w:abstractNumId="184">
    <w:nsid w:val="335A1DF1"/>
    <w:multiLevelType w:val="hybridMultilevel"/>
    <w:lvl w:ilvl="0">
      <w:lvlJc w:val="left"/>
      <w:lvlText w:val="(%1)"/>
      <w:numFmt w:val="lowerRoman"/>
      <w:start w:val="16"/>
    </w:lvl>
  </w:abstractNum>
  <w:abstractNum w:abstractNumId="185">
    <w:nsid w:val="28677B7C"/>
    <w:multiLevelType w:val="hybridMultilevel"/>
    <w:lvl w:ilvl="0">
      <w:lvlJc w:val="left"/>
      <w:lvlText w:val="(%1)"/>
      <w:numFmt w:val="lowerRoman"/>
      <w:start w:val="19"/>
    </w:lvl>
  </w:abstractNum>
  <w:abstractNum w:abstractNumId="186">
    <w:nsid w:val="378D97C0"/>
    <w:multiLevelType w:val="hybridMultilevel"/>
    <w:lvl w:ilvl="0">
      <w:lvlJc w:val="left"/>
      <w:lvlText w:val="(%1)"/>
      <w:numFmt w:val="lowerRoman"/>
      <w:start w:val="29"/>
    </w:lvl>
    <w:lvl w:ilvl="1">
      <w:lvlJc w:val="left"/>
      <w:lvlText w:val="(%2)"/>
      <w:numFmt w:val="lowerLetter"/>
      <w:start w:val="2"/>
    </w:lvl>
  </w:abstractNum>
  <w:abstractNum w:abstractNumId="187">
    <w:nsid w:val="1D91467C"/>
    <w:multiLevelType w:val="hybridMultilevel"/>
    <w:lvl w:ilvl="0">
      <w:lvlJc w:val="left"/>
      <w:lvlText w:val="(%1)"/>
      <w:numFmt w:val="lowerRoman"/>
      <w:start w:val="1"/>
    </w:lvl>
  </w:abstractNum>
  <w:abstractNum w:abstractNumId="188">
    <w:nsid w:val="316032BB"/>
    <w:multiLevelType w:val="hybridMultilevel"/>
    <w:lvl w:ilvl="0">
      <w:lvlJc w:val="left"/>
      <w:lvlText w:val="%1"/>
      <w:numFmt w:val="upperLetter"/>
      <w:start w:val="1"/>
    </w:lvl>
    <w:lvl w:ilvl="1">
      <w:lvlJc w:val="left"/>
      <w:lvlText w:val="(%2)"/>
      <w:numFmt w:val="lowerRoman"/>
      <w:start w:val="5"/>
    </w:lvl>
  </w:abstractNum>
  <w:abstractNum w:abstractNumId="189">
    <w:nsid w:val="44344C22"/>
    <w:multiLevelType w:val="hybridMultilevel"/>
    <w:lvl w:ilvl="0">
      <w:lvlJc w:val="left"/>
      <w:lvlText w:val="(%1)"/>
      <w:numFmt w:val="upperLetter"/>
      <w:start w:val="2"/>
    </w:lvl>
    <w:lvl w:ilvl="1">
      <w:lvlJc w:val="left"/>
      <w:lvlText w:val="(%2)"/>
      <w:numFmt w:val="lowerRoman"/>
      <w:start w:val="6"/>
    </w:lvl>
  </w:abstractNum>
  <w:abstractNum w:abstractNumId="190">
    <w:nsid w:val="13CDFCFC"/>
    <w:multiLevelType w:val="hybridMultilevel"/>
    <w:lvl w:ilvl="0">
      <w:lvlJc w:val="left"/>
      <w:lvlText w:val="(%1)"/>
      <w:numFmt w:val="lowerRoman"/>
      <w:start w:val="15"/>
    </w:lvl>
  </w:abstractNum>
  <w:abstractNum w:abstractNumId="191">
    <w:nsid w:val="471745E4"/>
    <w:multiLevelType w:val="hybridMultilevel"/>
    <w:lvl w:ilvl="0">
      <w:lvlJc w:val="left"/>
      <w:lvlText w:val="(%1)"/>
      <w:numFmt w:val="lowerLetter"/>
      <w:start w:val="1"/>
    </w:lvl>
    <w:lvl w:ilvl="1">
      <w:lvlJc w:val="left"/>
      <w:lvlText w:val="(%2)"/>
      <w:numFmt w:val="lowerRoman"/>
      <w:start w:val="1"/>
    </w:lvl>
  </w:abstractNum>
  <w:abstractNum w:abstractNumId="192">
    <w:nsid w:val="1DDBC66"/>
    <w:multiLevelType w:val="hybridMultilevel"/>
    <w:lvl w:ilvl="0">
      <w:lvlJc w:val="left"/>
      <w:lvlText w:val="%1"/>
      <w:numFmt w:val="lowerLetter"/>
      <w:start w:val="1"/>
    </w:lvl>
    <w:lvl w:ilvl="1">
      <w:lvlJc w:val="left"/>
      <w:lvlText w:val="(%2)"/>
      <w:numFmt w:val="lowerRoman"/>
      <w:start w:val="5"/>
    </w:lvl>
  </w:abstractNum>
  <w:abstractNum w:abstractNumId="193">
    <w:nsid w:val="30AADFDA"/>
    <w:multiLevelType w:val="hybridMultilevel"/>
    <w:lvl w:ilvl="0">
      <w:lvlJc w:val="left"/>
      <w:lvlText w:val="(%1)"/>
      <w:numFmt w:val="lowerLetter"/>
      <w:start w:val="2"/>
    </w:lvl>
    <w:lvl w:ilvl="1">
      <w:lvlJc w:val="left"/>
      <w:lvlText w:val="%2"/>
      <w:numFmt w:val="lowerRoman"/>
      <w:start w:val="1"/>
    </w:lvl>
  </w:abstractNum>
  <w:abstractNum w:abstractNumId="194">
    <w:nsid w:val="30EADA61"/>
    <w:multiLevelType w:val="hybridMultilevel"/>
    <w:lvl w:ilvl="0">
      <w:lvlJc w:val="left"/>
      <w:lvlText w:val="%1"/>
      <w:numFmt w:val="lowerLetter"/>
      <w:start w:val="1"/>
    </w:lvl>
    <w:lvl w:ilvl="1">
      <w:lvlJc w:val="left"/>
      <w:lvlText w:val="(%2)"/>
      <w:numFmt w:val="lowerLetter"/>
      <w:start w:val="1"/>
    </w:lvl>
  </w:abstractNum>
  <w:abstractNum w:abstractNumId="195">
    <w:nsid w:val="27179C0B"/>
    <w:multiLevelType w:val="hybridMultilevel"/>
    <w:lvl w:ilvl="0">
      <w:lvlJc w:val="left"/>
      <w:lvlText w:val="(%1)"/>
      <w:numFmt w:val="lowerLetter"/>
      <w:start w:val="61"/>
    </w:lvl>
    <w:lvl w:ilvl="1">
      <w:lvlJc w:val="left"/>
      <w:lvlText w:val="(%2)"/>
      <w:numFmt w:val="lowerLetter"/>
      <w:start w:val="3"/>
    </w:lvl>
  </w:abstractNum>
  <w:abstractNum w:abstractNumId="196">
    <w:nsid w:val="5E636063"/>
    <w:multiLevelType w:val="hybridMultilevel"/>
    <w:lvl w:ilvl="0">
      <w:lvlJc w:val="left"/>
      <w:lvlText w:val="%1"/>
      <w:numFmt w:val="lowerLetter"/>
      <w:start w:val="1"/>
    </w:lvl>
    <w:lvl w:ilvl="1">
      <w:lvlJc w:val="left"/>
      <w:lvlText w:val="(%2)"/>
      <w:numFmt w:val="lowerLetter"/>
      <w:start w:val="4"/>
    </w:lvl>
  </w:abstractNum>
  <w:abstractNum w:abstractNumId="197">
    <w:nsid w:val="215641AF"/>
    <w:multiLevelType w:val="hybridMultilevel"/>
    <w:lvl w:ilvl="0">
      <w:lvlJc w:val="left"/>
      <w:lvlText w:val="(%1)"/>
      <w:numFmt w:val="lowerLetter"/>
      <w:start w:val="24"/>
    </w:lvl>
    <w:lvl w:ilvl="1">
      <w:lvlJc w:val="left"/>
      <w:lvlText w:val="(%2)"/>
      <w:numFmt w:val="lowerLetter"/>
      <w:start w:val="14"/>
    </w:lvl>
  </w:abstractNum>
  <w:abstractNum w:abstractNumId="198">
    <w:nsid w:val="53280662"/>
    <w:multiLevelType w:val="hybridMultilevel"/>
    <w:lvl w:ilvl="0">
      <w:lvlJc w:val="left"/>
      <w:lvlText w:val="%1"/>
      <w:numFmt w:val="upperLetter"/>
      <w:start w:val="1"/>
    </w:lvl>
    <w:lvl w:ilvl="1">
      <w:lvlJc w:val="left"/>
      <w:lvlText w:val="(%2)"/>
      <w:numFmt w:val="lowerLetter"/>
      <w:start w:val="15"/>
    </w:lvl>
  </w:abstractNum>
  <w:abstractNum w:abstractNumId="199">
    <w:nsid w:val="46B24DBC"/>
    <w:multiLevelType w:val="hybridMultilevel"/>
    <w:lvl w:ilvl="0">
      <w:lvlJc w:val="left"/>
      <w:lvlText w:val="(%1)"/>
      <w:numFmt w:val="upperLetter"/>
      <w:start w:val="2"/>
    </w:lvl>
    <w:lvl w:ilvl="1">
      <w:lvlJc w:val="left"/>
      <w:lvlText w:val="(%2)"/>
      <w:numFmt w:val="lowerLetter"/>
      <w:start w:val="19"/>
    </w:lvl>
  </w:abstractNum>
  <w:abstractNum w:abstractNumId="200">
    <w:nsid w:val="75B52783"/>
    <w:multiLevelType w:val="hybridMultilevel"/>
    <w:lvl w:ilvl="0">
      <w:lvlJc w:val="left"/>
      <w:lvlText w:val="(%1)"/>
      <w:numFmt w:val="lowerLetter"/>
      <w:start w:val="27"/>
    </w:lvl>
  </w:abstractNum>
  <w:abstractNum w:abstractNumId="201">
    <w:nsid w:val="57CE66B4"/>
    <w:multiLevelType w:val="hybridMultilevel"/>
    <w:lvl w:ilvl="0">
      <w:lvlJc w:val="left"/>
      <w:lvlText w:val="(%1)"/>
      <w:numFmt w:val="lowerLetter"/>
      <w:start w:val="1"/>
    </w:lvl>
  </w:abstractNum>
  <w:abstractNum w:abstractNumId="202">
    <w:nsid w:val="67A70B69"/>
    <w:multiLevelType w:val="hybridMultilevel"/>
    <w:lvl w:ilvl="0">
      <w:lvlJc w:val="left"/>
      <w:lvlText w:val="(%1)"/>
      <w:numFmt w:val="lowerLetter"/>
      <w:start w:val="11"/>
    </w:lvl>
  </w:abstractNum>
  <w:abstractNum w:abstractNumId="203">
    <w:nsid w:val="5953172F"/>
    <w:multiLevelType w:val="hybridMultilevel"/>
    <w:lvl w:ilvl="0">
      <w:lvlJc w:val="left"/>
      <w:lvlText w:val="(%1)"/>
      <w:numFmt w:val="lowerLetter"/>
      <w:start w:val="17"/>
    </w:lvl>
  </w:abstractNum>
  <w:abstractNum w:abstractNumId="204">
    <w:nsid w:val="27EDFE3A"/>
    <w:multiLevelType w:val="hybridMultilevel"/>
    <w:lvl w:ilvl="0">
      <w:lvlJc w:val="left"/>
      <w:lvlText w:val="(%1)"/>
      <w:numFmt w:val="lowerLetter"/>
      <w:start w:val="1"/>
    </w:lvl>
    <w:lvl w:ilvl="1">
      <w:lvlJc w:val="left"/>
      <w:lvlText w:val="(%2)"/>
      <w:numFmt w:val="lowerRoman"/>
      <w:start w:val="1"/>
    </w:lvl>
  </w:abstractNum>
  <w:abstractNum w:abstractNumId="205">
    <w:nsid w:val="52AC7DFF"/>
    <w:multiLevelType w:val="hybridMultilevel"/>
    <w:lvl w:ilvl="0">
      <w:lvlJc w:val="left"/>
      <w:lvlText w:val="(%1)"/>
      <w:numFmt w:val="lowerRoman"/>
      <w:start w:val="6"/>
    </w:lvl>
  </w:abstractNum>
  <w:abstractNum w:abstractNumId="206">
    <w:nsid w:val="C4C3AF"/>
    <w:multiLevelType w:val="hybridMultilevel"/>
    <w:lvl w:ilvl="0">
      <w:lvlJc w:val="left"/>
      <w:lvlText w:val="(%1)"/>
      <w:numFmt w:val="lowerLetter"/>
      <w:start w:val="2"/>
    </w:lvl>
  </w:abstractNum>
  <w:abstractNum w:abstractNumId="207">
    <w:nsid w:val="44380727"/>
    <w:multiLevelType w:val="hybridMultilevel"/>
    <w:lvl w:ilvl="0">
      <w:lvlJc w:val="left"/>
      <w:lvlText w:val="(%1)"/>
      <w:numFmt w:val="lowerLetter"/>
      <w:start w:val="1"/>
    </w:lvl>
  </w:abstractNum>
  <w:abstractNum w:abstractNumId="208">
    <w:nsid w:val="6C053B16"/>
    <w:multiLevelType w:val="hybridMultilevel"/>
    <w:lvl w:ilvl="0">
      <w:lvlJc w:val="left"/>
      <w:lvlText w:val="(%1)"/>
      <w:numFmt w:val="lowerLetter"/>
      <w:start w:val="2"/>
    </w:lvl>
  </w:abstractNum>
  <w:abstractNum w:abstractNumId="209">
    <w:nsid w:val="4F294393"/>
    <w:multiLevelType w:val="hybridMultilevel"/>
    <w:lvl w:ilvl="0">
      <w:lvlJc w:val="left"/>
      <w:lvlText w:val="(%1)"/>
      <w:numFmt w:val="lowerLetter"/>
      <w:start w:val="1"/>
    </w:lvl>
  </w:abstractNum>
  <w:abstractNum w:abstractNumId="210">
    <w:nsid w:val="5243BFAC"/>
    <w:multiLevelType w:val="hybridMultilevel"/>
    <w:lvl w:ilvl="0">
      <w:lvlJc w:val="left"/>
      <w:lvlText w:val="(%1)"/>
      <w:numFmt w:val="lowerLetter"/>
      <w:start w:val="4"/>
    </w:lvl>
  </w:abstractNum>
  <w:abstractNum w:abstractNumId="211">
    <w:nsid w:val="425EB207"/>
    <w:multiLevelType w:val="hybridMultilevel"/>
    <w:lvl w:ilvl="0">
      <w:lvlJc w:val="left"/>
      <w:lvlText w:val="(%1)"/>
      <w:numFmt w:val="lowerLetter"/>
      <w:start w:val="5"/>
    </w:lvl>
  </w:abstractNum>
  <w:abstractNum w:abstractNumId="212">
    <w:nsid w:val="334A6F1F"/>
    <w:multiLevelType w:val="hybridMultilevel"/>
    <w:lvl w:ilvl="0">
      <w:lvlJc w:val="left"/>
      <w:lvlText w:val="(%1)"/>
      <w:numFmt w:val="lowerLetter"/>
      <w:start w:val="9"/>
    </w:lvl>
  </w:abstractNum>
  <w:abstractNum w:abstractNumId="213">
    <w:nsid w:val="2E5B12B8"/>
    <w:multiLevelType w:val="hybridMultilevel"/>
    <w:lvl w:ilvl="0">
      <w:lvlJc w:val="left"/>
      <w:lvlText w:val="(%1)"/>
      <w:numFmt w:val="lowerLetter"/>
      <w:start w:val="1"/>
    </w:lvl>
    <w:lvl w:ilvl="1">
      <w:lvlJc w:val="left"/>
      <w:lvlText w:val="(%2)"/>
      <w:numFmt w:val="lowerRoman"/>
      <w:start w:val="1"/>
    </w:lvl>
  </w:abstractNum>
  <w:abstractNum w:abstractNumId="214">
    <w:nsid w:val="5C03D76D"/>
    <w:multiLevelType w:val="hybridMultilevel"/>
    <w:lvl w:ilvl="0">
      <w:lvlJc w:val="left"/>
      <w:lvlText w:val="(%1)"/>
      <w:numFmt w:val="lowerLetter"/>
      <w:start w:val="2"/>
    </w:lvl>
  </w:abstractNum>
  <w:abstractNum w:abstractNumId="215">
    <w:nsid w:val="66A48D11"/>
    <w:multiLevelType w:val="hybridMultilevel"/>
    <w:lvl w:ilvl="0">
      <w:lvlJc w:val="left"/>
      <w:lvlText w:val="(%1)"/>
      <w:numFmt w:val="lowerLetter"/>
      <w:start w:val="1"/>
    </w:lvl>
  </w:abstractNum>
  <w:abstractNum w:abstractNumId="216">
    <w:nsid w:val="56C28E34"/>
    <w:multiLevelType w:val="hybridMultilevel"/>
    <w:lvl w:ilvl="0">
      <w:lvlJc w:val="left"/>
      <w:lvlText w:val="(%1)"/>
      <w:numFmt w:val="lowerLetter"/>
      <w:start w:val="1"/>
    </w:lvl>
  </w:abstractNum>
  <w:abstractNum w:abstractNumId="217">
    <w:nsid w:val="13916F2D"/>
    <w:multiLevelType w:val="hybridMultilevel"/>
    <w:lvl w:ilvl="0">
      <w:lvlJc w:val="left"/>
      <w:lvlText w:val="(%1)"/>
      <w:numFmt w:val="lowerLetter"/>
      <w:start w:val="1"/>
    </w:lvl>
  </w:abstractNum>
  <w:abstractNum w:abstractNumId="218">
    <w:nsid w:val="435D38D"/>
    <w:multiLevelType w:val="hybridMultilevel"/>
    <w:lvl w:ilvl="0">
      <w:lvlJc w:val="left"/>
      <w:lvlText w:val="(%1)"/>
      <w:numFmt w:val="lowerLetter"/>
      <w:start w:val="1"/>
    </w:lvl>
  </w:abstractNum>
  <w:abstractNum w:abstractNumId="219">
    <w:nsid w:val="822C0EF"/>
    <w:multiLevelType w:val="hybridMultilevel"/>
    <w:lvl w:ilvl="0">
      <w:lvlJc w:val="left"/>
      <w:lvlText w:val="(%1)"/>
      <w:numFmt w:val="lowerRoman"/>
      <w:start w:val="1"/>
    </w:lvl>
  </w:abstractNum>
  <w:abstractNum w:abstractNumId="220">
    <w:nsid w:val="57C5BB4F"/>
    <w:multiLevelType w:val="hybridMultilevel"/>
    <w:lvl w:ilvl="0">
      <w:lvlJc w:val="left"/>
      <w:lvlText w:val="%1"/>
      <w:numFmt w:val="lowerLetter"/>
      <w:start w:val="1"/>
    </w:lvl>
    <w:lvl w:ilvl="1">
      <w:lvlJc w:val="left"/>
      <w:lvlText w:val="(%2)"/>
      <w:numFmt w:val="lowerRoman"/>
      <w:start w:val="4"/>
    </w:lvl>
  </w:abstractNum>
  <w:abstractNum w:abstractNumId="221">
    <w:nsid w:val="1803D089"/>
    <w:multiLevelType w:val="hybridMultilevel"/>
    <w:lvl w:ilvl="0">
      <w:lvlJc w:val="left"/>
      <w:lvlText w:val="(%1)"/>
      <w:numFmt w:val="lowerLetter"/>
      <w:start w:val="2"/>
    </w:lvl>
    <w:lvl w:ilvl="1">
      <w:lvlJc w:val="left"/>
      <w:lvlText w:val="%2"/>
      <w:numFmt w:val="lowerRoman"/>
      <w:start w:val="1"/>
    </w:lvl>
  </w:abstractNum>
  <w:abstractNum w:abstractNumId="222">
    <w:nsid w:val="4F3A06D4"/>
    <w:multiLevelType w:val="hybridMultilevel"/>
    <w:lvl w:ilvl="0">
      <w:lvlJc w:val="left"/>
      <w:lvlText w:val="(%1)"/>
      <w:numFmt w:val="lowerLetter"/>
      <w:start w:val="1"/>
    </w:lvl>
  </w:abstractNum>
  <w:abstractNum w:abstractNumId="223">
    <w:nsid w:val="59A377B6"/>
    <w:multiLevelType w:val="hybridMultilevel"/>
    <w:lvl w:ilvl="0">
      <w:lvlJc w:val="left"/>
      <w:lvlText w:val="(%1)"/>
      <w:numFmt w:val="lowerLetter"/>
      <w:start w:val="2"/>
    </w:lvl>
  </w:abstractNum>
  <w:abstractNum w:abstractNumId="224">
    <w:nsid w:val="48AEB063"/>
    <w:multiLevelType w:val="hybridMultilevel"/>
    <w:lvl w:ilvl="0">
      <w:lvlJc w:val="left"/>
      <w:lvlText w:val="(%1)"/>
      <w:numFmt w:val="lowerLetter"/>
      <w:start w:val="3"/>
    </w:lvl>
  </w:abstractNum>
  <w:abstractNum w:abstractNumId="225">
    <w:nsid w:val="24E135"/>
    <w:multiLevelType w:val="hybridMultilevel"/>
    <w:lvl w:ilvl="0">
      <w:lvlJc w:val="left"/>
      <w:lvlText w:val="(%1)"/>
      <w:numFmt w:val="lowerLetter"/>
      <w:start w:val="1"/>
    </w:lvl>
  </w:abstractNum>
  <w:abstractNum w:abstractNumId="226">
    <w:nsid w:val="BB13C1"/>
    <w:multiLevelType w:val="hybridMultilevel"/>
    <w:lvl w:ilvl="0">
      <w:lvlJc w:val="left"/>
      <w:lvlText w:val="%1"/>
      <w:numFmt w:val="lowerRoman"/>
      <w:start w:val="1"/>
    </w:lvl>
    <w:lvl w:ilvl="1">
      <w:lvlJc w:val="left"/>
      <w:lvlText w:val="(%2)"/>
      <w:numFmt w:val="lowerLetter"/>
      <w:start w:val="2"/>
    </w:lvl>
  </w:abstractNum>
  <w:abstractNum w:abstractNumId="227">
    <w:nsid w:val="271210C7"/>
    <w:multiLevelType w:val="hybridMultilevel"/>
    <w:lvl w:ilvl="0">
      <w:lvlJc w:val="left"/>
      <w:lvlText w:val="(%1)"/>
      <w:numFmt w:val="lowerRoman"/>
      <w:start w:val="7"/>
    </w:lvl>
    <w:lvl w:ilvl="1">
      <w:lvlJc w:val="left"/>
      <w:lvlText w:val="%2"/>
      <w:numFmt w:val="lowerLetter"/>
      <w:start w:val="1"/>
    </w:lvl>
  </w:abstractNum>
  <w:abstractNum w:abstractNumId="228">
    <w:nsid w:val="217B22E4"/>
    <w:multiLevelType w:val="hybridMultilevel"/>
    <w:lvl w:ilvl="0">
      <w:lvlJc w:val="left"/>
      <w:lvlText w:val="(%1)"/>
      <w:numFmt w:val="lowerLetter"/>
      <w:start w:val="3"/>
    </w:lvl>
  </w:abstractNum>
  <w:abstractNum w:abstractNumId="229">
    <w:nsid w:val="53E31A24"/>
    <w:multiLevelType w:val="hybridMultilevel"/>
    <w:lvl w:ilvl="0">
      <w:lvlJc w:val="left"/>
      <w:lvlText w:val="(%1)"/>
      <w:numFmt w:val="lowerLetter"/>
      <w:start w:val="4"/>
    </w:lvl>
  </w:abstractNum>
  <w:abstractNum w:abstractNumId="230">
    <w:nsid w:val="6DC45E83"/>
    <w:multiLevelType w:val="hybridMultilevel"/>
    <w:lvl w:ilvl="0">
      <w:lvlJc w:val="left"/>
      <w:lvlText w:val="(%1)"/>
      <w:numFmt w:val="lowerLetter"/>
      <w:start w:val="1"/>
    </w:lvl>
  </w:abstractNum>
  <w:abstractNum w:abstractNumId="231">
    <w:nsid w:val="17304A67"/>
    <w:multiLevelType w:val="hybridMultilevel"/>
    <w:lvl w:ilvl="0">
      <w:lvlJc w:val="left"/>
      <w:lvlText w:val="(%1)"/>
      <w:numFmt w:val="lowerLetter"/>
      <w:start w:val="61"/>
    </w:lvl>
    <w:lvl w:ilvl="1">
      <w:lvlJc w:val="left"/>
      <w:lvlText w:val="(%2)"/>
      <w:numFmt w:val="lowerLetter"/>
      <w:start w:val="2"/>
    </w:lvl>
  </w:abstractNum>
  <w:abstractNum w:abstractNumId="232">
    <w:nsid w:val="2BB180D8"/>
    <w:multiLevelType w:val="hybridMultilevel"/>
    <w:lvl w:ilvl="0">
      <w:lvlJc w:val="left"/>
      <w:lvlText w:val="(%1)"/>
      <w:numFmt w:val="lowerLetter"/>
      <w:start w:val="3"/>
    </w:lvl>
  </w:abstractNum>
  <w:abstractNum w:abstractNumId="233">
    <w:nsid w:val="556B69ED"/>
    <w:multiLevelType w:val="hybridMultilevel"/>
    <w:lvl w:ilvl="0">
      <w:lvlJc w:val="left"/>
      <w:lvlText w:val="(%1)"/>
      <w:numFmt w:val="lowerLetter"/>
      <w:start w:val="7"/>
    </w:lvl>
  </w:abstractNum>
  <w:abstractNum w:abstractNumId="234">
    <w:nsid w:val="70836196"/>
    <w:multiLevelType w:val="hybridMultilevel"/>
    <w:lvl w:ilvl="0">
      <w:lvlJc w:val="left"/>
      <w:lvlText w:val="%1"/>
      <w:numFmt w:val="lowerLetter"/>
      <w:start w:val="1"/>
    </w:lvl>
    <w:lvl w:ilvl="1">
      <w:lvlJc w:val="left"/>
      <w:lvlText w:val="(%2)"/>
      <w:numFmt w:val="lowerLetter"/>
      <w:start w:val="1"/>
    </w:lvl>
  </w:abstractNum>
  <w:abstractNum w:abstractNumId="235">
    <w:nsid w:val="539F7F12"/>
    <w:multiLevelType w:val="hybridMultilevel"/>
    <w:lvl w:ilvl="0">
      <w:lvlJc w:val="left"/>
      <w:lvlText w:val="(%1)"/>
      <w:numFmt w:val="lowerLetter"/>
      <w:start w:val="23"/>
    </w:lvl>
    <w:lvl w:ilvl="1">
      <w:lvlJc w:val="left"/>
      <w:lvlText w:val="%2"/>
      <w:numFmt w:val="lowerLetter"/>
      <w:start w:val="1"/>
    </w:lvl>
  </w:abstractNum>
  <w:abstractNum w:abstractNumId="236">
    <w:nsid w:val="2817E7EC"/>
    <w:multiLevelType w:val="hybridMultilevel"/>
    <w:lvl w:ilvl="0">
      <w:lvlJc w:val="left"/>
      <w:lvlText w:val="(%1)"/>
      <w:numFmt w:val="lowerRoman"/>
      <w:start w:val="2"/>
    </w:lvl>
  </w:abstractNum>
  <w:abstractNum w:abstractNumId="237">
    <w:nsid w:val="7148254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38">
    <w:nsid w:val="17D7863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39">
    <w:nsid w:val="141D23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40">
    <w:nsid w:val="407168D8"/>
    <w:multiLevelType w:val="hybridMultilevel"/>
    <w:lvl w:ilvl="0">
      <w:lvlJc w:val="left"/>
      <w:lvlText w:val="%1"/>
      <w:numFmt w:val="lowerLetter"/>
      <w:start w:val="1"/>
    </w:lvl>
    <w:lvl w:ilvl="1">
      <w:lvlJc w:val="left"/>
      <w:lvlText w:val="(%2)"/>
      <w:numFmt w:val="lowerLetter"/>
      <w:start w:val="61"/>
    </w:lvl>
  </w:abstractNum>
  <w:abstractNum w:abstractNumId="241">
    <w:nsid w:val="6A1B45E5"/>
    <w:multiLevelType w:val="hybridMultilevel"/>
    <w:lvl w:ilvl="0">
      <w:lvlJc w:val="left"/>
      <w:lvlText w:val="(%1)"/>
      <w:numFmt w:val="lowerLetter"/>
      <w:start w:val="4"/>
    </w:lvl>
    <w:lvl w:ilvl="1">
      <w:lvlJc w:val="left"/>
      <w:lvlText w:val="%2"/>
      <w:numFmt w:val="lowerLetter"/>
      <w:start w:val="1"/>
    </w:lvl>
  </w:abstractNum>
  <w:abstractNum w:abstractNumId="242">
    <w:nsid w:val="567BD50A"/>
    <w:multiLevelType w:val="hybridMultilevel"/>
    <w:lvl w:ilvl="0">
      <w:lvlJc w:val="left"/>
      <w:lvlText w:val="(%1)"/>
      <w:numFmt w:val="lowerRoman"/>
      <w:start w:val="1"/>
    </w:lvl>
  </w:abstractNum>
  <w:abstractNum w:abstractNumId="243">
    <w:nsid w:val="73BBD7F8"/>
    <w:multiLevelType w:val="hybridMultilevel"/>
    <w:lvl w:ilvl="0">
      <w:lvlJc w:val="left"/>
      <w:lvlText w:val="(%1)"/>
      <w:numFmt w:val="lowerLetter"/>
      <w:start w:val="7"/>
    </w:lvl>
  </w:abstractNum>
  <w:abstractNum w:abstractNumId="244">
    <w:nsid w:val="1876589D"/>
    <w:multiLevelType w:val="hybridMultilevel"/>
    <w:lvl w:ilvl="0">
      <w:lvlJc w:val="left"/>
      <w:lvlText w:val="(%1)"/>
      <w:numFmt w:val="lowerLetter"/>
      <w:start w:val="8"/>
    </w:lvl>
  </w:abstractNum>
  <w:abstractNum w:abstractNumId="245">
    <w:nsid w:val="327FAC77"/>
    <w:multiLevelType w:val="hybridMultilevel"/>
    <w:lvl w:ilvl="0">
      <w:lvlJc w:val="left"/>
      <w:lvlText w:val="(%1)"/>
      <w:numFmt w:val="lowerLetter"/>
      <w:start w:val="1"/>
    </w:lvl>
  </w:abstractNum>
  <w:abstractNum w:abstractNumId="246">
    <w:nsid w:val="5A606509"/>
    <w:multiLevelType w:val="hybridMultilevel"/>
    <w:lvl w:ilvl="0">
      <w:lvlJc w:val="left"/>
      <w:lvlText w:val="(%1)"/>
      <w:numFmt w:val="lowerLetter"/>
      <w:start w:val="1"/>
    </w:lvl>
  </w:abstractNum>
  <w:abstractNum w:abstractNumId="247">
    <w:nsid w:val="6F38E6D1"/>
    <w:multiLevelType w:val="hybridMultilevel"/>
    <w:lvl w:ilvl="0">
      <w:lvlJc w:val="left"/>
      <w:lvlText w:val="(%1)"/>
      <w:numFmt w:val="lowerLetter"/>
      <w:start w:val="3"/>
    </w:lvl>
  </w:abstractNum>
  <w:abstractNum w:abstractNumId="248">
    <w:nsid w:val="46111BA5"/>
    <w:multiLevelType w:val="hybridMultilevel"/>
    <w:lvl w:ilvl="0">
      <w:lvlJc w:val="left"/>
      <w:lvlText w:val="(%1)"/>
      <w:numFmt w:val="lowerLetter"/>
      <w:start w:val="1"/>
    </w:lvl>
  </w:abstractNum>
  <w:abstractNum w:abstractNumId="249">
    <w:nsid w:val="5E963896"/>
    <w:multiLevelType w:val="hybridMultilevel"/>
    <w:lvl w:ilvl="0">
      <w:lvlJc w:val="left"/>
      <w:lvlText w:val="(%1)"/>
      <w:numFmt w:val="lowerLetter"/>
      <w:start w:val="2"/>
    </w:lvl>
  </w:abstractNum>
  <w:abstractNum w:abstractNumId="250">
    <w:nsid w:val="775BA7C1"/>
    <w:multiLevelType w:val="hybridMultilevel"/>
    <w:lvl w:ilvl="0">
      <w:lvlJc w:val="left"/>
      <w:lvlText w:val="(%1)"/>
      <w:numFmt w:val="lowerLetter"/>
      <w:start w:val="1"/>
    </w:lvl>
  </w:abstractNum>
  <w:abstractNum w:abstractNumId="251">
    <w:nsid w:val="1DD6D6F4"/>
    <w:multiLevelType w:val="hybridMultilevel"/>
    <w:lvl w:ilvl="0">
      <w:lvlJc w:val="left"/>
      <w:lvlText w:val="(%1)"/>
      <w:numFmt w:val="lowerLetter"/>
      <w:start w:val="1"/>
    </w:lvl>
  </w:abstractNum>
  <w:abstractNum w:abstractNumId="252">
    <w:nsid w:val="769A091F"/>
    <w:multiLevelType w:val="hybridMultilevel"/>
    <w:lvl w:ilvl="0">
      <w:lvlJc w:val="left"/>
      <w:lvlText w:val="(%1)"/>
      <w:numFmt w:val="lowerLetter"/>
      <w:start w:val="2"/>
    </w:lvl>
  </w:abstractNum>
  <w:abstractNum w:abstractNumId="253">
    <w:nsid w:val="4695AE95"/>
    <w:multiLevelType w:val="hybridMultilevel"/>
    <w:lvl w:ilvl="0">
      <w:lvlJc w:val="left"/>
      <w:lvlText w:val="(%1)"/>
      <w:numFmt w:val="lowerLetter"/>
      <w:start w:val="1"/>
    </w:lvl>
  </w:abstractNum>
  <w:abstractNum w:abstractNumId="254">
    <w:nsid w:val="777A4EAA"/>
    <w:multiLevelType w:val="hybridMultilevel"/>
    <w:lvl w:ilvl="0">
      <w:lvlJc w:val="left"/>
      <w:lvlText w:val="(%1)"/>
      <w:numFmt w:val="upperLetter"/>
      <w:start w:val="1"/>
    </w:lvl>
  </w:abstractNum>
  <w:abstractNum w:abstractNumId="255">
    <w:nsid w:val="3F48B982"/>
    <w:multiLevelType w:val="hybridMultilevel"/>
    <w:lvl w:ilvl="0">
      <w:lvlJc w:val="left"/>
      <w:lvlText w:val="1"/>
      <w:numFmt w:val="bullet"/>
      <w:start w:val="1"/>
    </w:lvl>
  </w:abstractNum>
  <w:abstractNum w:abstractNumId="256">
    <w:nsid w:val="46BA8FCA"/>
    <w:multiLevelType w:val="hybridMultilevel"/>
    <w:lvl w:ilvl="0">
      <w:lvlJc w:val="left"/>
      <w:lvlText w:val="(%1)"/>
      <w:numFmt w:val="upperLetter"/>
      <w:start w:val="7"/>
    </w:lvl>
  </w:abstractNum>
  <w:abstractNum w:abstractNumId="257">
    <w:nsid w:val="7835626C"/>
    <w:multiLevelType w:val="hybridMultilevel"/>
    <w:lvl w:ilvl="0">
      <w:lvlJc w:val="left"/>
      <w:lvlText w:val="(%1)"/>
      <w:numFmt w:val="upperLetter"/>
      <w:start w:val="8"/>
    </w:lvl>
  </w:abstractNum>
  <w:abstractNum w:abstractNumId="258">
    <w:nsid w:val="665ACA4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2023-06-22T16:41:33Z</dcterms:created>
  <dcterms:modified xsi:type="dcterms:W3CDTF">2023-06-22T16:41:33Z</dcterms:modified>
</cp:coreProperties>
</file>