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Sotera Health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83601L102</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Sessa Capital (Master),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15,919,619.00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15,919,619.00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15,919,619.00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Sessa Capital Special Opportunity Fund 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4,630,381.00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4,630,381.00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4,630,381.00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Sessa Capital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20,550,000.00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20,550,000.00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20,550,000.00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Sessa Capital IM,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20,550,000.00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20,550,000.00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20,550,000.00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Sessa Capital IM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20,550,000.00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20,550,000.00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20,550,000.00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83601L102</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John Petry</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20,550,000.00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20,550,000.00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20,550,000.00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02"/>
        <w:gridCol w:w="8948"/>
        <w:gridCol w:w="155"/>
      </w:tblGrid>
      <w:tr>
        <w:trPr/>
        <w:tc>
          <w:tcPr>
            <w:tcW w:w="1102" w:type="dxa"/>
            <w:tcBorders/>
            <w:vAlign w:val="center"/>
          </w:tcPr>
          <w:p>
            <w:pPr>
              <w:pStyle w:val="TableContents"/>
              <w:bidi w:val="0"/>
              <w:spacing w:before="0" w:after="283"/>
              <w:jc w:val="left"/>
              <w:rPr/>
            </w:pPr>
            <w:r>
              <w:rPr/>
              <w:t>Item 1.</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issuer: </w:t>
            </w:r>
          </w:p>
          <w:p>
            <w:pPr>
              <w:pStyle w:val="TableContents"/>
              <w:bidi w:val="0"/>
              <w:spacing w:before="0" w:after="0"/>
              <w:jc w:val="left"/>
              <w:rPr/>
            </w:pPr>
            <w:r>
              <w:rPr/>
              <w:t>Sotera Health Co</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9100 SOUTH HILLS BLVD, SUITE 300, BROADVIEW HEIGHTS, OH, 44147</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2.</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Sessa Capital (Master), L.P. (ii) Sessa Capital Special Opportunity Fund II, L.P. (iii) Sessa Capital GP, LLC (iv) Sessa Capital IM, L.P. (v) Sessa Capital IM GP, LLC (vi) John Petry</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888 Seventh Avenue, 30th Floor, New York, NY 10019</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jc w:val="left"/>
              <w:rPr/>
            </w:pPr>
            <w:r>
              <w:rPr/>
              <w:t xml:space="preserve">Citizenship: </w:t>
            </w:r>
          </w:p>
          <w:p>
            <w:pPr>
              <w:pStyle w:val="TableContents"/>
              <w:bidi w:val="0"/>
              <w:spacing w:before="0" w:after="0"/>
              <w:jc w:val="left"/>
              <w:rPr/>
            </w:pPr>
            <w:r>
              <w:rPr/>
              <w:t>(i) Sessa Capital (Master), L.P. - a Cayman Islands exempted limited partnership (ii) Sessa Capital Special Opportunity Fund II, L.P. - a Delaware limited partnership (iii) Sessa Capital GP, LLC - a Delaware limited liability company (iv) Sessa Capital IM, L.P. - a Delaware limited partnership (v) Sessa Capital IM GP, LLC - a Delaware limited liability company (vi) John Petry -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jc w:val="left"/>
              <w:rPr/>
            </w:pPr>
            <w:r>
              <w:rPr/>
              <w:t xml:space="preserve">CUSIP No.: </w:t>
            </w:r>
          </w:p>
          <w:p>
            <w:pPr>
              <w:pStyle w:val="TableContents"/>
              <w:bidi w:val="0"/>
              <w:spacing w:before="0" w:after="0"/>
              <w:jc w:val="left"/>
              <w:rPr/>
            </w:pPr>
            <w:r>
              <w:rPr/>
              <w:t>83601L102</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3.</w:t>
            </w:r>
          </w:p>
        </w:tc>
        <w:tc>
          <w:tcPr>
            <w:tcW w:w="894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(f)</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(g)</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(h)</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(j)</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(k)</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9103" w:type="dxa"/>
            <w:gridSpan w:val="2"/>
            <w:tcBorders/>
            <w:vAlign w:val="center"/>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4.</w:t>
            </w:r>
          </w:p>
        </w:tc>
        <w:tc>
          <w:tcPr>
            <w:tcW w:w="894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 15,919,619 (ii) 4,630,381 (iii) 20,550,000 (iv) 20,550,000 (v) 20,550,000 (vi) 20,550,000</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(i) 5.60% (ii) 1.63% (iii) 7.23% (iv) 7.23% (v) 7.23% (vi) 7.23%  %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(i) 0 (ii) 0 (iii) 0 (iv) 0 (v) 0 (vi)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(i) 15,919,619 (ii) 4,630,381 (iii) 20,550,000 (iv) 20,550,000 (v) 20,550,000 (vi) 20,550,000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(i) 0 (ii) 0 (iii) 0 (iv) 0 (v) 0 (vi)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(i) 15,919,619 (ii) 4,630,381 (iii) 20,550,000 (iv) 20,550,000 (v) 20,550,000 (vi) 20,550,000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5.</w:t>
            </w:r>
          </w:p>
        </w:tc>
        <w:tc>
          <w:tcPr>
            <w:tcW w:w="894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6.</w:t>
            </w:r>
          </w:p>
        </w:tc>
        <w:tc>
          <w:tcPr>
            <w:tcW w:w="894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7.</w:t>
            </w:r>
          </w:p>
        </w:tc>
        <w:tc>
          <w:tcPr>
            <w:tcW w:w="894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8.</w:t>
            </w:r>
          </w:p>
        </w:tc>
        <w:tc>
          <w:tcPr>
            <w:tcW w:w="894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9.</w:t>
            </w:r>
          </w:p>
        </w:tc>
        <w:tc>
          <w:tcPr>
            <w:tcW w:w="894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86" w:type="dxa"/>
        <w:jc w:val="left"/>
        <w:tblInd w:w="0" w:type="dxa"/>
        <w:tblLayout w:type="fixed"/>
        <w:tblCellMar>
          <w:top w:w="28" w:type="dxa"/>
          <w:left w:w="28" w:type="dxa"/>
          <w:bottom w:w="28" w:type="dxa"/>
          <w:right w:w="28" w:type="dxa"/>
        </w:tblCellMar>
      </w:tblPr>
      <w:tblGrid>
        <w:gridCol w:w="2943"/>
        <w:gridCol w:w="2943"/>
      </w:tblGrid>
      <w:tr>
        <w:trPr/>
        <w:tc>
          <w:tcPr>
            <w:tcW w:w="2943" w:type="dxa"/>
            <w:tcBorders/>
            <w:vAlign w:val="center"/>
          </w:tcPr>
          <w:p>
            <w:pPr>
              <w:pStyle w:val="TableContents"/>
              <w:bidi w:val="0"/>
              <w:spacing w:before="0" w:after="0"/>
              <w:jc w:val="left"/>
              <w:rPr/>
            </w:pPr>
            <w:r>
              <w:rPr/>
              <w:t> </w:t>
            </w:r>
          </w:p>
          <w:tbl>
            <w:tblPr>
              <w:tblW w:w="2806" w:type="dxa"/>
              <w:jc w:val="left"/>
              <w:tblInd w:w="0" w:type="dxa"/>
              <w:tblLayout w:type="fixed"/>
              <w:tblCellMar>
                <w:top w:w="28" w:type="dxa"/>
                <w:left w:w="28" w:type="dxa"/>
                <w:bottom w:w="28" w:type="dxa"/>
                <w:right w:w="28" w:type="dxa"/>
              </w:tblCellMar>
            </w:tblPr>
            <w:tblGrid>
              <w:gridCol w:w="2806"/>
            </w:tblGrid>
            <w:tr>
              <w:trPr/>
              <w:tc>
                <w:tcPr>
                  <w:tcW w:w="2806" w:type="dxa"/>
                  <w:tcBorders/>
                  <w:vAlign w:val="center"/>
                </w:tcPr>
                <w:p>
                  <w:pPr>
                    <w:pStyle w:val="TableContents"/>
                    <w:bidi w:val="0"/>
                    <w:spacing w:before="0" w:after="0"/>
                    <w:jc w:val="left"/>
                    <w:rPr/>
                  </w:pPr>
                  <w:r>
                    <w:rPr/>
                    <w:t>Sessa Capital (Master), L.P.</w:t>
                  </w:r>
                </w:p>
              </w:tc>
            </w:tr>
          </w:tbl>
          <w:p>
            <w:pPr>
              <w:pStyle w:val="TableContents"/>
              <w:bidi w:val="0"/>
              <w:spacing w:before="0" w:after="283"/>
              <w:jc w:val="left"/>
              <w:rPr/>
            </w:pPr>
            <w:r>
              <w:rPr/>
            </w:r>
          </w:p>
        </w:tc>
        <w:tc>
          <w:tcPr>
            <w:tcW w:w="29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6"/>
        <w:gridCol w:w="4519"/>
      </w:tblGrid>
      <w:tr>
        <w:trPr/>
        <w:tc>
          <w:tcPr>
            <w:tcW w:w="56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John Petry</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John Petry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519" w:type="dxa"/>
            <w:tcBorders/>
            <w:vAlign w:val="center"/>
          </w:tcPr>
          <w:p>
            <w:pPr>
              <w:pStyle w:val="TableContents"/>
              <w:bidi w:val="0"/>
              <w:spacing w:before="0" w:after="283"/>
              <w:jc w:val="left"/>
              <w:rPr>
                <w:sz w:val="4"/>
                <w:szCs w:val="4"/>
              </w:rPr>
            </w:pPr>
            <w:r>
              <w:rPr>
                <w:sz w:val="4"/>
                <w:szCs w:val="4"/>
              </w:rPr>
            </w:r>
          </w:p>
        </w:tc>
      </w:tr>
    </w:tbl>
    <w:tbl>
      <w:tblPr>
        <w:tblW w:w="9678" w:type="dxa"/>
        <w:jc w:val="left"/>
        <w:tblInd w:w="0" w:type="dxa"/>
        <w:tblLayout w:type="fixed"/>
        <w:tblCellMar>
          <w:top w:w="28" w:type="dxa"/>
          <w:left w:w="28" w:type="dxa"/>
          <w:bottom w:w="28" w:type="dxa"/>
          <w:right w:w="28" w:type="dxa"/>
        </w:tblCellMar>
      </w:tblPr>
      <w:tblGrid>
        <w:gridCol w:w="4839"/>
        <w:gridCol w:w="4839"/>
      </w:tblGrid>
      <w:tr>
        <w:trPr/>
        <w:tc>
          <w:tcPr>
            <w:tcW w:w="4839" w:type="dxa"/>
            <w:tcBorders/>
            <w:vAlign w:val="center"/>
          </w:tcPr>
          <w:p>
            <w:pPr>
              <w:pStyle w:val="TableContents"/>
              <w:bidi w:val="0"/>
              <w:spacing w:before="0" w:after="0"/>
              <w:jc w:val="left"/>
              <w:rPr/>
            </w:pPr>
            <w:r>
              <w:rPr/>
              <w:t> </w:t>
            </w:r>
          </w:p>
          <w:tbl>
            <w:tblPr>
              <w:tblW w:w="4681" w:type="dxa"/>
              <w:jc w:val="left"/>
              <w:tblInd w:w="0" w:type="dxa"/>
              <w:tblLayout w:type="fixed"/>
              <w:tblCellMar>
                <w:top w:w="28" w:type="dxa"/>
                <w:left w:w="28" w:type="dxa"/>
                <w:bottom w:w="28" w:type="dxa"/>
                <w:right w:w="28" w:type="dxa"/>
              </w:tblCellMar>
            </w:tblPr>
            <w:tblGrid>
              <w:gridCol w:w="4681"/>
            </w:tblGrid>
            <w:tr>
              <w:trPr/>
              <w:tc>
                <w:tcPr>
                  <w:tcW w:w="4681" w:type="dxa"/>
                  <w:tcBorders/>
                  <w:vAlign w:val="center"/>
                </w:tcPr>
                <w:p>
                  <w:pPr>
                    <w:pStyle w:val="TableContents"/>
                    <w:bidi w:val="0"/>
                    <w:spacing w:before="0" w:after="0"/>
                    <w:jc w:val="left"/>
                    <w:rPr/>
                  </w:pPr>
                  <w:r>
                    <w:rPr/>
                    <w:t>Sessa Capital Special Opportunity Fund II, L.P.</w:t>
                  </w:r>
                </w:p>
              </w:tc>
            </w:tr>
          </w:tbl>
          <w:p>
            <w:pPr>
              <w:pStyle w:val="TableContents"/>
              <w:bidi w:val="0"/>
              <w:spacing w:before="0" w:after="283"/>
              <w:jc w:val="left"/>
              <w:rPr/>
            </w:pPr>
            <w:r>
              <w:rPr/>
            </w:r>
          </w:p>
        </w:tc>
        <w:tc>
          <w:tcPr>
            <w:tcW w:w="48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6"/>
        <w:gridCol w:w="4519"/>
      </w:tblGrid>
      <w:tr>
        <w:trPr/>
        <w:tc>
          <w:tcPr>
            <w:tcW w:w="56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John Petry</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John Petry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519"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Sessa Capital GP, LLC</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6"/>
        <w:gridCol w:w="4519"/>
      </w:tblGrid>
      <w:tr>
        <w:trPr/>
        <w:tc>
          <w:tcPr>
            <w:tcW w:w="56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John Petry</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John Petry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519"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Sessa Capital IM, L.P.</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6"/>
        <w:gridCol w:w="4519"/>
      </w:tblGrid>
      <w:tr>
        <w:trPr/>
        <w:tc>
          <w:tcPr>
            <w:tcW w:w="56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John Petry</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John Petry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519" w:type="dxa"/>
            <w:tcBorders/>
            <w:vAlign w:val="center"/>
          </w:tcPr>
          <w:p>
            <w:pPr>
              <w:pStyle w:val="TableContents"/>
              <w:bidi w:val="0"/>
              <w:spacing w:before="0" w:after="283"/>
              <w:jc w:val="left"/>
              <w:rPr>
                <w:sz w:val="4"/>
                <w:szCs w:val="4"/>
              </w:rPr>
            </w:pPr>
            <w:r>
              <w:rPr>
                <w:sz w:val="4"/>
                <w:szCs w:val="4"/>
              </w:rPr>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Sessa Capital IM GP, LLC</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6"/>
        <w:gridCol w:w="4519"/>
      </w:tblGrid>
      <w:tr>
        <w:trPr/>
        <w:tc>
          <w:tcPr>
            <w:tcW w:w="56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John Petry</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John Petry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519" w:type="dxa"/>
            <w:tcBorders/>
            <w:vAlign w:val="center"/>
          </w:tcPr>
          <w:p>
            <w:pPr>
              <w:pStyle w:val="TableContents"/>
              <w:bidi w:val="0"/>
              <w:spacing w:before="0" w:after="283"/>
              <w:jc w:val="left"/>
              <w:rPr>
                <w:sz w:val="4"/>
                <w:szCs w:val="4"/>
              </w:rPr>
            </w:pPr>
            <w:r>
              <w:rPr>
                <w:sz w:val="4"/>
                <w:szCs w:val="4"/>
              </w:rPr>
            </w:r>
          </w:p>
        </w:tc>
      </w:tr>
    </w:tbl>
    <w:tbl>
      <w:tblPr>
        <w:tblW w:w="2546" w:type="dxa"/>
        <w:jc w:val="left"/>
        <w:tblInd w:w="0" w:type="dxa"/>
        <w:tblLayout w:type="fixed"/>
        <w:tblCellMar>
          <w:top w:w="28" w:type="dxa"/>
          <w:left w:w="28" w:type="dxa"/>
          <w:bottom w:w="28" w:type="dxa"/>
          <w:right w:w="28" w:type="dxa"/>
        </w:tblCellMar>
      </w:tblPr>
      <w:tblGrid>
        <w:gridCol w:w="1273"/>
        <w:gridCol w:w="1273"/>
      </w:tblGrid>
      <w:tr>
        <w:trPr/>
        <w:tc>
          <w:tcPr>
            <w:tcW w:w="1273" w:type="dxa"/>
            <w:tcBorders/>
            <w:vAlign w:val="center"/>
          </w:tcPr>
          <w:p>
            <w:pPr>
              <w:pStyle w:val="TableContents"/>
              <w:bidi w:val="0"/>
              <w:spacing w:before="0" w:after="0"/>
              <w:jc w:val="left"/>
              <w:rPr/>
            </w:pPr>
            <w:r>
              <w:rPr/>
              <w:t> </w:t>
            </w:r>
          </w:p>
          <w:tbl>
            <w:tblPr>
              <w:tblW w:w="1171" w:type="dxa"/>
              <w:jc w:val="left"/>
              <w:tblInd w:w="0" w:type="dxa"/>
              <w:tblLayout w:type="fixed"/>
              <w:tblCellMar>
                <w:top w:w="28" w:type="dxa"/>
                <w:left w:w="28" w:type="dxa"/>
                <w:bottom w:w="28" w:type="dxa"/>
                <w:right w:w="28" w:type="dxa"/>
              </w:tblCellMar>
            </w:tblPr>
            <w:tblGrid>
              <w:gridCol w:w="1171"/>
            </w:tblGrid>
            <w:tr>
              <w:trPr/>
              <w:tc>
                <w:tcPr>
                  <w:tcW w:w="1171" w:type="dxa"/>
                  <w:tcBorders/>
                  <w:vAlign w:val="center"/>
                </w:tcPr>
                <w:p>
                  <w:pPr>
                    <w:pStyle w:val="TableContents"/>
                    <w:bidi w:val="0"/>
                    <w:spacing w:before="0" w:after="0"/>
                    <w:jc w:val="left"/>
                    <w:rPr/>
                  </w:pPr>
                  <w:r>
                    <w:rPr/>
                    <w:t>John Petry</w:t>
                  </w:r>
                </w:p>
              </w:tc>
            </w:tr>
          </w:tbl>
          <w:p>
            <w:pPr>
              <w:pStyle w:val="TableContents"/>
              <w:bidi w:val="0"/>
              <w:spacing w:before="0" w:after="283"/>
              <w:jc w:val="left"/>
              <w:rPr/>
            </w:pPr>
            <w:r>
              <w:rPr/>
            </w:r>
          </w:p>
        </w:tc>
        <w:tc>
          <w:tcPr>
            <w:tcW w:w="12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6"/>
        <w:gridCol w:w="4519"/>
      </w:tblGrid>
      <w:tr>
        <w:trPr/>
        <w:tc>
          <w:tcPr>
            <w:tcW w:w="56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John Petry</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John Petry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519"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firstLine="360"/>
        <w:jc w:val="center"/>
        <w:rPr>
          <w:rFonts w:ascii="Times New Roman;Times;Serif" w:hAnsi="Times New Roman;Times;Serif"/>
          <w:b/>
          <w:i w:val="false"/>
          <w:caps w:val="false"/>
          <w:smallCaps w:val="false"/>
          <w:sz w:val="22"/>
        </w:rPr>
      </w:pPr>
      <w:bookmarkStart w:id="36" w:name="fp0097533-2_ex1.htm"/>
      <w:bookmarkStart w:id="37" w:name="ksfp00975332_ex1"/>
      <w:bookmarkEnd w:id="36"/>
      <w:bookmarkEnd w:id="37"/>
      <w:r>
        <w:rPr>
          <w:rFonts w:ascii="Times New Roman;Times;Serif" w:hAnsi="Times New Roman;Times;Serif"/>
          <w:b/>
          <w:i w:val="false"/>
          <w:caps w:val="false"/>
          <w:smallCaps w:val="false"/>
          <w:sz w:val="22"/>
        </w:rPr>
        <w:t>SCHEDULE 13G</w:t>
      </w:r>
      <w:r>
        <w:br w:type="page"/>
      </w:r>
    </w:p>
    <w:p>
      <w:pPr>
        <w:pStyle w:val="TextBody"/>
        <w:bidi w:val="0"/>
        <w:ind w:left="0" w:right="0" w:firstLine="360"/>
        <w:jc w:val="center"/>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 xml:space="preserve">CUSIP No. </w:t>
      </w:r>
      <w:r>
        <w:rPr>
          <w:rFonts w:ascii="Times New Roman;Times;Serif" w:hAnsi="Times New Roman;Times;Serif"/>
          <w:b w:val="false"/>
          <w:i w:val="false"/>
          <w:caps w:val="false"/>
          <w:smallCaps w:val="false"/>
          <w:sz w:val="22"/>
        </w:rPr>
        <w:t>83601L102</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EXHIBIT INDEX TO SCHEDULE 13G</w:t>
      </w:r>
    </w:p>
    <w:p>
      <w:pPr>
        <w:pStyle w:val="TextBody"/>
        <w:bidi w:val="0"/>
        <w:ind w:left="0" w:right="0" w:firstLine="360"/>
        <w:jc w:val="center"/>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EXHIBIT 1</w:t>
      </w:r>
    </w:p>
    <w:p>
      <w:pPr>
        <w:pStyle w:val="TextBody"/>
        <w:bidi w:val="0"/>
        <w:ind w:left="0" w:right="0" w:firstLine="360"/>
        <w:jc w:val="left"/>
        <w:rPr>
          <w:caps w:val="false"/>
          <w:smallCaps w:val="false"/>
        </w:rPr>
      </w:pPr>
      <w:r>
        <w:rPr>
          <w:caps w:val="false"/>
          <w:smallCaps w:val="false"/>
        </w:rPr>
        <w:t> </w:t>
      </w:r>
    </w:p>
    <w:p>
      <w:pPr>
        <w:pStyle w:val="TextBody"/>
        <w:bidi w:val="0"/>
        <w:ind w:left="1440" w:right="0" w:firstLine="36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Joint Filing Agreement, dated as of February 17, 2026, by and between Sessa Capital (Master), L.P., Sessa Capital Special Opportunity Fund II, L.P., Sessa Capital GP, LLC, Sessa Capital IM, L.P., Sessa Capital IM GP, LLC, and John Petry.</w:t>
      </w:r>
    </w:p>
    <w:p>
      <w:pPr>
        <w:pStyle w:val="TextBody"/>
        <w:bidi w:val="0"/>
        <w:spacing w:before="0" w:after="1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ind w:left="0" w:right="0" w:firstLine="36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SCHEDULE 13G</w:t>
      </w:r>
    </w:p>
    <w:p>
      <w:pPr>
        <w:pStyle w:val="TextBody"/>
        <w:bidi w:val="0"/>
        <w:ind w:left="0" w:right="0" w:firstLine="360"/>
        <w:jc w:val="center"/>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 xml:space="preserve">CUSIP No. </w:t>
      </w:r>
      <w:r>
        <w:rPr>
          <w:rFonts w:ascii="Times New Roman;Times;Serif" w:hAnsi="Times New Roman;Times;Serif"/>
          <w:b w:val="false"/>
          <w:i w:val="false"/>
          <w:caps w:val="false"/>
          <w:smallCaps w:val="false"/>
          <w:sz w:val="22"/>
        </w:rPr>
        <w:t>83601L102</w:t>
      </w:r>
    </w:p>
    <w:p>
      <w:pPr>
        <w:pStyle w:val="TextBody"/>
        <w:bidi w:val="0"/>
        <w:ind w:left="0" w:right="0" w:firstLine="360"/>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Exhibit 1</w:t>
      </w:r>
    </w:p>
    <w:p>
      <w:pPr>
        <w:pStyle w:val="TextBody"/>
        <w:bidi w:val="0"/>
        <w:ind w:left="0" w:right="0" w:firstLine="360"/>
        <w:jc w:val="right"/>
        <w:rPr>
          <w:caps w:val="false"/>
          <w:smallCaps w:val="false"/>
        </w:rPr>
      </w:pPr>
      <w:r>
        <w:rPr>
          <w:caps w:val="false"/>
          <w:smallCaps w:val="false"/>
        </w:rPr>
        <w:t> </w:t>
      </w:r>
    </w:p>
    <w:p>
      <w:pPr>
        <w:pStyle w:val="TextBody"/>
        <w:bidi w:val="0"/>
        <w:ind w:left="0" w:right="0" w:firstLine="36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JOINT FILING AGREEMENT</w:t>
      </w:r>
    </w:p>
    <w:p>
      <w:pPr>
        <w:pStyle w:val="TextBody"/>
        <w:bidi w:val="0"/>
        <w:ind w:left="0" w:right="0" w:firstLine="360"/>
        <w:jc w:val="center"/>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Pursuant to Rule 13d-1(k)(1) under the Securities Exchange Act of 1934, as amended, the undersigned agree, as of February 17, 2026, that only one statement containing the information required by Schedule 13G, and each amendment thereto, need be filed with respect to the ownership by each of the undersigned of shares of Common Stock of Sotera Health Co and such statement to which this Joint Filing Agreement is attached as Exhibit 1 is filed on behalf of each of the undersigned.</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13"/>
        <w:gridCol w:w="9617"/>
      </w:tblGrid>
      <w:tr>
        <w:trPr/>
        <w:tc>
          <w:tcPr>
            <w:tcW w:w="75" w:type="dxa"/>
            <w:tcBorders/>
            <w:vAlign w:val="center"/>
          </w:tcPr>
          <w:p>
            <w:pPr>
              <w:pStyle w:val="TableContents"/>
              <w:bidi w:val="0"/>
              <w:spacing w:before="0" w:after="283"/>
              <w:ind w:left="0" w:right="0" w:hanging="0"/>
              <w:jc w:val="left"/>
              <w:rPr/>
            </w:pPr>
            <w:r>
              <w:rPr/>
              <w:t> </w:t>
            </w:r>
          </w:p>
        </w:tc>
        <w:tc>
          <w:tcPr>
            <w:tcW w:w="513"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 xml:space="preserve">By: </w:t>
            </w:r>
          </w:p>
        </w:tc>
        <w:tc>
          <w:tcPr>
            <w:tcW w:w="961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John Petry</w:t>
            </w:r>
          </w:p>
        </w:tc>
      </w:tr>
      <w:tr>
        <w:trPr/>
        <w:tc>
          <w:tcPr>
            <w:tcW w:w="75"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283"/>
              <w:jc w:val="left"/>
              <w:rPr/>
            </w:pPr>
            <w:r>
              <w:rPr/>
              <w:t> </w:t>
            </w:r>
          </w:p>
        </w:tc>
        <w:tc>
          <w:tcPr>
            <w:tcW w:w="96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John Petry</w:t>
            </w:r>
          </w:p>
        </w:tc>
      </w:tr>
      <w:tr>
        <w:trPr/>
        <w:tc>
          <w:tcPr>
            <w:tcW w:w="75"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283"/>
              <w:jc w:val="left"/>
              <w:rPr/>
            </w:pPr>
            <w:r>
              <w:rPr/>
              <w:t> </w:t>
            </w:r>
          </w:p>
        </w:tc>
        <w:tc>
          <w:tcPr>
            <w:tcW w:w="96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John Petry, individually, as manager of Sessa Capital GP, LLC, the general partner of Sessa Capital (Master), L.P. and Sessa Capital Special Opportunity Fund II, L.P., and as manager of Sessa Capital IM GP, LLC, the general partner of Sessa Capital IM, L.P.</w:t>
            </w:r>
          </w:p>
        </w:tc>
      </w:tr>
      <w:tr>
        <w:trPr/>
        <w:tc>
          <w:tcPr>
            <w:tcW w:w="75"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283"/>
              <w:jc w:val="left"/>
              <w:rPr/>
            </w:pPr>
            <w:r>
              <w:rPr/>
              <w:t> </w:t>
            </w:r>
          </w:p>
        </w:tc>
        <w:tc>
          <w:tcPr>
            <w:tcW w:w="96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Date: </w:t>
            </w:r>
          </w:p>
        </w:tc>
        <w:tc>
          <w:tcPr>
            <w:tcW w:w="96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February 17, 2026</w:t>
            </w:r>
          </w:p>
        </w:tc>
      </w:tr>
    </w:tbl>
    <w:p>
      <w:pPr>
        <w:pStyle w:val="TextBody"/>
        <w:bidi w:val="0"/>
        <w:spacing w:before="0" w:after="16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1735</Words>
  <Characters>8891</Characters>
  <CharactersWithSpaces>10517</CharactersWithSpaces>
  <Paragraphs>435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