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6395d8k.htm"/>
      <w:bookmarkStart w:id="1" w:name="ksd78639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March 1,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001-39729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47-3531161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9100 South Hills Blvd, Suite 300</w:t>
      </w:r>
    </w:p>
    <w:p>
      <w:pPr>
        <w:pStyle w:val="TextBody"/>
        <w:bidi w:val="0"/>
        <w:spacing w:before="0" w:after="0"/>
        <w:jc w:val="center"/>
        <w:rPr>
          <w:rFonts w:ascii="Times New Roman" w:hAnsi="Times New Roman"/>
          <w:b/>
          <w:sz w:val="20"/>
        </w:rPr>
      </w:pPr>
      <w:r>
        <w:rPr>
          <w:rFonts w:ascii="Times New Roman" w:hAnsi="Times New Roman"/>
          <w:b/>
          <w:sz w:val="20"/>
        </w:rPr>
        <w:t>Broadview Heights, Ohio 44147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(440) 262-1410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3980"/>
        <w:gridCol w:w="60"/>
        <w:gridCol w:w="605"/>
        <w:gridCol w:w="60"/>
        <w:gridCol w:w="305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SHC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1, 2024, Sotera Health Company (the “Company”) and Sotera Health Holdings, LLC (“SHH”) entered into Amendment No. 3 (the “Amendment”) to the First Lien Credit Agreement dated as of December 13, 2019 by and among the Company, SHH, certain subsidiaries of the Company, JPMorgan Chase Bank, N.A., as First Lien Administrative Agent and the lenders and issuing banks party thereto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Among other changes, the Amendment provides (i) for new commitments under the existing revolving credit facility (the “Revolving Credit Facility”) to replace existing revolving commitments in an aggregate principal amount of $83,000,000, (ii) that certain of the lenders providing revolving credit commitments shall also provide additional commitments for the issuance of letters of credit under the Revolving Credit Facility in an aggregate principal amount of $37,500,000 and (iii) for the extension of the maturity date of the Revolving Credit Facility to the earlier of (a) March 1, 2029, and (b) the date that is 91 days prior to the maturity date of the Company’s existing term loans. </w:t>
      </w:r>
    </w:p>
    <w:p>
      <w:pPr>
        <w:pStyle w:val="TextBody"/>
        <w:bidi w:val="0"/>
        <w:spacing w:before="240" w:after="0"/>
        <w:jc w:val="left"/>
        <w:rPr>
          <w:rFonts w:ascii="Times New Roman" w:hAnsi="Times New Roman"/>
          <w:sz w:val="20"/>
        </w:rPr>
      </w:pPr>
      <w:r>
        <w:rPr>
          <w:rFonts w:ascii="Times New Roman" w:hAnsi="Times New Roman"/>
          <w:sz w:val="20"/>
        </w:rPr>
        <w:t xml:space="preserve">The Amendment does not give effect to any other material changes to the terms and conditions of the Credit Agreement, including with respect to the amount of commitments under the Revolving Credit Facility which remains $423.750 million, the representations and warranties, events of default, affirmative or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certain provisions of the Amendment and the underlying Credit Agreement does not purport to be complete and is qualified in its entirety by the full text of the Credit Agreement and the Amendment, a copy of which is attached hereto as Exhibit 10.1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in Item 1.01 of this Current Report on Form 8-K above is incorporated herein by reference.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28, 2024, the Company, certain stockholders named in Schedule 2 thereto (the “Selling Stockholders”) and J.P. Morgan Securities LLC, Goldman Sachs &amp; Co. LLC, Citigroup Global Markets Inc. and Jefferies LLC, as representatives of the several underwriters named therein (collectively, the “Underwriters”), entered into an underwriting agreement (the “Underwriting Agreement”) relating to the sale of up to 28,750,000 shares of the Company’s common stock, par value $0.01 per share (“Common Stock”), at a price of $14.3075 per share, subject to and upon the terms and conditions set forth therein. On March 4, 2024, the Selling Stockholders sold 28,750,000 shares of Common Stock to the Underwriters pursuant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copy thereof, which is filed herewith as Exhibit 1.1 and is incorporated herein by reference. The opinion of Cleary Gottlieb Steen &amp; Hamilton LLP, relating to the validity of the Common Stock, is filed as Exhibit 5.1 hereto.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7"/>
        <w:gridCol w:w="120"/>
        <w:gridCol w:w="9458"/>
      </w:tblGrid>
      <w:tr>
        <w:trPr/>
        <w:tc>
          <w:tcPr>
            <w:tcW w:w="6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58"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9458"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578"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hyperlink w:anchor="d786395dex11.htm">
              <w:r>
                <w:rPr>
                  <w:rStyle w:val="InternetLink"/>
                </w:rPr>
                <w:t xml:space="preserve">Underwriting Agreement, dated February 28, 2024, among the Company, J.P. Morgan Securities LLC, Goldman Sachs &amp; Co. LLC, Citigroup Global Markets Inc., and Jefferies LLC, as representatives of the several underwriters named therein, and the selling stockholders named in Schedule 2 thereto. </w:t>
              </w:r>
            </w:hyperlink>
          </w:p>
        </w:tc>
      </w:tr>
      <w:tr>
        <w:trPr/>
        <w:tc>
          <w:tcPr>
            <w:tcW w:w="627" w:type="dxa"/>
            <w:tcBorders/>
            <w:vAlign w:val="center"/>
          </w:tcPr>
          <w:p>
            <w:pPr>
              <w:pStyle w:val="TableContents"/>
              <w:bidi w:val="0"/>
              <w:spacing w:before="0" w:after="283"/>
              <w:jc w:val="left"/>
              <w:rPr>
                <w:sz w:val="4"/>
                <w:szCs w:val="4"/>
              </w:rPr>
            </w:pPr>
            <w:r>
              <w:rPr>
                <w:sz w:val="4"/>
                <w:szCs w:val="4"/>
              </w:rPr>
            </w:r>
          </w:p>
        </w:tc>
        <w:tc>
          <w:tcPr>
            <w:tcW w:w="9578"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hyperlink w:anchor="d786395dex51.htm">
              <w:r>
                <w:rPr>
                  <w:rStyle w:val="InternetLink"/>
                </w:rPr>
                <w:t xml:space="preserve">Opinion of Cleary Gottlieb Steen &amp; Hamilton LLP. </w:t>
              </w:r>
            </w:hyperlink>
          </w:p>
        </w:tc>
      </w:tr>
      <w:tr>
        <w:trPr/>
        <w:tc>
          <w:tcPr>
            <w:tcW w:w="627" w:type="dxa"/>
            <w:tcBorders/>
            <w:vAlign w:val="center"/>
          </w:tcPr>
          <w:p>
            <w:pPr>
              <w:pStyle w:val="TableContents"/>
              <w:bidi w:val="0"/>
              <w:spacing w:before="0" w:after="283"/>
              <w:jc w:val="left"/>
              <w:rPr>
                <w:sz w:val="4"/>
                <w:szCs w:val="4"/>
              </w:rPr>
            </w:pPr>
            <w:r>
              <w:rPr>
                <w:sz w:val="4"/>
                <w:szCs w:val="4"/>
              </w:rPr>
            </w:r>
          </w:p>
        </w:tc>
        <w:tc>
          <w:tcPr>
            <w:tcW w:w="9578"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hyperlink w:anchor="d786395dex101.htm">
              <w:r>
                <w:rPr>
                  <w:rStyle w:val="InternetLink"/>
                </w:rPr>
                <w:t xml:space="preserve">Amendment No. 3, dated as of March 1, 2024, to the First Lien Credit Agreement dated as of December 13, 2019 by and among Sotera Health Company, Sotera Health Holdings, LLC, certain subsidiaries of Sotera Health Company, JPMorgan Chase Bank, N.A., as First Lien Administrative Agent and the lenders and issuing banks party thereto. </w:t>
              </w:r>
            </w:hyperlink>
          </w:p>
        </w:tc>
      </w:tr>
      <w:tr>
        <w:trPr/>
        <w:tc>
          <w:tcPr>
            <w:tcW w:w="627" w:type="dxa"/>
            <w:tcBorders/>
            <w:vAlign w:val="center"/>
          </w:tcPr>
          <w:p>
            <w:pPr>
              <w:pStyle w:val="TableContents"/>
              <w:bidi w:val="0"/>
              <w:spacing w:before="0" w:after="283"/>
              <w:jc w:val="left"/>
              <w:rPr>
                <w:sz w:val="4"/>
                <w:szCs w:val="4"/>
              </w:rPr>
            </w:pPr>
            <w:r>
              <w:rPr>
                <w:sz w:val="4"/>
                <w:szCs w:val="4"/>
              </w:rPr>
            </w:r>
          </w:p>
        </w:tc>
        <w:tc>
          <w:tcPr>
            <w:tcW w:w="9578"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hyperlink w:anchor="d786395dex51.htm">
              <w:r>
                <w:rPr>
                  <w:rStyle w:val="InternetLink"/>
                </w:rPr>
                <w:t xml:space="preserve">Consent of Cleary Gottlieb Steen &amp; Hamilton LLP (included as part of Exhibit 5.1). </w:t>
              </w:r>
            </w:hyperlink>
          </w:p>
        </w:tc>
      </w:tr>
      <w:tr>
        <w:trPr/>
        <w:tc>
          <w:tcPr>
            <w:tcW w:w="627" w:type="dxa"/>
            <w:tcBorders/>
            <w:vAlign w:val="center"/>
          </w:tcPr>
          <w:p>
            <w:pPr>
              <w:pStyle w:val="TableContents"/>
              <w:bidi w:val="0"/>
              <w:spacing w:before="0" w:after="283"/>
              <w:jc w:val="left"/>
              <w:rPr>
                <w:sz w:val="4"/>
                <w:szCs w:val="4"/>
              </w:rPr>
            </w:pPr>
            <w:r>
              <w:rPr>
                <w:sz w:val="4"/>
                <w:szCs w:val="4"/>
              </w:rPr>
            </w:r>
          </w:p>
        </w:tc>
        <w:tc>
          <w:tcPr>
            <w:tcW w:w="9578"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have been omitted pursuant to Regulation S-K Item 601(a)(6) promulgated under the Exchange Act. The Registrant agrees to furnish supplementally a copy of any omitted schedule to the SEC upon request. </w:t>
            </w:r>
          </w:p>
        </w:tc>
      </w:tr>
    </w:tbl>
    <w:tbl>
      <w:tblPr>
        <w:tblW w:w="7945" w:type="dxa"/>
        <w:jc w:val="left"/>
        <w:tblInd w:w="0" w:type="dxa"/>
        <w:tblLayout w:type="fixed"/>
        <w:tblCellMar>
          <w:top w:w="0" w:type="dxa"/>
          <w:left w:w="0" w:type="dxa"/>
          <w:bottom w:w="0" w:type="dxa"/>
          <w:right w:w="0" w:type="dxa"/>
        </w:tblCellMar>
      </w:tblPr>
      <w:tblGrid>
        <w:gridCol w:w="275"/>
        <w:gridCol w:w="7670"/>
      </w:tblGrid>
      <w:tr>
        <w:trPr/>
        <w:tc>
          <w:tcPr>
            <w:tcW w:w="275"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redacted pursuant to Item 601(b)(10)(iv) of Regulation S-K.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13"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474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283"/>
              <w:jc w:val="left"/>
              <w:rPr/>
            </w:pPr>
            <w:r>
              <w:rPr/>
              <w:t>Sotera Health Company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283"/>
              <w:jc w:val="left"/>
              <w:rPr/>
            </w:pPr>
            <w:r>
              <w:rPr/>
              <w:t>   </w:t>
            </w:r>
            <w:r>
              <w:rPr/>
              <w:t>(Registrant)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4,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M. Lyons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Jonathan M. Lyons</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jc w:val="left"/>
        <w:rPr>
          <w:rFonts w:ascii="Times New Roman" w:hAnsi="Times New Roman"/>
          <w:sz w:val="20"/>
        </w:rPr>
      </w:pPr>
      <w:bookmarkStart w:id="2" w:name="d786395dex11.htm"/>
      <w:bookmarkStart w:id="3" w:name="ksd786395dex11"/>
      <w:bookmarkEnd w:id="2"/>
      <w:bookmarkEnd w:id="3"/>
      <w:r>
        <w:rPr>
          <w:rFonts w:ascii="Times New Roman" w:hAnsi="Times New Roman"/>
          <w:sz w:val="20"/>
        </w:rPr>
        <w:t xml:space="preserve">CERTAIN PERSONALLY IDENTIFIABLE INFORMATION HAS BEEN OMITTED FROM THIS EXHIBIT PURSUANT TO ITEM 601(A)(6) OF REGULATION S-K. [***] INDICATES THAT INFORMATION HAS BEEN REDACTED.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Exhibit 1.1 </w:t>
      </w:r>
    </w:p>
    <w:p>
      <w:pPr>
        <w:pStyle w:val="TextBody"/>
        <w:bidi w:val="0"/>
        <w:spacing w:before="240" w:after="0"/>
        <w:jc w:val="center"/>
        <w:rPr>
          <w:rFonts w:ascii="Times New Roman" w:hAnsi="Times New Roman"/>
          <w:sz w:val="20"/>
        </w:rPr>
      </w:pPr>
      <w:r>
        <w:rPr>
          <w:rFonts w:ascii="Times New Roman" w:hAnsi="Times New Roman"/>
          <w:sz w:val="20"/>
        </w:rPr>
        <w:t xml:space="preserve">SOTERA HEALTH COMPANY </w:t>
      </w:r>
    </w:p>
    <w:p>
      <w:pPr>
        <w:pStyle w:val="TextBody"/>
        <w:bidi w:val="0"/>
        <w:spacing w:before="240" w:after="0"/>
        <w:jc w:val="center"/>
        <w:rPr>
          <w:rFonts w:ascii="Times New Roman" w:hAnsi="Times New Roman"/>
          <w:sz w:val="20"/>
        </w:rPr>
      </w:pPr>
      <w:r>
        <w:rPr>
          <w:rFonts w:ascii="Times New Roman" w:hAnsi="Times New Roman"/>
          <w:sz w:val="20"/>
        </w:rPr>
        <w:t xml:space="preserve">25,000,000 Shares of Common Stock </w:t>
      </w:r>
    </w:p>
    <w:p>
      <w:pPr>
        <w:pStyle w:val="TextBody"/>
        <w:bidi w:val="0"/>
        <w:spacing w:before="24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28, 2024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w:t>
      </w:r>
    </w:p>
    <w:p>
      <w:pPr>
        <w:pStyle w:val="TextBody"/>
        <w:bidi w:val="0"/>
        <w:spacing w:before="0" w:after="0"/>
        <w:jc w:val="left"/>
        <w:rPr>
          <w:rFonts w:ascii="Times New Roman" w:hAnsi="Times New Roman"/>
          <w:sz w:val="20"/>
        </w:rPr>
      </w:pPr>
      <w:r>
        <w:rPr>
          <w:rFonts w:ascii="Times New Roman" w:hAnsi="Times New Roman"/>
          <w:sz w:val="20"/>
        </w:rPr>
        <w:t xml:space="preserve">several Underwriters listed </w:t>
      </w:r>
    </w:p>
    <w:p>
      <w:pPr>
        <w:pStyle w:val="TextBody"/>
        <w:bidi w:val="0"/>
        <w:spacing w:before="0" w:after="0"/>
        <w:jc w:val="left"/>
        <w:rPr>
          <w:rFonts w:ascii="Times New Roman" w:hAnsi="Times New Roman"/>
          <w:sz w:val="20"/>
        </w:rPr>
      </w:pPr>
      <w:r>
        <w:rPr>
          <w:rFonts w:ascii="Times New Roman" w:hAnsi="Times New Roman"/>
          <w:sz w:val="20"/>
        </w:rPr>
        <w:t xml:space="preserve">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383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10179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c/o 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Certain stockholders named in Schedule 2 hereto (the Selling Stockholders) of Sotera Health Company, a Delaware corporation (the Company), propose to sell to the several underwriters listed in Schedule 1 hereto (the Underwriters), for whom you are acting as representative (the Representatives), an aggregate of 25,000,000 shares (the Underwritten Shares) of common stock, par value $0.01 per share (Common Stock), of the Company and, at the option of the Underwriters, up to an additional 3,750,000 shares (the Option Shares) of Common Stock of the Company. The Underwritten Shares and the Option Shares are herein referred to as the Shares. The shares of Common Stock of the Company to be outstanding after giving effect to the sale of the Shares are referred to herein as the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the Selling Stockholders hereby confirm their agreement with the several Underwriters concerning the purchase and sale of the Shares,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on Form S-3 (File No. 333-277418),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including any preliminary prospectus supplement,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a Preliminary Prospectus dated February 27, 2024 and each free-writing prospectus (as defined pursuant to Rule 405 under the Securities Act) listed on Annex A hereto. </w:t>
      </w:r>
    </w:p>
    <w:p>
      <w:pPr>
        <w:pStyle w:val="TextBody"/>
        <w:bidi w:val="0"/>
        <w:spacing w:before="240" w:after="0"/>
        <w:jc w:val="left"/>
        <w:rPr>
          <w:rFonts w:ascii="Times New Roman" w:hAnsi="Times New Roman"/>
          <w:sz w:val="20"/>
        </w:rPr>
      </w:pPr>
      <w:r>
        <w:rPr>
          <w:rFonts w:ascii="Times New Roman" w:hAnsi="Times New Roman"/>
          <w:sz w:val="20"/>
        </w:rPr>
        <w:t xml:space="preserve">Applicable Time means 5:00 P.M., New York City time, on February 28, 2024.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Selling Stockholders agrees, severally and not jointly, to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$14.3075 (the Purchase Price) from each of the Selling Stockholders the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Selling Stockholders agrees severally and not jointly, as and to the extent indicated in Schedule 2 hereto, to sell the Option Shares to the several Underwriters, and the Underwriters, on the basis of the representations, warranties and agreements set forth herein and subject to the conditions set forth herein, shall have the option to purchase, severally and not jointly, from each Selling Stockholder the Option Shares at the Purchase Price less an amount per share equal to any dividends or distributions declared by the Company and payable on the Underwritten Shares but not payable on the Option Shares. </w:t>
      </w:r>
    </w:p>
    <w:p>
      <w:pPr>
        <w:pStyle w:val="TextBody"/>
        <w:bidi w:val="0"/>
        <w:spacing w:before="24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Stockholder as set forth in Schedule 2 hereto.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 for the Shares shall be made by wire transfer in immediately available funds to the account specified by each of the Sponsor Selling Stockholders (as defined herein) and the Attorneys-in-Fact to the Representatives in the case of the Underwritten Shares, via teleconference at 10:00 A.M. New York City time on March 4, 2024, or at such other time or place on the same or such other date, not later than the fifth business day thereafter, as the Representatives and each of the Sponsor Selling Stockholders and the Attorneys-in-Fact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Selling Stockholders. Delivery of the Shares shall be made through the facilities of The Depository Trust Company (DTC) unless the Representatives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and each Selling Stockholder acknowledges and agrees that the Representatives and the other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the other Underwriters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and each Selling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Pricing Disclosure Package. </w:t>
      </w:r>
      <w:r>
        <w:rPr>
          <w:rFonts w:ascii="Times New Roman" w:hAnsi="Times New Roman"/>
          <w:sz w:val="20"/>
        </w:rPr>
        <w:t xml:space="preserve">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Testing-the-Waters Materials. </w:t>
      </w:r>
      <w:r>
        <w:rPr>
          <w:rFonts w:ascii="Times New Roman" w:hAnsi="Times New Roman"/>
          <w:sz w:val="20"/>
        </w:rPr>
        <w:t xml:space="preserve">The Company (i) has not alone engaged in any Testing-the-Waters Communications other than 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Annex B hereto.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 Any individual Written Testing-the-Waters Communication does not conflict in any material respect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each such Written Testing-the-Waters Communications in reliance upon and in conformity with information relating to any Underwriter furnished to the Company in writing by such Underwriter through the Representatives expressly for use in such Written Testing-the-Waters Communications, it being understood and agreed that the only such information furnished by any Underwriter, if any,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Incorporated Documents. </w:t>
      </w:r>
      <w:r>
        <w:rPr>
          <w:rFonts w:ascii="Times New Roman" w:hAnsi="Times New Roman"/>
          <w:sz w:val="20"/>
        </w:rPr>
        <w:t xml:space="preserve">The documents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Financial Statements.</w:t>
      </w:r>
      <w:r>
        <w:rPr>
          <w:rFonts w:ascii="Times New Roman" w:hAnsi="Times New Roman"/>
          <w:sz w:val="20"/>
        </w:rPr>
        <w:t xml:space="preserve"> The historical financial statements (including the related notes and supporting schedules) and the other financial data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 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Material Adverse Change.</w:t>
      </w:r>
      <w:r>
        <w:rPr>
          <w:rFonts w:ascii="Times New Roman" w:hAnsi="Times New Roman"/>
          <w:sz w:val="20"/>
        </w:rPr>
        <w:t xml:space="preserve"> Since the date of the most recent financial statements of the Company included or incorporated by 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Organization and Good Standing.</w:t>
      </w:r>
      <w:r>
        <w:rPr>
          <w:rFonts w:ascii="Times New Roman" w:hAnsi="Times New Roman"/>
          <w:sz w:val="20"/>
        </w:rPr>
        <w:t xml:space="preserve"> Each of the Company and its subsidiaries has been duly organized, is validly existing and in good 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Capitalization.</w:t>
      </w:r>
      <w:r>
        <w:rPr>
          <w:rFonts w:ascii="Times New Roman" w:hAnsi="Times New Roman"/>
          <w:sz w:val="20"/>
        </w:rPr>
        <w:t xml:space="preserve"> The Company has an authorized capitalization as set forth in the Registration Statement, the Pricing Disclosure Package and the Prospectus under the heading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Stock Options. </w:t>
      </w:r>
      <w:r>
        <w:rPr>
          <w:rFonts w:ascii="Times New Roman" w:hAnsi="Times New Roman"/>
          <w:sz w:val="20"/>
        </w:rPr>
        <w:t xml:space="preserve">With respect to the stock options (the Stock Options) and other equity awards granted pursuant to the stock-based 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related notes) of the Company and included in the disclosures in the Companys filings with the Commission in accordance with the Exchange Act and all other applicable laws to the extent required to be disclosed.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Due Authorization.</w:t>
      </w:r>
      <w:r>
        <w:rPr>
          <w:rFonts w:ascii="Times New Roman" w:hAnsi="Times New Roman"/>
          <w:sz w:val="20"/>
        </w:rPr>
        <w:t xml:space="preserve"> The Company has all requisite corporate power and authority to execute, deliver and perform its obligations under this Agreement; and all corporate action required to be taken for the due and proper authorization, execution and delivery by it of this Agreement and the consummation by it of the transactions contemplated 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Underwriting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Description of the Underwriting Agreement.</w:t>
      </w:r>
      <w:r>
        <w:rPr>
          <w:rFonts w:ascii="Times New Roman" w:hAnsi="Times New Roman"/>
          <w:sz w:val="20"/>
        </w:rPr>
        <w:t xml:space="preserve"> This Agreement conforms in all material respects to the description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and the consummation of the transactions 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Consents Required.</w:t>
      </w:r>
      <w:r>
        <w:rPr>
          <w:rFonts w:ascii="Times New Roman" w:hAnsi="Times New Roman"/>
          <w:sz w:val="20"/>
        </w:rPr>
        <w:t xml:space="preserve"> No consent, approval, authorization or order of, or filing, registration or qualification with any U.S. court or 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the Financial Industry Regulatory Authority, Inc.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Legal Proceedings.</w:t>
      </w:r>
      <w:r>
        <w:rPr>
          <w:rFonts w:ascii="Times New Roman" w:hAnsi="Times New Roman"/>
          <w:sz w:val="20"/>
        </w:rPr>
        <w:t xml:space="preserve"> Except as described in each of the Registration Statement, the Pricing Disclosure Package and the Prospectus, there 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 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Independent Accountants</w:t>
      </w:r>
      <w:r>
        <w:rPr>
          <w:rFonts w:ascii="Times New Roman" w:hAnsi="Times New Roman"/>
          <w:sz w:val="20"/>
        </w:rPr>
        <w:t xml:space="preserve">. Ernst &amp; Young LLP, who has audited certain financial statements of the Company and its subsidiaries, whose 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Title to Real and Personal Property</w:t>
      </w:r>
      <w:r>
        <w:rPr>
          <w:rFonts w:ascii="Times New Roman" w:hAnsi="Times New Roman"/>
          <w:sz w:val="20"/>
        </w:rPr>
        <w:t xml:space="preserve">. The Company and its subsidiaries own or lease all such real and personal property necessary to the conduct of their respective businesses, 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Intellectual Property.</w:t>
      </w:r>
      <w:r>
        <w:rPr>
          <w:rFonts w:ascii="Times New Roman" w:hAnsi="Times New Roman"/>
          <w:sz w:val="20"/>
        </w:rPr>
        <w:t xml:space="preserve"> Except as would not, individually or in the aggregate, reasonably be expected to have a Material Adverse Effect 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Investment Company Act</w:t>
      </w:r>
      <w:r>
        <w:rPr>
          <w:rFonts w:ascii="Times New Roman" w:hAnsi="Times New Roman"/>
          <w:sz w:val="20"/>
        </w:rPr>
        <w:t xml:space="preserve">. The Company is not an investment company within the meaning of the Investment Company Act of 1940, as amended, and the rules and regulations of the Commission thereunder (collectively,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Taxes.</w:t>
      </w:r>
      <w:r>
        <w:rPr>
          <w:rFonts w:ascii="Times New Roman" w:hAnsi="Times New Roman"/>
          <w:sz w:val="20"/>
        </w:rPr>
        <w:t xml:space="preserve"> Except, in each case, as would not have a Material Adverse Effect, (i) the Company and its subsidiaries have filed all federal, 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Licenses and Permits. </w:t>
      </w:r>
      <w:r>
        <w:rPr>
          <w:rFonts w:ascii="Times New Roman" w:hAnsi="Times New Roman"/>
          <w:sz w:val="20"/>
        </w:rPr>
        <w:t xml:space="preserve">The Company and each of its subsidiaries have such permits, licenses, approvals, clearances, exemptions, 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No Labor Disputes.</w:t>
      </w:r>
      <w:r>
        <w:rPr>
          <w:rFonts w:ascii="Times New Roman" w:hAnsi="Times New Roman"/>
          <w:sz w:val="20"/>
        </w:rPr>
        <w:t xml:space="preserve"> Except as would not have a Material Adverse Effect, no labor disturbance by or dispute with employees of the 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Certain Environmental Matters</w:t>
      </w:r>
      <w:r>
        <w:rPr>
          <w:rFonts w:ascii="Times New Roman" w:hAnsi="Times New Roman"/>
          <w:sz w:val="20"/>
        </w:rPr>
        <w:t xml:space="preserve">. Except as described in each of the Registration Statement, the Pricing Disclosure Package and the 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 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under any Environmental Laws in which a governmental entity is also a party, other than such proceedings regarding which it is reasonably believed no monetary sanctions of $300,000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Compliance with ERISA. </w:t>
      </w:r>
      <w:r>
        <w:rPr>
          <w:rFonts w:ascii="Times New Roman" w:hAnsi="Times New Roman"/>
          <w:sz w:val="20"/>
        </w:rPr>
        <w:t xml:space="preserve">Except, in each case, as would not have a Material Adverse Effect or as described in each of the Registration 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(iv) each Plan that is intended to be qualified under Section 401(a) of the Code is so qualified and nothing has occurred, whether by action or by failure to act, which would cause the loss of such qualification; and (v) with respect to (A) each employee 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Disclosure Controls</w:t>
      </w:r>
      <w:r>
        <w:rPr>
          <w:rFonts w:ascii="Times New Roman" w:hAnsi="Times New Roman"/>
          <w:sz w:val="20"/>
        </w:rPr>
        <w:t xml:space="preserve">. The Company and its subsidiaries maintain a system of disclosure controls and procedures (as defined in Rule 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Accounting Controls. </w:t>
      </w:r>
      <w:r>
        <w:rPr>
          <w:rFonts w:ascii="Times New Roman" w:hAnsi="Times New Roman"/>
          <w:sz w:val="20"/>
        </w:rPr>
        <w:t xml:space="preserve">The Company and its subsidiaries maintain systems of internal control over financial reporting (as defined in 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Insurance. </w:t>
      </w:r>
      <w:r>
        <w:rPr>
          <w:rFonts w:ascii="Times New Roman" w:hAnsi="Times New Roman"/>
          <w:sz w:val="20"/>
        </w:rPr>
        <w:t xml:space="preserve">The Company and its subsidiaries, taken as a whole, are insured against such losses and risks and in such amounts as are, in the reasonable judgment of the Company, prudent and customary in the businesses in which they are engaged or as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Cybersecurity; Data Protection.</w:t>
      </w:r>
      <w:r>
        <w:rPr>
          <w:rFonts w:ascii="Times New Roman" w:hAnsi="Times New Roman"/>
          <w:sz w:val="20"/>
        </w:rPr>
        <w:t xml:space="preserve"> Except as would not, individually or in the aggregate, reasonably be expected to have a Material 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Compliance with Anti-Money Laundering Laws and Cannabis Laws</w:t>
      </w:r>
      <w:r>
        <w:rPr>
          <w:rFonts w:ascii="Times New Roman" w:hAnsi="Times New Roman"/>
          <w:sz w:val="20"/>
        </w:rPr>
        <w:t xml:space="preserve">. In the past five years, the operations of the Company and its 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The operations of the Company and its subsidiaries are and have been conducted for each of the last three years (i) in compliance with the Controlled Substances Act (21 U.S.C. § 801 </w:t>
      </w:r>
      <w:r>
        <w:rPr>
          <w:rFonts w:ascii="Times New Roman" w:hAnsi="Times New Roman"/>
          <w:i/>
          <w:sz w:val="20"/>
        </w:rPr>
        <w:t>et seq</w:t>
      </w:r>
      <w:r>
        <w:rPr>
          <w:rFonts w:ascii="Times New Roman" w:hAnsi="Times New Roman"/>
          <w:sz w:val="20"/>
        </w:rPr>
        <w:t xml:space="preserve">)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 </w:t>
      </w:r>
    </w:p>
    <w:p>
      <w:pPr>
        <w:pStyle w:val="TextBody"/>
        <w:bidi w:val="0"/>
        <w:spacing w:before="120" w:after="0"/>
        <w:jc w:val="left"/>
        <w:rPr>
          <w:rFonts w:ascii="Times New Roman" w:hAnsi="Times New Roman"/>
          <w:sz w:val="20"/>
        </w:rPr>
      </w:pPr>
      <w:r>
        <w:rPr>
          <w:rFonts w:ascii="Times New Roman" w:hAnsi="Times New Roman"/>
          <w:sz w:val="20"/>
        </w:rPr>
        <w:t xml:space="preserve">No action, suit or proceeding by or before any court or governmental agency, authority or body or any arbitrator involving the Company or any of its subsidiaries with respect to the Anti-Money Laundering Laws or Cannabis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The proceeds from the offering of the Shares will not be lent, used, or otherwise made available in any way that would cause a material violation of Anti-Money Laundering Laws or a violation of Cannabis Laws by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No Conflicts with Sanctions Laws. </w:t>
      </w:r>
      <w:r>
        <w:rPr>
          <w:rFonts w:ascii="Times New Roman" w:hAnsi="Times New Roman"/>
          <w:sz w:val="20"/>
        </w:rPr>
        <w:t xml:space="preserve">Neither the Company nor any of its subsidiaries, nor any directors or officers of the Company or any 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Canada (collectively, Sanctions) (Sanctioned Person) or (ii) located, organized or resident in a country or territory that is the subject or target of Sanctions that broadly prohibit dealings with such country or territory (currently, the so-called Donetsk Peoples Republic, the so-called Luhansk Peoples Republic, the Crimea Region of Ukraine, Cuba, Iran, North Korea, and Syria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Restrictions on Subsidiaries</w:t>
      </w:r>
      <w:r>
        <w:rPr>
          <w:rFonts w:ascii="Times New Roman" w:hAnsi="Times New Roman"/>
          <w:sz w:val="20"/>
        </w:rPr>
        <w:t xml:space="preserve">. No subsidiary of the Company, excluding any joint venture, is currently prohibited, directly or 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could give rise to a valid claim against any of them or any Underwriter for a brokerage commission, finders fee or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except for such rights that are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No Stabilization.</w:t>
      </w:r>
      <w:r>
        <w:rPr>
          <w:rFonts w:ascii="Times New Roman" w:hAnsi="Times New Roman"/>
          <w:sz w:val="20"/>
        </w:rPr>
        <w:t xml:space="preserve"> Neither the Company nor any of its affiliates has taken or will take, directly or indirectly, without giving effect to activities by the Underwriters, any action designed to or that could reasonably be expected to cause or result in the stabilization or manipulation of the price of any security of the Company or any of its subsidiaries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reasonably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Compliance with Healthcare Laws.</w:t>
      </w:r>
      <w:r>
        <w:rPr>
          <w:rFonts w:ascii="Times New Roman" w:hAnsi="Times New Roman"/>
          <w:sz w:val="20"/>
        </w:rPr>
        <w:t xml:space="preserve"> In the past three years, the Company and its subsidiaries (i) are and at all times have been in material 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Clinical Data and Regulatory Compliance</w:t>
      </w:r>
      <w:r>
        <w:rPr>
          <w:rFonts w:ascii="Times New Roman" w:hAnsi="Times New Roman"/>
          <w:sz w:val="20"/>
        </w:rPr>
        <w:t xml:space="preserve">. (i) The tests, studies, and clinical trials conducted by or on behalf of or sponsored by the 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material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 correspondence or communications that have been resolved as of the date hereof or as 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 Representations and Warranties of the Selling Stockholders</w:t>
      </w:r>
      <w:r>
        <w:rPr>
          <w:rFonts w:ascii="Times New Roman" w:hAnsi="Times New Roman"/>
          <w:sz w:val="20"/>
        </w:rPr>
        <w:t xml:space="preserve">. Each of the Selling Stockholders severally and not jointly represents and warrants to each Underwriter and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Consents; Authority</w:t>
      </w:r>
      <w:r>
        <w:rPr>
          <w:rFonts w:ascii="Times New Roman" w:hAnsi="Times New Roman"/>
          <w:sz w:val="20"/>
        </w:rPr>
        <w:t xml:space="preserve">. Except (i) as may be required under foreign or state securities (or Blue Sky) laws or by FINRA or by the 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Conflicts</w:t>
      </w:r>
      <w:r>
        <w:rPr>
          <w:rFonts w:ascii="Times New Roman" w:hAnsi="Times New Roman"/>
          <w:sz w:val="20"/>
        </w:rPr>
        <w:t xml:space="preserve">. The execution, delivery and performance by such Selling Stockholder of this Agreement, the sale of the Shares to be sold 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if such Selling Stockholder is not a natural person,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Title to Shares. </w:t>
      </w:r>
      <w:r>
        <w:rPr>
          <w:rFonts w:ascii="Times New Roman" w:hAnsi="Times New Roman"/>
          <w:sz w:val="20"/>
        </w:rPr>
        <w:t xml:space="preserve">Such Selling Stockholder has good and valid title to the Shares to be sold at the Closing Date or the Additional Closing Date, as the case may be, by such Selling Stockholder hereunder, free and clear of all liens, encumbrances, equities or adverse claims; such Selling Stockholder will have, immediately prior to the Closing Date or the Additional Closing Date, as the case may be, good and valid title to the Shares to be sold at the Closing Date or the Additional Closing Date, as the case may be, by such Selling Stockholder, free and clear of all liens, encumbrances, equities or adverse claims; and upon payment for the Shares to be sold by such Selling Stockholder pursuant to this Agreement, delivery of such Shares, as directed by the Representatives, to Cede &amp; Co. (Cede) or such other nominee as may be designated by DTC, registration of such Shares in the name of Cede or such other nominee and the crediting of such Shares on the books of DTC to the securities account of the Underwriters, as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Stabilization. </w:t>
      </w:r>
      <w:r>
        <w:rPr>
          <w:rFonts w:ascii="Times New Roman" w:hAnsi="Times New Roman"/>
          <w:sz w:val="20"/>
        </w:rPr>
        <w:t xml:space="preserve">Such Selling Stockholder has not taken and will not take, directly or indirectly, any action designed to or that could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Pricing Disclosure Package</w:t>
      </w:r>
      <w:r>
        <w:rPr>
          <w:rFonts w:ascii="Times New Roman" w:hAnsi="Times New Roman"/>
          <w:sz w:val="20"/>
        </w:rPr>
        <w:t xml:space="preserve">. The Pricing Disclosure Package, at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Principal and Selling Stockholders and (C) with respect to the Sponsor Selling Stockholders, the information about such Sponsor Selling Stockholder under the caption SummaryPrincipal Stockholders (collectively, the Selling Stockholder Information).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Issuer Free Writing Prospectus and Written Testing-the-Waters Communication. </w:t>
      </w:r>
      <w:r>
        <w:rPr>
          <w:rFonts w:ascii="Times New Roman" w:hAnsi="Times New Roman"/>
          <w:sz w:val="20"/>
        </w:rPr>
        <w:t xml:space="preserve">Other than the Registration Statement, the Preliminary 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Registration Statement and Prospectus. </w:t>
      </w:r>
      <w:r>
        <w:rPr>
          <w:rFonts w:ascii="Times New Roman" w:hAnsi="Times New Roman"/>
          <w:sz w:val="20"/>
        </w:rPr>
        <w:t xml:space="preserve">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that such Selling Stockholders representation under this Section 4(g) shall apply only to any untrue statement of a material fact or omission to state a material fact made in reliance upon and in conformity with the Selling Stockholder Information.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Use of Proceeds</w:t>
      </w:r>
      <w:r>
        <w:rPr>
          <w:rFonts w:ascii="Times New Roman" w:hAnsi="Times New Roman"/>
          <w:sz w:val="20"/>
        </w:rPr>
        <w:t xml:space="preserve">. Such Selling Stockholder will not use, directly or knowingly indirectly, the proceeds of the offering in furtherance of an 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Organization and Good Standing</w:t>
      </w:r>
      <w:r>
        <w:rPr>
          <w:rFonts w:ascii="Times New Roman" w:hAnsi="Times New Roman"/>
          <w:sz w:val="20"/>
        </w:rPr>
        <w:t xml:space="preserve">. If such Selling Stockholder is not a natural person, such Selling Stockholder has been duly organized and is validly existing and in good standing under the laws of its respective jurisdictions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ERISA.</w:t>
      </w:r>
      <w:r>
        <w:rPr>
          <w:rFonts w:ascii="Times New Roman" w:hAnsi="Times New Roman"/>
          <w:sz w:val="20"/>
        </w:rPr>
        <w:t xml:space="preserve"> Such Selling Stockholder is not (i) an employee benefit plan subject to Title I of ERISA, (ii) a plan as defined in Section 4975(e)(1) of the Code that is subject to Section 4975 of the Code or (iii) an entity deemed to hold plan assets of any such plan or account under Section 3(42) of ERISA, 29 C.F.R. 2510.3-101, or otherwise.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Stamp Taxes</w:t>
      </w:r>
      <w:r>
        <w:rPr>
          <w:rFonts w:ascii="Times New Roman" w:hAnsi="Times New Roman"/>
          <w:sz w:val="20"/>
        </w:rPr>
        <w:t xml:space="preserve">. No stamp duties or other issuance or transfer taxes are payable by or on behalf of the Underwriters in the United States or, in each case, any political subdivision or taxing authority thereof in connection with (A) the execution, delivery and performance of this Agreement, (B) the sale and the delivery of the Shares to be sold by such Selling Stockholder in the manner contemplated by this Agreement and the Prospectus or (C) the sale and delivery by the Underwriters of the Shares to be sold by such Selling Stockholder as contemplated herein and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Enforcement of Foreign Judgments</w:t>
      </w:r>
      <w:r>
        <w:rPr>
          <w:rFonts w:ascii="Times New Roman" w:hAnsi="Times New Roman"/>
          <w:sz w:val="20"/>
        </w:rPr>
        <w:t xml:space="preserve">. Any final judgment for a fixed or determined sum of money rendered by any U.S. federal or New 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Valid Choice of Law</w:t>
      </w:r>
      <w:r>
        <w:rPr>
          <w:rFonts w:ascii="Times New Roman" w:hAnsi="Times New Roman"/>
          <w:sz w:val="20"/>
        </w:rPr>
        <w:t xml:space="preserve">. The choice of laws of the State of New York as the governing law of this Agreement is a valid choice of law under 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Currency</w:t>
      </w:r>
      <w:r>
        <w:rPr>
          <w:rFonts w:ascii="Times New Roman" w:hAnsi="Times New Roman"/>
          <w:sz w:val="20"/>
        </w:rPr>
        <w:t xml:space="preserve">. To the extent any payment is to be made by such Selling Stockholder pursuant to this Agreement, such Selling Stockholder 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Representations of the Non-Sponsor Selling Stockholders</w:t>
      </w:r>
      <w:r>
        <w:rPr>
          <w:rFonts w:ascii="Times New Roman" w:hAnsi="Times New Roman"/>
          <w:sz w:val="20"/>
        </w:rPr>
        <w:t xml:space="preserve">. Each of the Selling Stockholders other than (i) Bull Holdco, L.P. and Bull Co-Invest L.P. (collectively, the Warburg Sponsor Selling Stockholders) and (ii) GTCR Fund XI/A LP, GTCR Fund XI/C LP and GTCR Co-Invest XI LP (collectively, the GTCR Sponsor Selling Stockholders and, together with the Warburg Sponsor Selling Stockholders, the Sponsor Selling Stockholders) (such other Selling Stockholders, the Non-Sponsor Selling Stockholders), severally and not jointly,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Required Consents; Authority. </w:t>
      </w:r>
      <w:r>
        <w:rPr>
          <w:rFonts w:ascii="Times New Roman" w:hAnsi="Times New Roman"/>
          <w:sz w:val="20"/>
        </w:rPr>
        <w:t xml:space="preserve">Except as would not, individually or in the aggregate, reasonably be expected to impair such Non-Sponsor Selling Stockholders ability to perform its obligations under the Power of Attorney and the Custody Agreement in any material respect, all consents, approvals, authorizations and orders necessary for the execution and delivery by such Non-Sponsor Selling Stockholder of the Power of Attorney and the Custody Agreement hereinafter referred to, have been obtained; and such Non-Sponsor Selling Stockholder has full right, power and authority to enter into the Power of Attorney and the Custody Agreement; each of the Power of Attorney and the Custody Agreement been duly authorized, executed and delivered by such Non-Sponsor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Conflicts</w:t>
      </w:r>
      <w:r>
        <w:rPr>
          <w:rFonts w:ascii="Times New Roman" w:hAnsi="Times New Roman"/>
          <w:sz w:val="20"/>
        </w:rPr>
        <w:t xml:space="preserve">. The execution, delivery and performance by such Non-Sponsor Selling Stockholder of the Power of Attorney and the Custody Agreement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Non-Sponsor Selling Stockholder pursuant to, any indenture, mortgage, deed of trust, loan agreement or other agreement or instrument to which such Non-Sponsor Selling Stockholder is a party or by which such Non-Sponsor Selling Stockholder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bound or to which any of the property, right or asset of such Non-Sponsor Selling Stockholder is subject, (ii) if such Non-Sponsor Selling Stockholder is not a natural person, result in any violation of the provisions of the charter or by-laws or similar organizational documents of such Non-Sponsor Selling Stockholder or (iii) result in the violation of any law or statute or any judgment, order, rule or regulation of any court or arbitrator or governmental or regulatory agency applicable to such Non-Sponsor Selling Stockholder, except in the case of (i) and (iii), as would not, individually or in the aggregate, reasonably be expected to impair such Non-Sponsor Selling Stockholders ability to perform its obligations under the Power of Attorney and the Custody Agreement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(c) Such Non-Sponsor Selling Stockholder has (i) authorized Computershare Inc. to place in a book-entry account established for such purchase all of the Shares to be sold by such Non-Sponsor Selling Stockholder hereunder, (ii) has placed such Shares in custody under a Custody Agreement relating to such Shares, in the form heretofore furnished to you (the Custody Agreement), duly executed and delivered by such Non-Sponsor Selling Stockholder to Computershare Inc., as custodian (the Custodian), and that such Non-Sponsor Selling Stockholder has duly executed and delivered a Power of Attorney (the Power of Attorney), in the form heretofore furnished to you, appointing the person or persons indicated in Schedule 2 hereto, and each of them, as such Non-Sponsor Selling Stockholders Attorneys-in-fact (the Attorneys-in-Fact or any one of them the Attorney-in Fact) with authority to execute and deliver this Agreement on behalf of such Non-Sponsor Selling Stockholder, to determine the purchase price to be paid by the Underwriters to the Non-Sponsor Selling Stockholder as provided herein, to authorize the delivery of the Shares to be sold by such Non-Sponsor Selling Stockholder hereunder and otherwise to act on behalf of such Non-Sponsor Selling Stockholder in connection with the transactions contemplated by this Agreement and the Custody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Shares held in custody for such Non-Sponsor Selling Stockholder under the Custody Agreement, are subject to the interests of the Underwriters hereunder, and that the arrangements made by such Non-Sponsor Selling Stockholder for such custody, and the appointment by such Non-Sponsor Selling Stockholder of the Attorneys-in-Fact by the Power of Attorney, are to that extent irrevocable. The obligations of such Non-Sponsor Selling Stockholder hereunder shall not be terminated by operation of law, whether by the death or incapacity of any individual Non-Sponsor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Non-Sponsor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such Shares shall be delivered by or on behalf of such Non-Sponsor Selling Stockholder in accordance with the terms and conditions of this Agreement and the Custody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As of the date hereof and as of the Closing Date and as of the Additional Closing Date, as the case may be, that the sale of the Shares by such Non-Sponsor Selling Stockholder is not and will not be prompted by any material information concerning the Company which is not set forth in the Registration Statement, the Pricing Disclosure Package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(or such later time as may be agreed by the Company and the Representatives) in such quantities as the Representatives may reasonably request. The Company will pay the registration fee for this offering within the time period required by Rule 456(b)(1) under the Securities Act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without charge, (i) to the Representatives,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Representatives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will use its reasonable best efforts, in cooperation with the Representatives, to qualify the Shares for offer and sale under the securities or Blue Sky laws of such jurisdictions as the Representatives shall reasonably request and will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hAnsi="Times New Roman"/>
          <w:sz w:val="20"/>
          <w:u w:val="single"/>
        </w:rPr>
        <w:t>provided</w:t>
      </w:r>
      <w:r>
        <w:rPr>
          <w:rFonts w:ascii="Times New Roman" w:hAnsi="Times New Roman"/>
          <w:sz w:val="20"/>
        </w:rPr>
        <w:t xml:space="preserve"> that the Company will be deemed to have complied with such requirement by filing such earnings statement on the Commissions Electronic Data Gathering, Analysis, and Retrieval system (or any successor system)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60 days after the date of the Prospectus, the Company will not (i) offer, pledge, sell, contract to sell, sell 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Common Stock or any securities convertible into or exercisable or exchangeable for Common Stock, or publicly disclose the intention to undertake any of the foregoing (</w:t>
      </w:r>
      <w:r>
        <w:rPr>
          <w:rFonts w:ascii="Times New Roman" w:hAnsi="Times New Roman"/>
          <w:sz w:val="20"/>
          <w:u w:val="single"/>
        </w:rPr>
        <w:t>provided</w:t>
      </w:r>
      <w:r>
        <w:rPr>
          <w:rFonts w:ascii="Times New Roman" w:hAnsi="Times New Roman"/>
          <w:sz w:val="20"/>
        </w:rPr>
        <w:t xml:space="preserve"> that the Company shall provide written notice to the Representatives at least two business days prior to any confidential or non-public submission of a registration statement described in this clause (i)),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J.P. Morgan Securities LLC, on behalf of the Underwriters, other than the Shares to be sold hereunder.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Times New Roman" w:hAnsi="Times New Roman"/>
          <w:sz w:val="20"/>
          <w:u w:val="single"/>
        </w:rPr>
        <w:t>provided</w:t>
      </w:r>
      <w:r>
        <w:rPr>
          <w:rFonts w:ascii="Times New Roman" w:hAnsi="Times New Roman"/>
          <w:sz w:val="20"/>
        </w:rPr>
        <w:t xml:space="preserve"> that such recipients that are executive officers or directors of the Company enter into a lock-up agreement with the Underwriters substantially in the form of </w:t>
      </w:r>
      <w:r>
        <w:rPr>
          <w:rFonts w:ascii="Times New Roman" w:hAnsi="Times New Roman"/>
          <w:sz w:val="20"/>
          <w:u w:val="single"/>
        </w:rPr>
        <w:t>Exhibit A</w:t>
      </w:r>
      <w:r>
        <w:rPr>
          <w:rFonts w:ascii="Times New Roman" w:hAnsi="Times New Roman"/>
          <w:sz w:val="20"/>
        </w:rPr>
        <w:t xml:space="preserve"> hereto; (iii) entry into one or more agreements 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The Company will not take, directly or indirectly, without giving effect to the activities by the Underwriters, any action designed to or that would reasonably be expected to cause or result in any stabilization or manipulation of the price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For so long as the Company is a reporting company pursuant to Section 12 or 15 of the Exchange Act, the Company will use its reasonable best efforts to maintain the listing of the Shares on the Nasdaq Market.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two years from the date of this Agreement,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Representatives to the extent they are filed on EDGAR.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Shelf Renewal</w:t>
      </w:r>
      <w:r>
        <w:rPr>
          <w:rFonts w:ascii="Times New Roman" w:hAnsi="Times New Roman"/>
          <w:sz w:val="20"/>
        </w:rPr>
        <w:t xml:space="preserve">. If immediately prior to the third anniversary (the Renewal Deadline) of the initial effective date of the 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Representative. If the Company is not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Further Agreements of the Selling Stockholders</w:t>
      </w:r>
      <w:r>
        <w:rPr>
          <w:rFonts w:ascii="Times New Roman" w:hAnsi="Times New Roman"/>
          <w:sz w:val="20"/>
        </w:rPr>
        <w:t xml:space="preserve">. Each of the Selling Stockholders severally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 Stabilization. </w:t>
      </w:r>
      <w:r>
        <w:rPr>
          <w:rFonts w:ascii="Times New Roman" w:hAnsi="Times New Roman"/>
          <w:sz w:val="20"/>
        </w:rPr>
        <w:t xml:space="preserve">Such Selling Stockholder will not take, directly or indirectly, any action designed to or that could reasonably be expected to cause or result in any stabilization or manipulation of the price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Tax Form. </w:t>
      </w:r>
      <w:r>
        <w:rPr>
          <w:rFonts w:ascii="Times New Roman" w:hAnsi="Times New Roman"/>
          <w:sz w:val="20"/>
        </w:rPr>
        <w:t xml:space="preserve">It will deliver to the Representatives prior to or at the Closing Date a properly completed and executed United States Treasury 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Use of Proceeds</w:t>
      </w:r>
      <w:r>
        <w:rPr>
          <w:rFonts w:ascii="Times New Roman" w:hAnsi="Times New Roman"/>
          <w:sz w:val="20"/>
        </w:rPr>
        <w:t xml:space="preserve">. It will not directly or indirectly use the proceeds of the offering of the Shares hereunder, or lend, contribute or 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 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and the Selling Stockholders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or the Option Shares on the Closing Date or Additional Closing Date, as the case may be, as provided herein is subject to the performance by the Company and each of the Selling Stockholders of their respective covenants and other obligations hereunder and to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respective representations and warranties of the Company and the Selling Stockholders contained herein shall be true and correct on the date hereof and on and as of the Closing Date or the Additional Closing Date, as the case may be; and the statements of the Company and its officers and of each of the Selling Stockholders and their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Change.</w:t>
      </w:r>
      <w:r>
        <w:rPr>
          <w:rFonts w:ascii="Times New Roman" w:hAnsi="Times New Roman"/>
          <w:sz w:val="20"/>
        </w:rPr>
        <w:t xml:space="preserve"> No event or condition of a type described in Section 3(i)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or the Additional Closing Date, as the case may be, (x)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or the Additional Closing Date, as the case may be, and (iii) to the effect set forth in paragraphs (a), (c) and (d) above and (y) a certificate of each of the Selling Stockholders, in form and substance reasonably satisfactory to the Representatives, (A) confirming that the representations of such Selling Stockholder set forth in Sections 4(A)(e), 4(A)(f) and 4(A)(g) hereof is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such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(i) On the date of this Agreement and on the Closing Date or the Additional Closing Date, as the 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w:t>
      </w:r>
      <w:r>
        <w:rPr>
          <w:rFonts w:ascii="Times New Roman" w:hAnsi="Times New Roman"/>
          <w:sz w:val="20"/>
        </w:rPr>
        <w:t xml:space="preserve"> Cleary Gottlieb Steen &amp; Hamilton LLP, counsel for the 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 to the effect set forth in Annex C-1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of Delaware Counsel for the Company.</w:t>
      </w:r>
      <w:r>
        <w:rPr>
          <w:rFonts w:ascii="Times New Roman" w:hAnsi="Times New Roman"/>
          <w:sz w:val="20"/>
        </w:rPr>
        <w:t xml:space="preserve"> Richards, Layton &amp; Finger, P.A., Delaware counsel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 to the effect set forth in Annex C-2 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Opinion of General Counsel for the Company</w:t>
      </w:r>
      <w:r>
        <w:rPr>
          <w:rFonts w:ascii="Times New Roman" w:hAnsi="Times New Roman"/>
          <w:sz w:val="20"/>
        </w:rPr>
        <w:t xml:space="preserve">. Alexander Dimitrief, Senior Vice President, General Counsel and Secretary to the Company, shall have furnished to the Representatives, at the request of the Company, his written opinion, dated the Closing Date or the Additional Closing Date, as the case may be, and addressed to the Underwriters, in form and substance reasonably satisfactory to the Representatives to the effect set forth in Annex C-3 hereto.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Opinion of Counsel for the Warburg Sponsor Selling Stockholders.</w:t>
      </w:r>
      <w:r>
        <w:rPr>
          <w:rFonts w:ascii="Times New Roman" w:hAnsi="Times New Roman"/>
          <w:sz w:val="20"/>
        </w:rPr>
        <w:t xml:space="preserve"> Cleary Gottlieb Steen &amp; Hamilton LLP, counsel for the Warburg Sponsor Selling Stockholders, shall have furnished to the Representatives, at the request of the Warburg Sponsor Selling Stockholders, their written opinion, dated the Closing Date or the Additional Closing Date, as the case may be, and addressed to the Underwriters, in form and substance reasonably satisfactory to the Representatives, to the effect set forth in Annex C-4 hereto.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Opinion of Counsel for the GTCR Sponsor Selling Stockholders. </w:t>
      </w:r>
      <w:r>
        <w:rPr>
          <w:rFonts w:ascii="Times New Roman" w:hAnsi="Times New Roman"/>
          <w:sz w:val="20"/>
        </w:rPr>
        <w:t xml:space="preserve">Kirkland &amp; Ellis LLP, counsel for the GTCR Sponsor Selling Stockholders, shall have furnished to the Representatives, at the request of the GTCR Sponsor Selling Stockholders, their written opinion, dated the Closing Date or the Additional Closing Date, as the case may be, and addressed to the Underwriters, in form and substance reasonably satisfactory to the Representatives, to the effect set forth in Annex C-5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Opinion of Delaware Counsel for the GTCR Sponsor Selling Stockholders. </w:t>
      </w:r>
      <w:r>
        <w:rPr>
          <w:rFonts w:ascii="Times New Roman" w:hAnsi="Times New Roman"/>
          <w:sz w:val="20"/>
        </w:rPr>
        <w:t xml:space="preserve">Richards, Layton &amp; Finger, P.A., Delaware counsel for the GTCR Sponsor Selling Stockholders, shall have furnished to the Representatives, at the request of the GTCR Sponsor Selling Stockholders, their written opinion, dated the Closing Date or the Additional Closing Date, as the case may be, and addressed to the Underwriters, in form and substance reasonably satisfactory to the Representatives, to the effect set forth in Annex C-6 hereto.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Opinions of Counsel for the Non-Sponsor Selling Stockholders. </w:t>
      </w:r>
      <w:r>
        <w:rPr>
          <w:rFonts w:ascii="Times New Roman" w:hAnsi="Times New Roman"/>
          <w:sz w:val="20"/>
        </w:rPr>
        <w:t xml:space="preserve">The counsel for the Non-Sponsor Selling Stockholders, as indicated in Schedule 2 hereto, shall have furnished to you their written opinion with respect to each of the Non-Sponsor Sellers for whom they are acting as counsel dated the Closing Date or the Additional Closing Date, as the case may be, and addressed to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or the Additional Closing Date, as the case may be, an opinion and 10b-5 statement, addressed to the Underwriters, of Simpson Thacher &amp; Bartlett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No Legal Impediment to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sale of the Shares; and no injunction or order of any federal, state or foreign court shall have been issued that would, as of the Closing Date or the Additional Closing Date, as the case may be, prevent the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Exchange Listing.</w:t>
      </w:r>
      <w:r>
        <w:rPr>
          <w:rFonts w:ascii="Times New Roman" w:hAnsi="Times New Roman"/>
          <w:sz w:val="20"/>
        </w:rPr>
        <w:t xml:space="preserve"> The Shares to be delivered on the Closing Date or the Additional Closing Date, as the case may be, shall have been approved for listing on the Nasdaq Market, subject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Lock-up Agreements</w:t>
      </w:r>
      <w:r>
        <w:rPr>
          <w:rFonts w:ascii="Times New Roman" w:hAnsi="Times New Roman"/>
          <w:sz w:val="20"/>
        </w:rPr>
        <w:t xml:space="preserve">. The lock-up agreements, each substantially in the form of </w:t>
      </w:r>
      <w:r>
        <w:rPr>
          <w:rFonts w:ascii="Times New Roman" w:hAnsi="Times New Roman"/>
          <w:sz w:val="20"/>
          <w:u w:val="single"/>
        </w:rPr>
        <w:t>Exhibit A</w:t>
      </w:r>
      <w:r>
        <w:rPr>
          <w:rFonts w:ascii="Times New Roman" w:hAnsi="Times New Roman"/>
          <w:sz w:val="20"/>
        </w:rPr>
        <w:t xml:space="preserve"> hereto, between you and executive officers and directors of the Company and the Selling Stockholders, listed on </w:t>
      </w:r>
      <w:r>
        <w:rPr>
          <w:rFonts w:ascii="Times New Roman" w:hAnsi="Times New Roman"/>
          <w:sz w:val="20"/>
          <w:u w:val="single"/>
        </w:rPr>
        <w:t>Exhibit B</w:t>
      </w:r>
      <w:r>
        <w:rPr>
          <w:rFonts w:ascii="Times New Roman" w:hAnsi="Times New Roman"/>
          <w:sz w:val="20"/>
        </w:rPr>
        <w:t xml:space="preserve"> hereto relating to sales and certain other dispositions of shares of Stock or certain other securities, delivered to you on or before the date hereof, shall be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and the Selling Stockholders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 by the Company.</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(d)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Selling Stockholders by the Company</w:t>
      </w:r>
      <w:r>
        <w:rPr>
          <w:rFonts w:ascii="Times New Roman" w:hAnsi="Times New Roman"/>
          <w:sz w:val="20"/>
        </w:rPr>
        <w:t xml:space="preserve">. The Company agrees to indemnify and hold harmless each Selling Stockholder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Indemnification of the Underwriters by the Selling Stockholders</w:t>
      </w:r>
      <w:r>
        <w:rPr>
          <w:rFonts w:ascii="Times New Roman" w:hAnsi="Times New Roman"/>
          <w:sz w:val="20"/>
        </w:rPr>
        <w:t xml:space="preserve">. Each of the Selling Stockholders severally in proportion to the number of 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any Written Testing-the-Waters Communication or the Pricing Disclosure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Indemnification of the Company and the Selling Stockholders by the Underwriters.</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 the concession and reallowance figures appearing in the third paragraph under the caption Underwriting; and (ii) the information contained in the thirteen, fourteenth and fifteenth paragraphs under the caption Underwriting.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Contribution.</w:t>
      </w:r>
      <w:r>
        <w:rPr>
          <w:rFonts w:ascii="Times New Roman" w:hAnsi="Times New Roman"/>
          <w:sz w:val="20"/>
        </w:rPr>
        <w:t xml:space="preserve"> If the indemnification provided for in paragraphs (a), (b), (c) or (d)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bear to the aggregate offering price of the Shares. The relative fault of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Liability.</w:t>
      </w:r>
      <w:r>
        <w:rPr>
          <w:rFonts w:ascii="Times New Roman" w:hAnsi="Times New Roman"/>
          <w:sz w:val="20"/>
        </w:rPr>
        <w:t xml:space="preserve"> The Company, the Selling Stockholders and the Underwriters agree that it would not be just and equitable if contribution pursuant to paragraph (f)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Selling Stockholders or the Underwriters were treated as one entity for such purpose) or by any other method of allocation that does not take account of the equitable considerations referred to in paragraph (f) above. The amount paid or payable by an Indemnified Person as a result of the losses, claims, damages and liabilities referred to in paragraph (f) above shall be deemed to include, subject to the limitations 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Selling Stockholder Liability</w:t>
      </w:r>
      <w:r>
        <w:rPr>
          <w:rFonts w:ascii="Times New Roman" w:hAnsi="Times New Roman"/>
          <w:sz w:val="20"/>
        </w:rPr>
        <w:t xml:space="preserve">. The liability of each Selling Stockholder under the indemnity and contribution agreements contained in Sections 9(c) and 9(f) shall not exceed the aggregate gross proceeds after underwriting commissions and discounts, but before expenses, to such Selling Stockholder from the sale of the Shares sold by such Selling Stockholder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Non-Exclusive Remedies.</w:t>
      </w:r>
      <w:r>
        <w:rPr>
          <w:rFonts w:ascii="Times New Roman" w:hAnsi="Times New Roman"/>
          <w:sz w:val="20"/>
        </w:rPr>
        <w:t xml:space="preserve"> The remedies provided for in this Section 9 are not exclusive and shall not limit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the Selling Stockholders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Representatives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 (iv) 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 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Notices. </w:t>
      </w:r>
      <w:r>
        <w:rPr>
          <w:rFonts w:ascii="Times New Roman" w:hAnsi="Times New Roman"/>
          <w:sz w:val="20"/>
        </w:rPr>
        <w:t xml:space="preserve">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Attention: Broadridge Financial Solutions, 1155 Long Island Avenue, Edgewood, NY 11717, by telephone at (866) 803-9204 or by email at prospectus-eq_fi@jpmchase.com; c/o Goldman Sachs &amp; Co. LLC, 200 West Street, New York, New York 10282; Attention: Registration Department; c/o Citigroup Global Markets Inc., 388 Greenwich Street, New York, New York 10013 Attention: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 Counsel, facsimile number 1-646-291-1469 and c/o Jefferies LLC, 520 Madison Avenue, New York, New York 10022; Attention General Counsel. Notices to the Company shall be given to it at Sotera Health Company, 9100 S. Hills Blvd. Suite 300, Broadview Heights, Ohio 44147 (email: [***]@soterahealth.com and [***]@soterahealth.com); Attention: Alexander Dimitrief and Jonathan Lyons. Notice to any Warburg Sponsor Seller shall be delivered to Warburg Pincus LLC, 450 Lexington Avenue, New York, NY 10017, Attention: Lora Giampetruzzi, Esq., Notice to any GTCR Sponsor Seller shall be delivered to GTCR, LLC, 300 North LaSalle Street, Suite 5600, Chicago, IL 60654, Attention: Constantine S. Mihas, David A. Donnini, Sean L. Cunningham and Jeffrey S. Wright. Notices to the Non-Sponsor Selling Stockholders shall be given to the Attorneys-in-Fact at Sotera Health Company, 9100 S. Hills Blvd. Suite 300, Broadview Heights, Ohio 44147 (email: [***]@soterahealth.com, [***]@soterahealth.com and [***]@soterahealth.com).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Each of the Company and the Selling Stockholders hereby submit to the exclusive jurisdiction of the U.S. federal 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in this Section 18(h): </w:t>
      </w:r>
    </w:p>
    <w:p>
      <w:pPr>
        <w:pStyle w:val="TextBody"/>
        <w:bidi w:val="0"/>
        <w:spacing w:before="120" w:after="0"/>
        <w:jc w:val="left"/>
        <w:rPr>
          <w:rFonts w:ascii="Times New Roman" w:hAnsi="Times New Roman"/>
          <w:sz w:val="20"/>
        </w:rPr>
      </w:pP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rFonts w:ascii="Times New Roman" w:hAnsi="Times New Roman"/>
          <w:sz w:val="20"/>
        </w:rPr>
      </w:pP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SOTERA HEALTH COMPANY</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M. Lyons</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Jonathan M. Lyons</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SELLING STOCKHOLDERS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BULL HOLDCO,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WP Bull Holdco GP LLC,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Warburg Pincus Private Equity XI, L.P., its sole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Streter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David Streter</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Partner, Warburg Pincus &amp; Co.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BULL CO-INVEST,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WP Bull Manager, LLC,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Warburg Pincus &amp; Co., its sole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Streter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David Streter</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Partner, Warburg Pincus &amp; 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GTCR FUND XI/A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GTCR Partners XI/A&amp;C LP, its 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GTCR Investment XI LLC, its 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L. Cunningham</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Sean L. Cunningham</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GTCR FUND XI/C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GTCR Partners XI/A&amp;C LP, its 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GTCR Investment XI LLC, its 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L. Cunningham</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Sean L. Cunningham</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GTCR CO-INVEST XI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GTCR Investment XI LLC, its 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L. Cunningham</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Sean L. Cunningham</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1"/>
        <w:gridCol w:w="3627"/>
      </w:tblGrid>
      <w:tr>
        <w:trPr/>
        <w:tc>
          <w:tcPr>
            <w:tcW w:w="39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B. Petras</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Michael B. Petras, Jr.</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Chairman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 Attorney-in-Fact acting on</w:t>
            </w:r>
          </w:p>
          <w:p>
            <w:pPr>
              <w:pStyle w:val="TableContents"/>
              <w:bidi w:val="0"/>
              <w:spacing w:before="0" w:after="0"/>
              <w:jc w:val="left"/>
              <w:rPr>
                <w:rFonts w:ascii="Times New Roman" w:hAnsi="Times New Roman"/>
                <w:sz w:val="20"/>
              </w:rPr>
            </w:pPr>
            <w:r>
              <w:rPr>
                <w:rFonts w:ascii="Times New Roman" w:hAnsi="Times New Roman"/>
                <w:sz w:val="20"/>
              </w:rPr>
              <w:t>behalf of each of the Non-Sponsor Selling</w:t>
            </w:r>
          </w:p>
          <w:p>
            <w:pPr>
              <w:pStyle w:val="TableContents"/>
              <w:bidi w:val="0"/>
              <w:spacing w:before="0" w:after="20"/>
              <w:jc w:val="left"/>
              <w:rPr>
                <w:rFonts w:ascii="Times New Roman" w:hAnsi="Times New Roman"/>
                <w:sz w:val="20"/>
              </w:rPr>
            </w:pPr>
            <w:r>
              <w:rPr>
                <w:rFonts w:ascii="Times New Roman" w:hAnsi="Times New Roman"/>
                <w:sz w:val="20"/>
              </w:rPr>
              <w:t>Stockholders named in</w:t>
            </w:r>
          </w:p>
        </w:tc>
      </w:tr>
      <w:tr>
        <w:trPr/>
        <w:tc>
          <w:tcPr>
            <w:tcW w:w="4082" w:type="dxa"/>
            <w:gridSpan w:val="3"/>
            <w:tcBorders/>
          </w:tcPr>
          <w:p>
            <w:pPr>
              <w:pStyle w:val="TableContents"/>
              <w:bidi w:val="0"/>
              <w:spacing w:before="0" w:after="283"/>
              <w:jc w:val="left"/>
              <w:rPr/>
            </w:pPr>
            <w:r>
              <w:rPr/>
              <w:t>Schedule 2 to this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87"/>
        <w:gridCol w:w="60"/>
        <w:gridCol w:w="3335"/>
      </w:tblGrid>
      <w:tr>
        <w:trPr/>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For itself and on behalf of the</w:t>
            </w:r>
          </w:p>
          <w:p>
            <w:pPr>
              <w:pStyle w:val="TableContents"/>
              <w:bidi w:val="0"/>
              <w:spacing w:before="0" w:after="0"/>
              <w:jc w:val="left"/>
              <w:rPr>
                <w:rFonts w:ascii="Times New Roman" w:hAnsi="Times New Roman"/>
                <w:sz w:val="20"/>
              </w:rPr>
            </w:pPr>
            <w:r>
              <w:rPr>
                <w:rFonts w:ascii="Times New Roman" w:hAnsi="Times New Roman"/>
                <w:sz w:val="20"/>
              </w:rPr>
              <w:t>several Underwriters listed</w:t>
            </w:r>
          </w:p>
          <w:p>
            <w:pPr>
              <w:pStyle w:val="TableContents"/>
              <w:bidi w:val="0"/>
              <w:spacing w:before="0" w:after="20"/>
              <w:jc w:val="left"/>
              <w:rPr>
                <w:rFonts w:ascii="Times New Roman" w:hAnsi="Times New Roman"/>
                <w:sz w:val="20"/>
              </w:rPr>
            </w:pPr>
            <w:r>
              <w:rPr>
                <w:rFonts w:ascii="Times New Roman" w:hAnsi="Times New Roman"/>
                <w:sz w:val="20"/>
              </w:rPr>
              <w:t>in Schedule 1 hereto.</w:t>
            </w:r>
          </w:p>
        </w:tc>
      </w:tr>
      <w:tr>
        <w:trPr>
          <w:trHeight w:val="240" w:hRule="atLeast"/>
        </w:trPr>
        <w:tc>
          <w:tcPr>
            <w:tcW w:w="687"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J.P. MORGAN SECURITIES LLC</w:t>
            </w:r>
          </w:p>
        </w:tc>
      </w:tr>
      <w:tr>
        <w:trPr>
          <w:trHeight w:val="240" w:hRule="atLeast"/>
        </w:trPr>
        <w:tc>
          <w:tcPr>
            <w:tcW w:w="687"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Ke</w:t>
            </w:r>
          </w:p>
        </w:tc>
      </w:tr>
      <w:tr>
        <w:trPr/>
        <w:tc>
          <w:tcPr>
            <w:tcW w:w="6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Authorized Signatory</w:t>
            </w:r>
          </w:p>
        </w:tc>
      </w:tr>
      <w:tr>
        <w:trPr/>
        <w:tc>
          <w:tcPr>
            <w:tcW w:w="6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David Ke</w:t>
            </w:r>
          </w:p>
        </w:tc>
      </w:tr>
      <w:tr>
        <w:trPr/>
        <w:tc>
          <w:tcPr>
            <w:tcW w:w="6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6"/>
        <w:gridCol w:w="60"/>
        <w:gridCol w:w="3656"/>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For itself and on behalf of the</w:t>
            </w:r>
          </w:p>
          <w:p>
            <w:pPr>
              <w:pStyle w:val="TableContents"/>
              <w:bidi w:val="0"/>
              <w:spacing w:before="0" w:after="0"/>
              <w:jc w:val="left"/>
              <w:rPr>
                <w:rFonts w:ascii="Times New Roman" w:hAnsi="Times New Roman"/>
                <w:sz w:val="20"/>
              </w:rPr>
            </w:pPr>
            <w:r>
              <w:rPr>
                <w:rFonts w:ascii="Times New Roman" w:hAnsi="Times New Roman"/>
                <w:sz w:val="20"/>
              </w:rPr>
              <w:t>several Underwriters listed</w:t>
            </w:r>
          </w:p>
          <w:p>
            <w:pPr>
              <w:pStyle w:val="TableContents"/>
              <w:bidi w:val="0"/>
              <w:spacing w:before="0" w:after="20"/>
              <w:jc w:val="left"/>
              <w:rPr>
                <w:rFonts w:ascii="Times New Roman" w:hAnsi="Times New Roman"/>
                <w:sz w:val="20"/>
              </w:rPr>
            </w:pPr>
            <w:r>
              <w:rPr>
                <w:rFonts w:ascii="Times New Roman" w:hAnsi="Times New Roman"/>
                <w:sz w:val="20"/>
              </w:rPr>
              <w:t>in Schedule 1 hereto.</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2"/>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bidi w:val="0"/>
              <w:spacing w:before="0" w:after="283"/>
              <w:jc w:val="left"/>
              <w:rPr/>
            </w:pPr>
            <w:r>
              <w:rPr/>
              <w:t>GOLDMAN SACHS &amp; CO. LLC</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2"/>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 Parisi</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For itself and on behalf of the</w:t>
            </w:r>
          </w:p>
          <w:p>
            <w:pPr>
              <w:pStyle w:val="TableContents"/>
              <w:bidi w:val="0"/>
              <w:spacing w:before="0" w:after="0"/>
              <w:jc w:val="left"/>
              <w:rPr>
                <w:rFonts w:ascii="Times New Roman" w:hAnsi="Times New Roman"/>
                <w:sz w:val="20"/>
              </w:rPr>
            </w:pPr>
            <w:r>
              <w:rPr>
                <w:rFonts w:ascii="Times New Roman" w:hAnsi="Times New Roman"/>
                <w:sz w:val="20"/>
              </w:rPr>
              <w:t>several Underwriters listed</w:t>
            </w:r>
          </w:p>
          <w:p>
            <w:pPr>
              <w:pStyle w:val="TableContents"/>
              <w:bidi w:val="0"/>
              <w:spacing w:before="0" w:after="20"/>
              <w:jc w:val="left"/>
              <w:rPr>
                <w:rFonts w:ascii="Times New Roman" w:hAnsi="Times New Roman"/>
                <w:sz w:val="20"/>
              </w:rPr>
            </w:pPr>
            <w:r>
              <w:rPr>
                <w:rFonts w:ascii="Times New Roman" w:hAnsi="Times New Roman"/>
                <w:sz w:val="20"/>
              </w:rPr>
              <w:t>in Schedule 1 hereto.</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CITIGROUP GLOBAL MARKETS INC.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McMahon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JEFFERIES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For itself and on behalf of the</w:t>
            </w:r>
          </w:p>
          <w:p>
            <w:pPr>
              <w:pStyle w:val="TableContents"/>
              <w:bidi w:val="0"/>
              <w:spacing w:before="0" w:after="0"/>
              <w:jc w:val="left"/>
              <w:rPr>
                <w:rFonts w:ascii="Times New Roman" w:hAnsi="Times New Roman"/>
                <w:sz w:val="20"/>
              </w:rPr>
            </w:pPr>
            <w:r>
              <w:rPr>
                <w:rFonts w:ascii="Times New Roman" w:hAnsi="Times New Roman"/>
                <w:sz w:val="20"/>
              </w:rPr>
              <w:t>several Underwriters listed</w:t>
            </w:r>
          </w:p>
          <w:p>
            <w:pPr>
              <w:pStyle w:val="TableContents"/>
              <w:bidi w:val="0"/>
              <w:spacing w:before="0" w:after="20"/>
              <w:jc w:val="left"/>
              <w:rPr>
                <w:rFonts w:ascii="Times New Roman" w:hAnsi="Times New Roman"/>
                <w:sz w:val="20"/>
              </w:rPr>
            </w:pPr>
            <w:r>
              <w:rPr>
                <w:rFonts w:ascii="Times New Roman" w:hAnsi="Times New Roman"/>
                <w:sz w:val="20"/>
              </w:rPr>
              <w:t>in Schedule 1 hereto.</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JEFFERIES LLC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Leo Reif</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3"/>
        <w:gridCol w:w="1214"/>
        <w:gridCol w:w="158"/>
        <w:gridCol w:w="2927"/>
        <w:gridCol w:w="63"/>
      </w:tblGrid>
      <w:tr>
        <w:trPr/>
        <w:tc>
          <w:tcPr>
            <w:tcW w:w="5843" w:type="dxa"/>
            <w:tcBorders/>
            <w:vAlign w:val="center"/>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43"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Underwriter</w:t>
            </w:r>
          </w:p>
        </w:tc>
        <w:tc>
          <w:tcPr>
            <w:tcW w:w="1214" w:type="dxa"/>
            <w:tcBorders/>
            <w:vAlign w:val="bottom"/>
          </w:tcPr>
          <w:p>
            <w:pPr>
              <w:pStyle w:val="TableContents"/>
              <w:bidi w:val="0"/>
              <w:spacing w:before="0" w:after="283"/>
              <w:jc w:val="left"/>
              <w:rPr/>
            </w:pPr>
            <w:r>
              <w:rPr/>
              <w:t>  </w:t>
            </w:r>
          </w:p>
        </w:tc>
        <w:tc>
          <w:tcPr>
            <w:tcW w:w="3085" w:type="dxa"/>
            <w:gridSpan w:val="2"/>
            <w:tcBorders>
              <w:bottom w:val="single" w:sz="8" w:space="0" w:color="000000"/>
            </w:tcBorders>
            <w:tcMar>
              <w:bottom w:w="28" w:type="dxa"/>
            </w:tcMar>
            <w:vAlign w:val="bottom"/>
          </w:tcPr>
          <w:p>
            <w:pPr>
              <w:pStyle w:val="TableContents"/>
              <w:bidi w:val="0"/>
              <w:spacing w:before="0" w:after="283"/>
              <w:jc w:val="center"/>
              <w:rPr/>
            </w:pPr>
            <w:r>
              <w:rPr/>
              <w:t>Number of Underwritten Shares</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5,962,500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4,787,500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3,500,000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3,500,000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2,250,000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2,250,000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1,250,000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625,000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375,000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250,000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50,000</w:t>
            </w:r>
          </w:p>
        </w:tc>
        <w:tc>
          <w:tcPr>
            <w:tcW w:w="63" w:type="dxa"/>
            <w:tcBorders/>
            <w:vAlign w:val="bottom"/>
          </w:tcPr>
          <w:p>
            <w:pPr>
              <w:pStyle w:val="TableContents"/>
              <w:bidi w:val="0"/>
              <w:spacing w:before="0" w:after="283"/>
              <w:jc w:val="left"/>
              <w:rPr/>
            </w:pPr>
            <w:r>
              <w:rPr/>
              <w:t> </w:t>
            </w:r>
          </w:p>
        </w:tc>
      </w:tr>
      <w:tr>
        <w:trPr/>
        <w:tc>
          <w:tcPr>
            <w:tcW w:w="5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Tigress Financial Partners LLC</w:t>
            </w:r>
          </w:p>
        </w:tc>
        <w:tc>
          <w:tcPr>
            <w:tcW w:w="121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27"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5843"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29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4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27" w:type="dxa"/>
            <w:tcBorders/>
            <w:vAlign w:val="bottom"/>
          </w:tcPr>
          <w:p>
            <w:pPr>
              <w:pStyle w:val="TableContents"/>
              <w:bidi w:val="0"/>
              <w:spacing w:before="0" w:after="283"/>
              <w:jc w:val="right"/>
              <w:rPr/>
            </w:pPr>
            <w:r>
              <w:rPr/>
              <w:t>25,000,000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25"/>
        <w:gridCol w:w="490"/>
        <w:gridCol w:w="111"/>
        <w:gridCol w:w="2088"/>
        <w:gridCol w:w="60"/>
        <w:gridCol w:w="490"/>
        <w:gridCol w:w="85"/>
        <w:gridCol w:w="1393"/>
        <w:gridCol w:w="63"/>
      </w:tblGrid>
      <w:tr>
        <w:trPr/>
        <w:tc>
          <w:tcPr>
            <w:tcW w:w="5425"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5"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Sponsor Selling Stockholders</w:t>
            </w:r>
          </w:p>
        </w:tc>
        <w:tc>
          <w:tcPr>
            <w:tcW w:w="490" w:type="dxa"/>
            <w:tcBorders/>
            <w:vAlign w:val="bottom"/>
          </w:tcPr>
          <w:p>
            <w:pPr>
              <w:pStyle w:val="TableContents"/>
              <w:bidi w:val="0"/>
              <w:spacing w:before="0" w:after="283"/>
              <w:jc w:val="left"/>
              <w:rPr/>
            </w:pPr>
            <w:r>
              <w:rPr/>
              <w:t>  </w:t>
            </w:r>
          </w:p>
        </w:tc>
        <w:tc>
          <w:tcPr>
            <w:tcW w:w="219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Underwritten Shares:</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Option Shares:</w:t>
            </w:r>
          </w:p>
        </w:tc>
        <w:tc>
          <w:tcPr>
            <w:tcW w:w="63" w:type="dxa"/>
            <w:tcBorders/>
            <w:vAlign w:val="bottom"/>
          </w:tcPr>
          <w:p>
            <w:pPr>
              <w:pStyle w:val="TableContents"/>
              <w:bidi w:val="0"/>
              <w:spacing w:before="0" w:after="283"/>
              <w:jc w:val="left"/>
              <w:rPr/>
            </w:pPr>
            <w:r>
              <w:rPr/>
              <w:t> </w:t>
            </w:r>
          </w:p>
        </w:tc>
      </w:tr>
      <w:tr>
        <w:trPr/>
        <w:tc>
          <w:tcPr>
            <w:tcW w:w="5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Bull Holdco, L.P.</w:t>
            </w:r>
          </w:p>
        </w:tc>
        <w:tc>
          <w:tcPr>
            <w:tcW w:w="49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88" w:type="dxa"/>
            <w:tcBorders/>
            <w:shd w:fill="CCEEFF" w:val="clear"/>
            <w:vAlign w:val="bottom"/>
          </w:tcPr>
          <w:p>
            <w:pPr>
              <w:pStyle w:val="TableContents"/>
              <w:bidi w:val="0"/>
              <w:spacing w:before="0" w:after="283"/>
              <w:jc w:val="right"/>
              <w:rPr/>
            </w:pPr>
            <w:r>
              <w:rPr/>
              <w:t>11,547,950</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1,732,193</w:t>
            </w:r>
          </w:p>
        </w:tc>
        <w:tc>
          <w:tcPr>
            <w:tcW w:w="63" w:type="dxa"/>
            <w:tcBorders/>
            <w:shd w:fill="CCEEFF" w:val="clear"/>
            <w:vAlign w:val="bottom"/>
          </w:tcPr>
          <w:p>
            <w:pPr>
              <w:pStyle w:val="TableContents"/>
              <w:bidi w:val="0"/>
              <w:spacing w:before="0" w:after="283"/>
              <w:jc w:val="left"/>
              <w:rPr/>
            </w:pPr>
            <w:r>
              <w:rPr/>
              <w:t> </w:t>
            </w:r>
          </w:p>
        </w:tc>
      </w:tr>
      <w:tr>
        <w:trPr/>
        <w:tc>
          <w:tcPr>
            <w:tcW w:w="5425" w:type="dxa"/>
            <w:tcBorders/>
          </w:tcPr>
          <w:p>
            <w:pPr>
              <w:pStyle w:val="TableContents"/>
              <w:bidi w:val="0"/>
              <w:spacing w:before="0" w:after="0"/>
              <w:jc w:val="left"/>
              <w:rPr>
                <w:rFonts w:ascii="Times New Roman" w:hAnsi="Times New Roman"/>
                <w:sz w:val="20"/>
              </w:rPr>
            </w:pPr>
            <w:r>
              <w:rPr>
                <w:rFonts w:ascii="Times New Roman" w:hAnsi="Times New Roman"/>
                <w:sz w:val="20"/>
              </w:rPr>
              <w:t>Bull Co-Invest, L.P.</w:t>
            </w:r>
          </w:p>
        </w:tc>
        <w:tc>
          <w:tcPr>
            <w:tcW w:w="49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88" w:type="dxa"/>
            <w:tcBorders/>
            <w:vAlign w:val="bottom"/>
          </w:tcPr>
          <w:p>
            <w:pPr>
              <w:pStyle w:val="TableContents"/>
              <w:bidi w:val="0"/>
              <w:spacing w:before="0" w:after="283"/>
              <w:jc w:val="right"/>
              <w:rPr/>
            </w:pPr>
            <w:r>
              <w:rPr/>
              <w:t>2,881,930</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432,290</w:t>
            </w:r>
          </w:p>
        </w:tc>
        <w:tc>
          <w:tcPr>
            <w:tcW w:w="63" w:type="dxa"/>
            <w:tcBorders/>
            <w:vAlign w:val="bottom"/>
          </w:tcPr>
          <w:p>
            <w:pPr>
              <w:pStyle w:val="TableContents"/>
              <w:bidi w:val="0"/>
              <w:spacing w:before="0" w:after="283"/>
              <w:jc w:val="left"/>
              <w:rPr/>
            </w:pPr>
            <w:r>
              <w:rPr/>
              <w:t> </w:t>
            </w:r>
          </w:p>
        </w:tc>
      </w:tr>
      <w:tr>
        <w:trPr/>
        <w:tc>
          <w:tcPr>
            <w:tcW w:w="5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GTCR Fund XI/A LP</w:t>
            </w:r>
          </w:p>
        </w:tc>
        <w:tc>
          <w:tcPr>
            <w:tcW w:w="49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88" w:type="dxa"/>
            <w:tcBorders/>
            <w:shd w:fill="CCEEFF" w:val="clear"/>
            <w:vAlign w:val="bottom"/>
          </w:tcPr>
          <w:p>
            <w:pPr>
              <w:pStyle w:val="TableContents"/>
              <w:bidi w:val="0"/>
              <w:spacing w:before="0" w:after="283"/>
              <w:jc w:val="right"/>
              <w:rPr/>
            </w:pPr>
            <w:r>
              <w:rPr/>
              <w:t>7,635,119</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1,145,268</w:t>
            </w:r>
          </w:p>
        </w:tc>
        <w:tc>
          <w:tcPr>
            <w:tcW w:w="63" w:type="dxa"/>
            <w:tcBorders/>
            <w:shd w:fill="CCEEFF" w:val="clear"/>
            <w:vAlign w:val="bottom"/>
          </w:tcPr>
          <w:p>
            <w:pPr>
              <w:pStyle w:val="TableContents"/>
              <w:bidi w:val="0"/>
              <w:spacing w:before="0" w:after="283"/>
              <w:jc w:val="left"/>
              <w:rPr/>
            </w:pPr>
            <w:r>
              <w:rPr/>
              <w:t> </w:t>
            </w:r>
          </w:p>
        </w:tc>
      </w:tr>
      <w:tr>
        <w:trPr/>
        <w:tc>
          <w:tcPr>
            <w:tcW w:w="5425" w:type="dxa"/>
            <w:tcBorders/>
          </w:tcPr>
          <w:p>
            <w:pPr>
              <w:pStyle w:val="TableContents"/>
              <w:bidi w:val="0"/>
              <w:spacing w:before="0" w:after="0"/>
              <w:jc w:val="left"/>
              <w:rPr>
                <w:rFonts w:ascii="Times New Roman" w:hAnsi="Times New Roman"/>
                <w:sz w:val="20"/>
              </w:rPr>
            </w:pPr>
            <w:r>
              <w:rPr>
                <w:rFonts w:ascii="Times New Roman" w:hAnsi="Times New Roman"/>
                <w:sz w:val="20"/>
              </w:rPr>
              <w:t>GTCR Fund XI/C LP</w:t>
            </w:r>
          </w:p>
        </w:tc>
        <w:tc>
          <w:tcPr>
            <w:tcW w:w="49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88" w:type="dxa"/>
            <w:tcBorders/>
            <w:vAlign w:val="bottom"/>
          </w:tcPr>
          <w:p>
            <w:pPr>
              <w:pStyle w:val="TableContents"/>
              <w:bidi w:val="0"/>
              <w:spacing w:before="0" w:after="283"/>
              <w:jc w:val="right"/>
              <w:rPr/>
            </w:pPr>
            <w:r>
              <w:rPr/>
              <w:t>1,923,609</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288,541</w:t>
            </w:r>
          </w:p>
        </w:tc>
        <w:tc>
          <w:tcPr>
            <w:tcW w:w="63" w:type="dxa"/>
            <w:tcBorders/>
            <w:vAlign w:val="bottom"/>
          </w:tcPr>
          <w:p>
            <w:pPr>
              <w:pStyle w:val="TableContents"/>
              <w:bidi w:val="0"/>
              <w:spacing w:before="0" w:after="283"/>
              <w:jc w:val="left"/>
              <w:rPr/>
            </w:pPr>
            <w:r>
              <w:rPr/>
              <w:t> </w:t>
            </w:r>
          </w:p>
        </w:tc>
      </w:tr>
      <w:tr>
        <w:trPr/>
        <w:tc>
          <w:tcPr>
            <w:tcW w:w="5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GTCR Co-Invest XI LP</w:t>
            </w:r>
          </w:p>
        </w:tc>
        <w:tc>
          <w:tcPr>
            <w:tcW w:w="49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88" w:type="dxa"/>
            <w:tcBorders/>
            <w:shd w:fill="CCEEFF" w:val="clear"/>
            <w:vAlign w:val="bottom"/>
          </w:tcPr>
          <w:p>
            <w:pPr>
              <w:pStyle w:val="TableContents"/>
              <w:bidi w:val="0"/>
              <w:spacing w:before="0" w:after="283"/>
              <w:jc w:val="right"/>
              <w:rPr/>
            </w:pPr>
            <w:r>
              <w:rPr/>
              <w:t>61,192</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9,179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14"/>
        <w:gridCol w:w="454"/>
        <w:gridCol w:w="151"/>
        <w:gridCol w:w="2028"/>
        <w:gridCol w:w="60"/>
        <w:gridCol w:w="454"/>
        <w:gridCol w:w="102"/>
        <w:gridCol w:w="1379"/>
        <w:gridCol w:w="63"/>
      </w:tblGrid>
      <w:tr>
        <w:trPr/>
        <w:tc>
          <w:tcPr>
            <w:tcW w:w="5514"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14"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 xml:space="preserve">Non-Sponsor Selling Stockholders(a) </w:t>
            </w:r>
          </w:p>
        </w:tc>
        <w:tc>
          <w:tcPr>
            <w:tcW w:w="454" w:type="dxa"/>
            <w:tcBorders/>
            <w:vAlign w:val="bottom"/>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Underwritten Shares:</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Option Shares:</w:t>
            </w:r>
          </w:p>
        </w:tc>
        <w:tc>
          <w:tcPr>
            <w:tcW w:w="63" w:type="dxa"/>
            <w:tcBorders/>
            <w:vAlign w:val="bottom"/>
          </w:tcPr>
          <w:p>
            <w:pPr>
              <w:pStyle w:val="TableContents"/>
              <w:bidi w:val="0"/>
              <w:spacing w:before="0" w:after="283"/>
              <w:jc w:val="left"/>
              <w:rPr/>
            </w:pPr>
            <w:r>
              <w:rPr/>
              <w:t> </w:t>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Michael B. Petras, Jr.(b) </w:t>
            </w:r>
          </w:p>
        </w:tc>
        <w:tc>
          <w:tcPr>
            <w:tcW w:w="4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2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37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Trust(b)(c) </w:t>
            </w:r>
          </w:p>
        </w:tc>
        <w:tc>
          <w:tcPr>
            <w:tcW w:w="4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28" w:type="dxa"/>
            <w:tcBorders/>
            <w:vAlign w:val="bottom"/>
          </w:tcPr>
          <w:p>
            <w:pPr>
              <w:pStyle w:val="TableContents"/>
              <w:bidi w:val="0"/>
              <w:spacing w:before="0" w:after="283"/>
              <w:jc w:val="right"/>
              <w:rPr/>
            </w:pPr>
            <w:r>
              <w:rPr/>
              <w:t>792,666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130,939</w:t>
            </w:r>
          </w:p>
        </w:tc>
        <w:tc>
          <w:tcPr>
            <w:tcW w:w="63" w:type="dxa"/>
            <w:tcBorders/>
            <w:vAlign w:val="bottom"/>
          </w:tcPr>
          <w:p>
            <w:pPr>
              <w:pStyle w:val="TableContents"/>
              <w:bidi w:val="0"/>
              <w:spacing w:before="0" w:after="283"/>
              <w:jc w:val="left"/>
              <w:rPr/>
            </w:pPr>
            <w:r>
              <w:rPr/>
              <w:t> </w:t>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 Trust(b)(c) </w:t>
            </w:r>
          </w:p>
        </w:tc>
        <w:tc>
          <w:tcPr>
            <w:tcW w:w="4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28" w:type="dxa"/>
            <w:tcBorders/>
            <w:shd w:fill="CCEEFF" w:val="clear"/>
            <w:vAlign w:val="bottom"/>
          </w:tcPr>
          <w:p>
            <w:pPr>
              <w:pStyle w:val="TableContents"/>
              <w:bidi w:val="0"/>
              <w:spacing w:before="0" w:after="283"/>
              <w:jc w:val="right"/>
              <w:rPr/>
            </w:pPr>
            <w:r>
              <w:rPr/>
              <w:t>80,265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0</w:t>
            </w:r>
          </w:p>
        </w:tc>
        <w:tc>
          <w:tcPr>
            <w:tcW w:w="63" w:type="dxa"/>
            <w:tcBorders/>
            <w:shd w:fill="CCEEFF" w:val="clear"/>
            <w:vAlign w:val="bottom"/>
          </w:tcPr>
          <w:p>
            <w:pPr>
              <w:pStyle w:val="TableContents"/>
              <w:bidi w:val="0"/>
              <w:spacing w:before="0" w:after="283"/>
              <w:jc w:val="left"/>
              <w:rPr/>
            </w:pPr>
            <w:r>
              <w:rPr/>
              <w:t> </w:t>
            </w:r>
          </w:p>
        </w:tc>
      </w:tr>
      <w:tr>
        <w:trPr/>
        <w:tc>
          <w:tcPr>
            <w:tcW w:w="551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 R. Klee(b) </w:t>
            </w:r>
          </w:p>
        </w:tc>
        <w:tc>
          <w:tcPr>
            <w:tcW w:w="4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28"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750</w:t>
            </w:r>
          </w:p>
        </w:tc>
        <w:tc>
          <w:tcPr>
            <w:tcW w:w="63" w:type="dxa"/>
            <w:tcBorders/>
            <w:vAlign w:val="bottom"/>
          </w:tcPr>
          <w:p>
            <w:pPr>
              <w:pStyle w:val="TableContents"/>
              <w:bidi w:val="0"/>
              <w:spacing w:before="0" w:after="283"/>
              <w:jc w:val="left"/>
              <w:rPr/>
            </w:pPr>
            <w:r>
              <w:rPr/>
              <w:t> </w:t>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Michael P. Rutz(b) </w:t>
            </w:r>
          </w:p>
        </w:tc>
        <w:tc>
          <w:tcPr>
            <w:tcW w:w="4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28" w:type="dxa"/>
            <w:tcBorders/>
            <w:shd w:fill="CCEEFF" w:val="clear"/>
            <w:vAlign w:val="bottom"/>
          </w:tcPr>
          <w:p>
            <w:pPr>
              <w:pStyle w:val="TableContents"/>
              <w:bidi w:val="0"/>
              <w:spacing w:before="0" w:after="283"/>
              <w:jc w:val="right"/>
              <w:rPr/>
            </w:pPr>
            <w:r>
              <w:rPr/>
              <w:t>72,269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10,840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Non-Sponsor Selling Stockholders has appointed Michael B. Petras, Jr., Jonathan M. Lyons and Alexander Dimitrief as such Non-Sponsor Selling Stockholders Attorneys-in-fact.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Selling Stockholder is represented by Cleary Gottlieb Steen &amp; Hamilton, LLP, One Liberty Plaza, New York, NY 10006.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Selling Stockholder is represented by Reminger Co. LPA, 101 West Prospect Avenue Suite 1400, Cleveland, Ohio 44115.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Pricing Disclosure Package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Pricing Information Provided Orally by Underwriters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Underwritten Shares: 25,000,000 </w:t>
      </w:r>
    </w:p>
    <w:p>
      <w:pPr>
        <w:pStyle w:val="TextBody"/>
        <w:bidi w:val="0"/>
        <w:spacing w:before="240" w:after="0"/>
        <w:jc w:val="left"/>
        <w:rPr>
          <w:rFonts w:ascii="Times New Roman" w:hAnsi="Times New Roman"/>
          <w:sz w:val="20"/>
        </w:rPr>
      </w:pPr>
      <w:r>
        <w:rPr>
          <w:rFonts w:ascii="Times New Roman" w:hAnsi="Times New Roman"/>
          <w:sz w:val="20"/>
        </w:rPr>
        <w:t xml:space="preserve">Option Shares: 3,750,000 </w:t>
      </w:r>
    </w:p>
    <w:p>
      <w:pPr>
        <w:pStyle w:val="TextBody"/>
        <w:bidi w:val="0"/>
        <w:spacing w:before="240" w:after="0"/>
        <w:jc w:val="left"/>
        <w:rPr>
          <w:rFonts w:ascii="Times New Roman" w:hAnsi="Times New Roman"/>
          <w:sz w:val="20"/>
        </w:rPr>
      </w:pPr>
      <w:r>
        <w:rPr>
          <w:rFonts w:ascii="Times New Roman" w:hAnsi="Times New Roman"/>
          <w:sz w:val="20"/>
        </w:rPr>
        <w:t xml:space="preserve">Public offering price per share: $14.75 </w:t>
      </w:r>
    </w:p>
    <w:p>
      <w:pPr>
        <w:pStyle w:val="TextBody"/>
        <w:bidi w:val="0"/>
        <w:spacing w:before="240" w:after="0"/>
        <w:jc w:val="left"/>
        <w:rPr>
          <w:rFonts w:ascii="Times New Roman" w:hAnsi="Times New Roman"/>
          <w:sz w:val="20"/>
        </w:rPr>
      </w:pPr>
      <w:r>
        <w:rPr>
          <w:rFonts w:ascii="Times New Roman" w:hAnsi="Times New Roman"/>
          <w:sz w:val="20"/>
        </w:rPr>
        <w:t xml:space="preserve">Trade Date: February 29, 2024 </w:t>
      </w:r>
    </w:p>
    <w:p>
      <w:pPr>
        <w:pStyle w:val="TextBody"/>
        <w:bidi w:val="0"/>
        <w:spacing w:before="240" w:after="0"/>
        <w:jc w:val="left"/>
        <w:rPr>
          <w:rFonts w:ascii="Times New Roman" w:hAnsi="Times New Roman"/>
          <w:sz w:val="20"/>
        </w:rPr>
      </w:pPr>
      <w:r>
        <w:rPr>
          <w:rFonts w:ascii="Times New Roman" w:hAnsi="Times New Roman"/>
          <w:sz w:val="20"/>
        </w:rPr>
        <w:t xml:space="preserve">Settlement Date: March 4, 2024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Testing-the-Waters Communications, February 2024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C-1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validly existing as a corporation in good standing under the laws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corporate power to own its properties and conduct its business as described in the Pricing Prospectus and the Final Prospectus, and the Company has corporate power to enter into the Underwriting Agreement and to perform its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have been duly authorized by all necessary corporate action of the Company, have been validly issued by the Company and are fully paid and nonassessable; and the holders of outstanding shares of capital stock of the Company are not entitled to any preemptive rights to subscribe for the Securities under the Certificate of Incorporation or By-Laws of the Company or the General Corporation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under the heading Description of Capital Stock in the Pricing Prospectus and the Final Prospectus, insofar as such statements purport to summarize certain provisions of the Securities and the Certificate of Incorporation of the Company, provide a fair summary of such provisions; the statements under the heading Underwriting in the Pricing Prospectus and the Final Prospectus, insofar as such statements purport to summarize certain provisions of the Underwriting Agreement, provide a fair summary of such provisions; and the statements under the heading Material U.S. Federal Income Tax Considerations for Non-U.S. Holders in the Pricing Prospectus and the Final Prospectus, insofar as such statements purport to summarize certain federal income tax laws of the United States, constitute a fair summary of the principal U.S. federal income tax consequences to Non-U.S. Holders (as defined therein) of an investment in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the Underwriting Agreement have been duly authorized by all necessary corporate action of the Company, and the Underwriting Agreement has been duly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the Company of its obligations in the Underwriting Agreement will not, (a) require any consent, approval, authorization, registration or qualification of or with any governmental authority of the United States or the State of New York that in our experience normally would be applicable to general business entities with respect to performance, except such as have been obtained or effected under the Securities Act and the Securities Exchange Act of 1934, as amended (but we express no opinion relating to any state securities or Blue Sky laws), (b) result in a breach of any of the terms and provisions of, or constitute a default under, any of the agreements of the Company filed as an exhibit to the Registration Statement, or a violation of the Certificate of Incorporation or By-Laws of the Company or (c) result in a violation of any United States federal or New York State law or published rule or regulation that in our experience normally would be applicable to general business entities with respect to such performance (but we express no opinion relating to the United States federal securities laws or any state securities or Blue Sky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required to register as an investment company as such term is defined in the U.S. Investment Company Act of 1940, as amended.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Form of 10b-5 Statement of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(except the financial statements and schedules and other financial data included therein, as to which we express no view), at the time it became effective, and the Final Prospectus (except as aforesaid), as of the date thereof, appeared on their face to be appropriately responsive in all material respects to the requirements of the Securities Act and the applicable rules and regulations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information has come to our attention that causes us to believe that the Registration Statement (except the financial statements and schedules and other financial data included therein, as to which we express no view), at the time it became effective, contained an untrue statement of a material fact or omitted to state a material fact required to be stated therein or necessary to make the statements therein not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information has come to our attention that causes us to believe that the Pricing Prospectus, considered together with the amount and the price to the public of the Securities on the front cover of the Final Prospectus (except in each case the financial statements and schedules and other financial data included therein, as to which we express no view), at [ p.m.] (Eastern time) on February [], 2024, contained an untrue statement of a material fact or omitted to state a material fact necessary in order to make the statements therein, in the light of the circumstances under which they were made, not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information has come to our attention that causes us to believe that the Final Prospectus (except the financial statements and schedules and other financial data included therein, as to which we express no view), as of the date thereof or hereof, contained or contains an untrue statement of a material fact or omitted or omits to state a material fact necessary in order to make the statements therein, in the light of the circumstances under which they were made, not misleading.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C-2 </w:t>
      </w:r>
    </w:p>
    <w:p>
      <w:pPr>
        <w:pStyle w:val="TextBody"/>
        <w:bidi w:val="0"/>
        <w:spacing w:before="120" w:after="0"/>
        <w:jc w:val="center"/>
        <w:rPr>
          <w:rFonts w:ascii="Times New Roman" w:hAnsi="Times New Roman"/>
          <w:sz w:val="20"/>
        </w:rPr>
      </w:pPr>
      <w:r>
        <w:rPr>
          <w:rFonts w:ascii="Times New Roman" w:hAnsi="Times New Roman"/>
          <w:sz w:val="20"/>
        </w:rPr>
        <w:t xml:space="preserve">Form of Opinion of Delaware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by the Company of the Underwriting Agreement and the performance by the Company of its obligations under the Underwriting Agreement will not violate the Certificate of Incorporation, the Bylaws or any Delaware law, rule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authorization, approval, consent or order of any Delaware court or Delaware governmental authority is required to be obtained by the Company solely in connection with the execution and delivery by the Company of the Underwriting Agreement and the performance by the Company of its obligations under the Underwriting Agreement.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C-3 </w:t>
      </w:r>
    </w:p>
    <w:p>
      <w:pPr>
        <w:pStyle w:val="TextBody"/>
        <w:bidi w:val="0"/>
        <w:spacing w:before="120" w:after="0"/>
        <w:jc w:val="center"/>
        <w:rPr>
          <w:rFonts w:ascii="Times New Roman" w:hAnsi="Times New Roman"/>
          <w:sz w:val="20"/>
        </w:rPr>
      </w:pPr>
      <w:r>
        <w:rPr>
          <w:rFonts w:ascii="Times New Roman" w:hAnsi="Times New Roman"/>
          <w:sz w:val="20"/>
        </w:rPr>
        <w:t xml:space="preserve">Form of Opinion of General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subsidiary of the Company listed on Schedule I hereto has been duly organized and is validly existing and in good standing under the laws of its respective jurisdiction of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the statements set forth under the heading Risk Factors in the Registration Statement, the Pricing Prospectus and the Final Prospectus, insofar as such statements purport to summarize certain legal and regulatory matters, provide a fair summary of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(a) there are no current or pending legal, governmental or regulatory actions, suits or proceedings that are required under the Securities Act to be described in the Registration Statement, the Pricing Prospectus or the Final Prospectus and that are not so described in the Registration Statement, the Pricing Prospectus and the Final Prospectus and (b) there are (i) no contracts or other documents that are required under the Securities Act to be filed as exhibits to the Registration Statement that have not been so filed as exhibits to the Registration Statement and (ii) no statutes, regulations, contracts or other documents are required under the Securities Act to be described in the Registration Statement, the Pricing Prospectus or the Final Prospectus that have not been so described in the Registration Statement, the Pricing Prospectus and the Final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shares of capital stock of the Company have been duly and validly authorized and issued and are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from January 1, 2021 to the present the Company, on a consolidated basis, has complied in all material respects with the Food and Drug Laws with respect to its activities and services regulated by the U.S. Food and Drug Administration (FDA) or the Drug Enforcement Administration (DEA), as applicable, except as described in the Registration Statement, the Pricing Prospectus and the Final Prospectus. Food and Drug Laws means the Federal Food, Drug, and Cosmetic Act, the Public Health Service Act, the federal Controlled Substances Act, the applicable rules or regulations of the FDA, the U.S. Department of Health and Human Services, the Centers for Disease Control and Prevention, and the DEA, including those in Titles 21, 42, and 45 of the Code of Federal Regulations, and the applicable laws and regulations of other comparable governmental or regulatory authorities applicable to the testing, manufacture, processing (including by sterilizing or irradiating) or storage of any article tested, manufactured, processed or stored by the Company, on a consolidated basis.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C-4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Counsel for the Warburg Sponsor Selling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WP Selling Stockholders is validly existing and in good standing as a limited partnership under the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WP Selling Stockholders has limited partnership power to sell the Securities, to execute and deliver the Underwriting Agreement and to perform its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of the Underwriting Agreement have been duly authorized by all necessary limited partnership action of each WP Selling Stockholder, and the Underwriting Agreement has been duly executed and delivered by each WP Selling Stockholder under the law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the Securities by the WP Selling Stockholders to the Underwriters pursuant to the Underwriting Agreement does not, and the execution, delivery and performance by the WP Selling Stockholders of their obligations in the Underwriting Agreement will not, (a) require any consent, approval, authorization, registration or qualification of or with any governmental authority of the United States or the State of New York or pursuant to the Delaware Revised Uniform Limited Partnership Act, in each case, that in our experience normally would be applicable to general business entities with respect to such sale, execution, delivery or performance, except such as have been obtained or effected under the Securities Act and the Securities Exchange Act of 1934, as amended (but we express no opinion relating to any state securities or Blue Sky laws), or (b) result in a violation of the Certificate of Limited Partnership or the Amended and Restated Limited Partnership Agreement of any of the WP Selling Stockholders or other agreement or instrument identified on Annex I hereto, or (c) result in a violation of any United States federal or New York State law or published rule or regulation thereunder or the Delaware Revised Uniform Limited Partnership Act that in our experience normally would be applicable to general business entities with respect to such sale or performance (but we express no opinion relating to the United States federal securities laws or any state securities or Blue Sky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that (a) The Depository Trust Company (DTC) is a clearing corporation as defined in Section 8-102(a)(5) of the Uniform Commercial Code as in effect on the date hereof in the State of New York (the UCC), and (b) each of the Underwriters acquires its interest in the Securities it has purchased without notice of any adverse claim (within the meaning of Section 8-105 of the UCC), each Underwriter that has purchased Securities from the WP Selling Stockholders delivered on the date hereof to DTC, made payment therefor pursuant to the Underwriting Agreement and had such Securities credited to a securities account of such Underwriter maintained with DTC will have acquired a securities entitlement (within the meaning of Section 8-102(a)(17) of the UCC) to such Securities, and no action based on an adverse claim may be asserted against such Underwriter with respect to such security entitlement.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C-5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Counsel for the GTCR Sponsor Selling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has been duly executed and delivered by or on behalf of each Selling Stockholder under the law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of the Underwriting Agreement by each Selling Stockholder, and the sale by each Selling Stockholder of the Shares to be sold by such Selling Stockholder in accordance with the provisions of the Underwriting Agreement, do not and will not (i) violate or conflict with any of the terms or provisions of the certificate of limited partnership, limited partnership agreement and/or other organizational document of such Selling Stockholder, (ii) result in any breach of any of the terms and provisions of, or constitute a default (or an event which with notice or lapse of time, or both, would constitute a default) under, any agreement listed on the Specified Contracts Schedule (the Specified Contracts), it being expressly understood that in each case we express no opinion as to compliance with any financial covenant or test or cross-default provision in any Specified Contract, (iii) violate or conflict with any judgment, decree or order identified to us by such Selling Stockholder (we note that none were identified) of any court or any judicial, regulatory or other legal or governmental agency or body having jurisdiction over such Selling Stockholder, or (iv) violate any Specified Law, except in each of the cases of clause (ii), for any such violation, conflict, breach or default which has been waived by the party or parties with power to waive such violation, conflict, breach or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approval, authorization, or order of, or qualification with, any governmental body or agency is required to be obtained by any Selling Stockholder under any Specified Law with respect to the sale of the Shares by such Selling Stockholder and the performance by such Selling Stockholder of its obligations under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payment for the Shares to be sold by the Selling Stockholders to the Underwriters pursuant to the Underwriting Agreement, delivery of such Shares, as directed by the Underwriters, to Cede &amp; Co. (Cede) or such other nominee as may be designated by the Depository Trust Company (DTC), registration of such Shares in the name of Cede or such other nominee and the crediting of such Shares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Shares; and (B) assuming such Underwriters have so acquired such security entitlement without notice of any adverse claim (within the meaning of Sections 8-102(a)(1) and 8-105 of the UCC) to such Shares, no action based on any adverse claim (within the meaning of Sections 8-102(a)(1) and 8-105 of the UCC) to such Shares may be asserted against such Underwriters with respect to such security entitlements. For purposes of our opinion in this paragraph 4, we have assumed that when such payment, delivery, registration and crediting occur, (x) the Shares being sold by the Selling Stockholders will have been registered in the name of Cede or such other nominee as may be designated by DTC, in each case on the Companys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the New York and (z) appropriate entries to the securities account or accounts in the name of such Underwriters on the records of DTC will have been made pursuant to the UCC.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C-6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Delaware Counsel for the GTCR Sponsor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1. The Main Fund General Partner and each Fund has been duly formed and is validly existing in good standing as a limited partnership under the Delaware Revised Uniform Limited Partnership Act (6 </w:t>
      </w:r>
      <w:r>
        <w:rPr>
          <w:rFonts w:ascii="Times New Roman" w:hAnsi="Times New Roman"/>
          <w:sz w:val="20"/>
          <w:u w:val="single"/>
        </w:rPr>
        <w:t>Del. C.</w:t>
      </w:r>
      <w:r>
        <w:rPr>
          <w:rFonts w:ascii="Times New Roman" w:hAnsi="Times New Roman"/>
          <w:sz w:val="20"/>
        </w:rPr>
        <w:t xml:space="preserve"> §17-101,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(the LP Act). The Co-Invest General Partner has been duly formed and is validly existing in good standing as a limited liability company under the Delaware Limited Liability Company Act (6 </w:t>
      </w:r>
      <w:r>
        <w:rPr>
          <w:rFonts w:ascii="Times New Roman" w:hAnsi="Times New Roman"/>
          <w:sz w:val="20"/>
          <w:u w:val="single"/>
        </w:rPr>
        <w:t>Del. C.</w:t>
      </w:r>
      <w:r>
        <w:rPr>
          <w:rFonts w:ascii="Times New Roman" w:hAnsi="Times New Roman"/>
          <w:sz w:val="20"/>
        </w:rPr>
        <w:t xml:space="preserve"> §18-101,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Under the LP Act and its Fund Agreement, each Fund has the requisite partnership power and authority to execute and deliver, and perform its obligations under, the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3. Under the LP Act and its Fund Agreement, the execution and delivery by each Fund of the Transaction Documents to which it is a party, and the performance by each Fund of its obligations thereunder, have been duly authorized by all requisite partnership action on the part of such Fund. Each Fund has duly executed the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4. No authorization, consent, approval or order of any Delaware court or any Delaware governmental or administrative body is required to be obtained by a Fund solely as a result of the execution and delivery by such Fund of the Transaction Documents to which it is a party, or the performance by such Fund of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5. The execution, delivery and performance by each Fund of the Transaction Documents to which it is a party do not violate (i) any Delaware law, rule or regulation, or (ii) its Fund Agreement or its Fund Certificate.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 2024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JEFFERIES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w:t>
      </w:r>
    </w:p>
    <w:p>
      <w:pPr>
        <w:pStyle w:val="TextBody"/>
        <w:bidi w:val="0"/>
        <w:spacing w:before="0" w:after="0"/>
        <w:jc w:val="left"/>
        <w:rPr>
          <w:rFonts w:ascii="Times New Roman" w:hAnsi="Times New Roman"/>
          <w:sz w:val="20"/>
        </w:rPr>
      </w:pPr>
      <w:r>
        <w:rPr>
          <w:rFonts w:ascii="Times New Roman" w:hAnsi="Times New Roman"/>
          <w:sz w:val="20"/>
        </w:rPr>
        <w:t xml:space="preserve">the several Underwriters listed in </w:t>
      </w:r>
    </w:p>
    <w:p>
      <w:pPr>
        <w:pStyle w:val="TextBody"/>
        <w:bidi w:val="0"/>
        <w:spacing w:before="0" w:after="0"/>
        <w:jc w:val="left"/>
        <w:rPr>
          <w:rFonts w:ascii="Times New Roman" w:hAnsi="Times New Roman"/>
          <w:sz w:val="20"/>
        </w:rPr>
      </w:pPr>
      <w:r>
        <w:rPr>
          <w:rFonts w:ascii="Times New Roman" w:hAnsi="Times New Roman"/>
          <w:sz w:val="20"/>
        </w:rPr>
        <w:t xml:space="preserve">Schedule 1 to the Underwriting </w:t>
      </w:r>
    </w:p>
    <w:p>
      <w:pPr>
        <w:pStyle w:val="TextBody"/>
        <w:bidi w:val="0"/>
        <w:spacing w:before="0" w:after="0"/>
        <w:jc w:val="left"/>
        <w:rPr>
          <w:rFonts w:ascii="Times New Roman" w:hAnsi="Times New Roman"/>
          <w:sz w:val="20"/>
        </w:rPr>
      </w:pPr>
      <w:r>
        <w:rPr>
          <w:rFonts w:ascii="Times New Roman" w:hAnsi="Times New Roman"/>
          <w:sz w:val="20"/>
        </w:rPr>
        <w:t xml:space="preserve">Agreement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383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10179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240" w:after="0"/>
        <w:jc w:val="left"/>
        <w:rPr>
          <w:rFonts w:ascii="Times New Roman" w:hAnsi="Times New Roman"/>
          <w:sz w:val="20"/>
        </w:rPr>
      </w:pPr>
      <w:r>
        <w:rPr>
          <w:rFonts w:ascii="Times New Roman" w:hAnsi="Times New Roman"/>
          <w:sz w:val="20"/>
        </w:rPr>
        <w:t xml:space="preserve">c/o 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center"/>
        <w:rPr>
          <w:rFonts w:ascii="Times New Roman" w:hAnsi="Times New Roman"/>
          <w:sz w:val="20"/>
        </w:rPr>
      </w:pPr>
      <w:r>
        <w:rPr>
          <w:rFonts w:ascii="Times New Roman" w:hAnsi="Times New Roman"/>
          <w:sz w:val="20"/>
        </w:rPr>
        <w:t xml:space="preserve">Re: SOTERA HEALTH COMPANY 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you, as Representatives of the several underwriters named in Schedule I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Capitalized terms used herein and not otherwise defined shall have the meanings set forth in the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on behalf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60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Representatives at least two business days prior to any confidential or non-public submission of a registration statement made during the Restricted Period) or (4) publicly disclose the intention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transfer the undersigneds Lock-Up Securities: </w:t>
      </w:r>
    </w:p>
    <w:p>
      <w:pPr>
        <w:pStyle w:val="TextBody"/>
        <w:bidi w:val="0"/>
        <w:spacing w:before="240" w:after="0"/>
        <w:jc w:val="left"/>
        <w:rPr>
          <w:rFonts w:ascii="Times New Roman" w:hAnsi="Times New Roman"/>
          <w:sz w:val="20"/>
        </w:rPr>
      </w:pPr>
      <w:r>
        <w:rPr>
          <w:rFonts w:ascii="Times New Roman" w:hAnsi="Times New Roman"/>
          <w:sz w:val="20"/>
        </w:rPr>
        <w:t xml:space="preserve">(i) as a bona fide gift or gifts, or for bona fide estate planning purposes, </w:t>
      </w:r>
    </w:p>
    <w:p>
      <w:pPr>
        <w:pStyle w:val="TextBody"/>
        <w:bidi w:val="0"/>
        <w:spacing w:before="240" w:after="0"/>
        <w:jc w:val="left"/>
        <w:rPr>
          <w:rFonts w:ascii="Times New Roman" w:hAnsi="Times New Roman"/>
          <w:sz w:val="20"/>
        </w:rPr>
      </w:pPr>
      <w:r>
        <w:rPr>
          <w:rFonts w:ascii="Times New Roman" w:hAnsi="Times New Roman"/>
          <w:sz w:val="20"/>
        </w:rPr>
        <w:t xml:space="preserve">(ii) upon death or by will, testamentary document or intestacy, </w:t>
      </w:r>
    </w:p>
    <w:p>
      <w:pPr>
        <w:pStyle w:val="TextBody"/>
        <w:bidi w:val="0"/>
        <w:spacing w:before="240" w:after="0"/>
        <w:jc w:val="left"/>
        <w:rPr>
          <w:rFonts w:ascii="Times New Roman" w:hAnsi="Times New Roman"/>
          <w:sz w:val="20"/>
        </w:rPr>
      </w:pPr>
      <w:r>
        <w:rPr>
          <w:rFonts w:ascii="Times New Roman" w:hAnsi="Times New Roman"/>
          <w:sz w:val="20"/>
        </w:rPr>
        <w:t xml:space="preserve">(iii) 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(iv) to a partnership, limited liability company or other entity of which the undersigned and the immediate family of the undersigned are the legal and beneficial owner of all of the outstanding equity securities or similar interests, </w:t>
      </w:r>
    </w:p>
    <w:p>
      <w:pPr>
        <w:pStyle w:val="TextBody"/>
        <w:bidi w:val="0"/>
        <w:spacing w:before="240" w:after="0"/>
        <w:jc w:val="left"/>
        <w:rPr>
          <w:rFonts w:ascii="Times New Roman" w:hAnsi="Times New Roman"/>
          <w:sz w:val="20"/>
        </w:rPr>
      </w:pPr>
      <w:r>
        <w:rPr>
          <w:rFonts w:ascii="Times New Roman" w:hAnsi="Times New Roman"/>
          <w:sz w:val="20"/>
        </w:rPr>
        <w:t xml:space="preserve">(v)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(vi) to a nominee or custodian of a person or entity to whom a disposition or transfer would be permissible under clauses (i) through (v) above, </w:t>
      </w:r>
    </w:p>
    <w:p>
      <w:pPr>
        <w:pStyle w:val="TextBody"/>
        <w:bidi w:val="0"/>
        <w:spacing w:before="24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or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(viii) to the Company from an employee of the Company upon death, disability or termination of employment, in each case, of such employee, </w:t>
      </w:r>
    </w:p>
    <w:p>
      <w:pPr>
        <w:pStyle w:val="TextBody"/>
        <w:bidi w:val="0"/>
        <w:spacing w:before="240" w:after="0"/>
        <w:jc w:val="left"/>
        <w:rPr>
          <w:rFonts w:ascii="Times New Roman" w:hAnsi="Times New Roman"/>
          <w:sz w:val="20"/>
        </w:rPr>
      </w:pPr>
      <w:r>
        <w:rPr>
          <w:rFonts w:ascii="Times New Roman" w:hAnsi="Times New Roman"/>
          <w:sz w:val="20"/>
        </w:rPr>
        <w:t xml:space="preserve">(ix) as part of a sale of the undersigneds Lock-Up Securities acquired in open market transactions after the closing date for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(x) to the Company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terms of this Letter Agreement, and provided further that any such restricted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similar transaction is not completed, the undersigneds Lock-Up Securities shall remain subject to the provisions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(xii) 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 </w:t>
      </w:r>
    </w:p>
    <w:p>
      <w:pPr>
        <w:pStyle w:val="TextBody"/>
        <w:bidi w:val="0"/>
        <w:spacing w:before="240" w:after="0"/>
        <w:jc w:val="left"/>
        <w:rPr>
          <w:rFonts w:ascii="Times New Roman" w:hAnsi="Times New Roman"/>
          <w:sz w:val="20"/>
        </w:rPr>
      </w:pPr>
      <w:r>
        <w:rPr>
          <w:rFonts w:ascii="Times New Roman" w:hAnsi="Times New Roman"/>
          <w:sz w:val="20"/>
        </w:rPr>
        <w:t xml:space="preserve">(xiii) to the Company pursuant to the call or put provisions of existing employment agreements and equity grant documents, in each case in existence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(xiv) 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J.P. Morgan Securities LLC prior written notice informing it of any required public filing, report or announcement to be made by or on behalf of the Company or the undersigned with respect thereto;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made voluntarily in connection with such transfer or distribution during the Restricted Period,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(C) in the case of any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w:t>
      </w:r>
    </w:p>
    <w:p>
      <w:pPr>
        <w:pStyle w:val="TextBody"/>
        <w:bidi w:val="0"/>
        <w:spacing w:before="240" w:after="0"/>
        <w:jc w:val="left"/>
        <w:rPr>
          <w:rFonts w:ascii="Times New Roman" w:hAnsi="Times New Roman"/>
          <w:sz w:val="20"/>
        </w:rPr>
      </w:pPr>
      <w:r>
        <w:rPr>
          <w:rFonts w:ascii="Times New Roman" w:hAnsi="Times New Roman"/>
          <w:sz w:val="20"/>
        </w:rPr>
        <w:t xml:space="preserve">(b) 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establish trading plans pursuant to Rule 10b5-1 under the Exchange Act for the transfer of shares of Lock-Up Securities; </w:t>
      </w:r>
      <w:r>
        <w:rPr>
          <w:rFonts w:ascii="Times New Roman" w:hAnsi="Times New Roman"/>
          <w:sz w:val="20"/>
          <w:u w:val="single"/>
        </w:rPr>
        <w:t>provided</w:t>
      </w:r>
      <w:r>
        <w:rPr>
          <w:rFonts w:ascii="Times New Roman" w:hAnsi="Times New Roman"/>
          <w:sz w:val="20"/>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Representatives or any Underwriter is making such a recommendation.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if (i) prior to entering into the Underwriting Agreement, the Company notifies the Representatives in writing that the Company does not intend to proceed with the Public Offering, (ii) the Company files an application to withdraw the registration statement related to the Public Offering, (iii) the Underwriting Agreement does not become effective by March 31, 2024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3"/>
        <w:gridCol w:w="116"/>
        <w:gridCol w:w="3323"/>
      </w:tblGrid>
      <w:tr>
        <w:trPr/>
        <w:tc>
          <w:tcPr>
            <w:tcW w:w="643"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STOCKHOLDER]</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323" w:type="dxa"/>
            <w:tcBorders/>
          </w:tcPr>
          <w:p>
            <w:pPr>
              <w:pStyle w:val="TableContents"/>
              <w:pBdr>
                <w:bottom w:val="single" w:sz="2" w:space="1" w:color="000000"/>
              </w:pBdr>
              <w:bidi w:val="0"/>
              <w:spacing w:before="0" w:after="20"/>
              <w:jc w:val="left"/>
              <w:rPr/>
            </w:pPr>
            <w:r>
              <w:rPr/>
              <w:t> </w:t>
            </w:r>
          </w:p>
        </w:tc>
      </w:tr>
      <w:tr>
        <w:trPr/>
        <w:tc>
          <w:tcPr>
            <w:tcW w:w="64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Name:</w:t>
            </w:r>
          </w:p>
        </w:tc>
      </w:tr>
      <w:tr>
        <w:trPr/>
        <w:tc>
          <w:tcPr>
            <w:tcW w:w="64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List of Lock-Up Signatories </w:t>
      </w:r>
    </w:p>
    <w:p>
      <w:pPr>
        <w:pStyle w:val="TextBody"/>
        <w:bidi w:val="0"/>
        <w:spacing w:before="240" w:after="0"/>
        <w:jc w:val="left"/>
        <w:rPr>
          <w:rFonts w:ascii="Times New Roman" w:hAnsi="Times New Roman"/>
          <w:sz w:val="20"/>
        </w:rPr>
      </w:pPr>
      <w:r>
        <w:rPr>
          <w:rFonts w:ascii="Times New Roman" w:hAnsi="Times New Roman"/>
          <w:sz w:val="20"/>
        </w:rPr>
        <w:t xml:space="preserve">Bull Holdco, L.P. </w:t>
      </w:r>
    </w:p>
    <w:p>
      <w:pPr>
        <w:pStyle w:val="TextBody"/>
        <w:bidi w:val="0"/>
        <w:spacing w:before="0" w:after="0"/>
        <w:jc w:val="left"/>
        <w:rPr>
          <w:rFonts w:ascii="Times New Roman" w:hAnsi="Times New Roman"/>
          <w:sz w:val="20"/>
        </w:rPr>
      </w:pPr>
      <w:r>
        <w:rPr>
          <w:rFonts w:ascii="Times New Roman" w:hAnsi="Times New Roman"/>
          <w:sz w:val="20"/>
        </w:rPr>
        <w:t xml:space="preserve">Bull Co-Invest L.P. </w:t>
      </w:r>
    </w:p>
    <w:p>
      <w:pPr>
        <w:pStyle w:val="TextBody"/>
        <w:bidi w:val="0"/>
        <w:spacing w:before="0" w:after="0"/>
        <w:jc w:val="left"/>
        <w:rPr>
          <w:rFonts w:ascii="Times New Roman" w:hAnsi="Times New Roman"/>
          <w:sz w:val="20"/>
        </w:rPr>
      </w:pPr>
      <w:r>
        <w:rPr>
          <w:rFonts w:ascii="Times New Roman" w:hAnsi="Times New Roman"/>
          <w:sz w:val="20"/>
        </w:rPr>
        <w:t xml:space="preserve">GTCR Fund XIA L.P. </w:t>
      </w:r>
    </w:p>
    <w:p>
      <w:pPr>
        <w:pStyle w:val="TextBody"/>
        <w:bidi w:val="0"/>
        <w:spacing w:before="0" w:after="0"/>
        <w:jc w:val="left"/>
        <w:rPr>
          <w:rFonts w:ascii="Times New Roman" w:hAnsi="Times New Roman"/>
          <w:sz w:val="20"/>
        </w:rPr>
      </w:pPr>
      <w:r>
        <w:rPr>
          <w:rFonts w:ascii="Times New Roman" w:hAnsi="Times New Roman"/>
          <w:sz w:val="20"/>
        </w:rPr>
        <w:t xml:space="preserve">GTCR Fund XIC L.P. </w:t>
      </w:r>
    </w:p>
    <w:p>
      <w:pPr>
        <w:pStyle w:val="TextBody"/>
        <w:bidi w:val="0"/>
        <w:spacing w:before="0" w:after="0"/>
        <w:jc w:val="left"/>
        <w:rPr>
          <w:rFonts w:ascii="Times New Roman" w:hAnsi="Times New Roman"/>
          <w:sz w:val="20"/>
        </w:rPr>
      </w:pPr>
      <w:r>
        <w:rPr>
          <w:rFonts w:ascii="Times New Roman" w:hAnsi="Times New Roman"/>
          <w:sz w:val="20"/>
        </w:rPr>
        <w:t xml:space="preserve">GTCR Co-Invest XI L.P. </w:t>
      </w:r>
    </w:p>
    <w:p>
      <w:pPr>
        <w:pStyle w:val="TextBody"/>
        <w:bidi w:val="0"/>
        <w:spacing w:before="0" w:after="0"/>
        <w:jc w:val="left"/>
        <w:rPr>
          <w:rFonts w:ascii="Times New Roman" w:hAnsi="Times New Roman"/>
          <w:sz w:val="20"/>
        </w:rPr>
      </w:pPr>
      <w:r>
        <w:rPr>
          <w:rFonts w:ascii="Times New Roman" w:hAnsi="Times New Roman"/>
          <w:sz w:val="20"/>
        </w:rPr>
        <w:t xml:space="preserve">Michael B. Petras, Jr. </w:t>
      </w:r>
    </w:p>
    <w:p>
      <w:pPr>
        <w:pStyle w:val="TextBody"/>
        <w:bidi w:val="0"/>
        <w:spacing w:before="0" w:after="0"/>
        <w:jc w:val="left"/>
        <w:rPr>
          <w:rFonts w:ascii="Times New Roman" w:hAnsi="Times New Roman"/>
          <w:sz w:val="20"/>
        </w:rPr>
      </w:pPr>
      <w:r>
        <w:rPr>
          <w:rFonts w:ascii="Times New Roman" w:hAnsi="Times New Roman"/>
          <w:sz w:val="20"/>
        </w:rPr>
        <w:t xml:space="preserve">Jonathan M. Lyons </w:t>
      </w:r>
    </w:p>
    <w:p>
      <w:pPr>
        <w:pStyle w:val="TextBody"/>
        <w:bidi w:val="0"/>
        <w:spacing w:before="0" w:after="0"/>
        <w:jc w:val="left"/>
        <w:rPr>
          <w:rFonts w:ascii="Times New Roman" w:hAnsi="Times New Roman"/>
          <w:sz w:val="20"/>
        </w:rPr>
      </w:pPr>
      <w:r>
        <w:rPr>
          <w:rFonts w:ascii="Times New Roman" w:hAnsi="Times New Roman"/>
          <w:sz w:val="20"/>
        </w:rPr>
        <w:t xml:space="preserve">Michael P. Rutz </w:t>
      </w:r>
    </w:p>
    <w:p>
      <w:pPr>
        <w:pStyle w:val="TextBody"/>
        <w:bidi w:val="0"/>
        <w:spacing w:before="0" w:after="0"/>
        <w:jc w:val="left"/>
        <w:rPr>
          <w:rFonts w:ascii="Times New Roman" w:hAnsi="Times New Roman"/>
          <w:sz w:val="20"/>
        </w:rPr>
      </w:pPr>
      <w:r>
        <w:rPr>
          <w:rFonts w:ascii="Times New Roman" w:hAnsi="Times New Roman"/>
          <w:sz w:val="20"/>
        </w:rPr>
        <w:t xml:space="preserve">Alexander Dimitrief </w:t>
      </w:r>
    </w:p>
    <w:p>
      <w:pPr>
        <w:pStyle w:val="TextBody"/>
        <w:bidi w:val="0"/>
        <w:spacing w:before="0" w:after="0"/>
        <w:jc w:val="left"/>
        <w:rPr>
          <w:rFonts w:ascii="Times New Roman" w:hAnsi="Times New Roman"/>
          <w:sz w:val="20"/>
        </w:rPr>
      </w:pPr>
      <w:r>
        <w:rPr>
          <w:rFonts w:ascii="Times New Roman" w:hAnsi="Times New Roman"/>
          <w:sz w:val="20"/>
        </w:rPr>
        <w:t xml:space="preserve">Ruoxi Chen </w:t>
      </w:r>
    </w:p>
    <w:p>
      <w:pPr>
        <w:pStyle w:val="TextBody"/>
        <w:bidi w:val="0"/>
        <w:spacing w:before="0" w:after="0"/>
        <w:jc w:val="left"/>
        <w:rPr>
          <w:rFonts w:ascii="Times New Roman" w:hAnsi="Times New Roman"/>
          <w:sz w:val="20"/>
        </w:rPr>
      </w:pPr>
      <w:r>
        <w:rPr>
          <w:rFonts w:ascii="Times New Roman" w:hAnsi="Times New Roman"/>
          <w:sz w:val="20"/>
        </w:rPr>
        <w:t xml:space="preserve">Sean L. Cunningham </w:t>
      </w:r>
    </w:p>
    <w:p>
      <w:pPr>
        <w:pStyle w:val="TextBody"/>
        <w:bidi w:val="0"/>
        <w:spacing w:before="0" w:after="0"/>
        <w:jc w:val="left"/>
        <w:rPr>
          <w:rFonts w:ascii="Times New Roman" w:hAnsi="Times New Roman"/>
          <w:sz w:val="20"/>
        </w:rPr>
      </w:pPr>
      <w:r>
        <w:rPr>
          <w:rFonts w:ascii="Times New Roman" w:hAnsi="Times New Roman"/>
          <w:sz w:val="20"/>
        </w:rPr>
        <w:t xml:space="preserve">David A. Donnini </w:t>
      </w:r>
    </w:p>
    <w:p>
      <w:pPr>
        <w:pStyle w:val="TextBody"/>
        <w:bidi w:val="0"/>
        <w:spacing w:before="0" w:after="0"/>
        <w:jc w:val="left"/>
        <w:rPr>
          <w:rFonts w:ascii="Times New Roman" w:hAnsi="Times New Roman"/>
          <w:sz w:val="20"/>
        </w:rPr>
      </w:pPr>
      <w:r>
        <w:rPr>
          <w:rFonts w:ascii="Times New Roman" w:hAnsi="Times New Roman"/>
          <w:sz w:val="20"/>
        </w:rPr>
        <w:t xml:space="preserve">Karen A. Flynn </w:t>
      </w:r>
    </w:p>
    <w:p>
      <w:pPr>
        <w:pStyle w:val="TextBody"/>
        <w:bidi w:val="0"/>
        <w:spacing w:before="0" w:after="0"/>
        <w:jc w:val="left"/>
        <w:rPr>
          <w:rFonts w:ascii="Times New Roman" w:hAnsi="Times New Roman"/>
          <w:sz w:val="20"/>
        </w:rPr>
      </w:pPr>
      <w:r>
        <w:rPr>
          <w:rFonts w:ascii="Times New Roman" w:hAnsi="Times New Roman"/>
          <w:sz w:val="20"/>
        </w:rPr>
        <w:t xml:space="preserve">Ann R. Klee </w:t>
      </w:r>
    </w:p>
    <w:p>
      <w:pPr>
        <w:pStyle w:val="TextBody"/>
        <w:bidi w:val="0"/>
        <w:spacing w:before="0" w:after="0"/>
        <w:jc w:val="left"/>
        <w:rPr>
          <w:rFonts w:ascii="Times New Roman" w:hAnsi="Times New Roman"/>
          <w:sz w:val="20"/>
        </w:rPr>
      </w:pPr>
      <w:r>
        <w:rPr>
          <w:rFonts w:ascii="Times New Roman" w:hAnsi="Times New Roman"/>
          <w:sz w:val="20"/>
        </w:rPr>
        <w:t xml:space="preserve">Robert B. Knauss </w:t>
      </w:r>
    </w:p>
    <w:p>
      <w:pPr>
        <w:pStyle w:val="TextBody"/>
        <w:bidi w:val="0"/>
        <w:spacing w:before="0" w:after="0"/>
        <w:jc w:val="left"/>
        <w:rPr>
          <w:rFonts w:ascii="Times New Roman" w:hAnsi="Times New Roman"/>
          <w:sz w:val="20"/>
        </w:rPr>
      </w:pPr>
      <w:r>
        <w:rPr>
          <w:rFonts w:ascii="Times New Roman" w:hAnsi="Times New Roman"/>
          <w:sz w:val="20"/>
        </w:rPr>
        <w:t xml:space="preserve">Constantine S. Mihas </w:t>
      </w:r>
    </w:p>
    <w:p>
      <w:pPr>
        <w:pStyle w:val="TextBody"/>
        <w:bidi w:val="0"/>
        <w:spacing w:before="0" w:after="0"/>
        <w:jc w:val="left"/>
        <w:rPr>
          <w:rFonts w:ascii="Times New Roman" w:hAnsi="Times New Roman"/>
          <w:sz w:val="20"/>
        </w:rPr>
      </w:pPr>
      <w:r>
        <w:rPr>
          <w:rFonts w:ascii="Times New Roman" w:hAnsi="Times New Roman"/>
          <w:sz w:val="20"/>
        </w:rPr>
        <w:t xml:space="preserve">James C. Neary </w:t>
      </w:r>
    </w:p>
    <w:p>
      <w:pPr>
        <w:pStyle w:val="TextBody"/>
        <w:bidi w:val="0"/>
        <w:spacing w:before="0" w:after="0"/>
        <w:jc w:val="left"/>
        <w:rPr>
          <w:rFonts w:ascii="Times New Roman" w:hAnsi="Times New Roman"/>
          <w:sz w:val="20"/>
        </w:rPr>
      </w:pPr>
      <w:r>
        <w:rPr>
          <w:rFonts w:ascii="Times New Roman" w:hAnsi="Times New Roman"/>
          <w:sz w:val="20"/>
        </w:rPr>
        <w:t xml:space="preserve">Vincent K. Petrella </w:t>
      </w:r>
    </w:p>
    <w:p>
      <w:pPr>
        <w:pStyle w:val="TextBody"/>
        <w:bidi w:val="0"/>
        <w:spacing w:before="0" w:after="0"/>
        <w:jc w:val="left"/>
        <w:rPr>
          <w:rFonts w:ascii="Times New Roman" w:hAnsi="Times New Roman"/>
          <w:sz w:val="20"/>
        </w:rPr>
      </w:pPr>
      <w:r>
        <w:rPr>
          <w:rFonts w:ascii="Times New Roman" w:hAnsi="Times New Roman"/>
          <w:sz w:val="20"/>
        </w:rPr>
        <w:t xml:space="preserve">David E. Wheadon </w:t>
      </w:r>
    </w:p>
    <w:p>
      <w:pPr>
        <w:pStyle w:val="TextBody"/>
        <w:bidi w:val="0"/>
        <w:spacing w:before="0" w:after="0"/>
        <w:jc w:val="right"/>
        <w:rPr>
          <w:rFonts w:ascii="Times New Roman" w:hAnsi="Times New Roman"/>
          <w:b/>
          <w:sz w:val="20"/>
        </w:rPr>
      </w:pPr>
      <w:bookmarkStart w:id="4" w:name="d786395dex51.htm"/>
      <w:bookmarkStart w:id="5" w:name="ksd786395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181850" cy="2466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81850" cy="24669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March 4, 2024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t>
      </w:r>
    </w:p>
    <w:p>
      <w:pPr>
        <w:pStyle w:val="TextBody"/>
        <w:bidi w:val="0"/>
        <w:spacing w:before="0" w:after="0"/>
        <w:jc w:val="left"/>
        <w:rPr>
          <w:rFonts w:ascii="Times New Roman" w:hAnsi="Times New Roman"/>
          <w:sz w:val="20"/>
        </w:rPr>
      </w:pPr>
      <w:r>
        <w:rPr>
          <w:rFonts w:ascii="Times New Roman" w:hAnsi="Times New Roman"/>
          <w:sz w:val="20"/>
        </w:rPr>
        <w:t xml:space="preserve">9100 South Hills Blvd, Suite 300 </w:t>
      </w:r>
    </w:p>
    <w:p>
      <w:pPr>
        <w:pStyle w:val="TextBody"/>
        <w:bidi w:val="0"/>
        <w:spacing w:before="0" w:after="0"/>
        <w:jc w:val="left"/>
        <w:rPr>
          <w:rFonts w:ascii="Times New Roman" w:hAnsi="Times New Roman"/>
          <w:sz w:val="20"/>
        </w:rPr>
      </w:pPr>
      <w:r>
        <w:rPr>
          <w:rFonts w:ascii="Times New Roman" w:hAnsi="Times New Roman"/>
          <w:sz w:val="20"/>
        </w:rPr>
        <w:t xml:space="preserve">Broadview Heights, Ohio 44147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Sotera Health Company 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Sotera Health Company, a corporation organized under the laws of Delaware (the </w:t>
      </w:r>
      <w:r>
        <w:rPr>
          <w:rFonts w:ascii="Times New Roman" w:hAnsi="Times New Roman"/>
          <w:sz w:val="20"/>
          <w:u w:val="single"/>
        </w:rPr>
        <w:t>Company</w:t>
      </w:r>
      <w:r>
        <w:rPr>
          <w:rFonts w:ascii="Times New Roman" w:hAnsi="Times New Roman"/>
          <w:sz w:val="20"/>
        </w:rPr>
        <w:t>), in connection with the offering by certain investment funds and entities affiliated with Warburg Pincus, certain investment funds and entities affiliated with GTCR, Michael B. Petras, Jr., Michael P. Rutz and Ann Klee (collectively, the </w:t>
      </w:r>
      <w:r>
        <w:rPr>
          <w:rFonts w:ascii="Times New Roman" w:hAnsi="Times New Roman"/>
          <w:sz w:val="20"/>
          <w:u w:val="single"/>
        </w:rPr>
        <w:t>Selling Stockholders</w:t>
      </w:r>
      <w:r>
        <w:rPr>
          <w:rFonts w:ascii="Times New Roman" w:hAnsi="Times New Roman"/>
          <w:sz w:val="20"/>
        </w:rPr>
        <w:t>) pursuant to a registration statement on Form S-3 (333-277418) of 28,750,000 of the Companys shares of common stock, par value $0.01 per share (the </w:t>
      </w:r>
      <w:r>
        <w:rPr>
          <w:rFonts w:ascii="Times New Roman" w:hAnsi="Times New Roman"/>
          <w:sz w:val="20"/>
          <w:u w:val="single"/>
        </w:rPr>
        <w:t>Securities</w:t>
      </w:r>
      <w:r>
        <w:rPr>
          <w:rFonts w:ascii="Times New Roman" w:hAnsi="Times New Roman"/>
          <w:sz w:val="20"/>
        </w:rPr>
        <w:t>). Such registration statement, as amended as of its most recent effective date (February 28, 2024) insofar as it relates to the Securities (as determined for purposes of Rule 430B(f)(2) under the Securities Act of 1933, as amended (the </w:t>
      </w:r>
      <w:r>
        <w:rPr>
          <w:rFonts w:ascii="Times New Roman" w:hAnsi="Times New Roman"/>
          <w:sz w:val="20"/>
          <w:u w:val="single"/>
        </w:rPr>
        <w:t>Securities Act</w:t>
      </w:r>
      <w:r>
        <w:rPr>
          <w:rFonts w:ascii="Times New Roman" w:hAnsi="Times New Roman"/>
          <w:sz w:val="20"/>
        </w:rPr>
        <w:t>)), including the documents incorporated by reference therein, is herein called the </w:t>
      </w:r>
      <w:r>
        <w:rPr>
          <w:rFonts w:ascii="Times New Roman" w:hAnsi="Times New Roman"/>
          <w:sz w:val="20"/>
          <w:u w:val="single"/>
        </w:rPr>
        <w:t>Registration Statement</w:t>
      </w:r>
      <w:r>
        <w:rPr>
          <w:rFonts w:ascii="Times New Roman" w:hAnsi="Times New Roman"/>
          <w:sz w:val="20"/>
        </w:rPr>
        <w:t>; the related prospectus dated February 27, 2024, included in the Registration Statement filed with the Securities and Exchange Commission (the </w:t>
      </w:r>
      <w:r>
        <w:rPr>
          <w:rFonts w:ascii="Times New Roman" w:hAnsi="Times New Roman"/>
          <w:sz w:val="20"/>
          <w:u w:val="single"/>
        </w:rPr>
        <w:t>Commission</w:t>
      </w:r>
      <w:r>
        <w:rPr>
          <w:rFonts w:ascii="Times New Roman" w:hAnsi="Times New Roman"/>
          <w:sz w:val="20"/>
        </w:rPr>
        <w:t>) under the Securities Act, including the documents incorporated by reference therein, is herein called the </w:t>
      </w:r>
      <w:r>
        <w:rPr>
          <w:rFonts w:ascii="Times New Roman" w:hAnsi="Times New Roman"/>
          <w:sz w:val="20"/>
          <w:u w:val="single"/>
        </w:rPr>
        <w:t>Base Prospectus</w:t>
      </w:r>
      <w:r>
        <w:rPr>
          <w:rFonts w:ascii="Times New Roman" w:hAnsi="Times New Roman"/>
          <w:sz w:val="20"/>
        </w:rPr>
        <w:t>; the preliminary prospectus supplement dated February 27, 2024, as filed with the Commission pursuant to Rule 424(b) under the Securities Act, including the documents incorporated by reference therein, is herein called the </w:t>
      </w:r>
      <w:r>
        <w:rPr>
          <w:rFonts w:ascii="Times New Roman" w:hAnsi="Times New Roman"/>
          <w:sz w:val="20"/>
          <w:u w:val="single"/>
        </w:rPr>
        <w:t>Preliminary Prospectus Supplement</w:t>
      </w:r>
      <w:r>
        <w:rPr>
          <w:rFonts w:ascii="Times New Roman" w:hAnsi="Times New Roman"/>
          <w:sz w:val="20"/>
        </w:rPr>
        <w:t>; and the related prospectus supplement dated February 28, 2024, as filed with the Commission pursuant to Rule 424(b) under the Securities Act, including the documents incorporated by reference therein, is herein called the </w:t>
      </w:r>
      <w:r>
        <w:rPr>
          <w:rFonts w:ascii="Times New Roman" w:hAnsi="Times New Roman"/>
          <w:sz w:val="20"/>
          <w:u w:val="single"/>
        </w:rPr>
        <w:t>Final Prospectus Supplement</w:t>
      </w:r>
      <w:r>
        <w:rPr>
          <w:rFonts w:ascii="Times New Roman" w:hAnsi="Times New Roman"/>
          <w:sz w:val="20"/>
        </w:rPr>
        <w:t>. The Base Prospectus and the Preliminary Prospectus Supplement together are herein called the </w:t>
      </w:r>
      <w:r>
        <w:rPr>
          <w:rFonts w:ascii="Times New Roman" w:hAnsi="Times New Roman"/>
          <w:sz w:val="20"/>
          <w:u w:val="single"/>
        </w:rPr>
        <w:t>Pricing Prospectus</w:t>
      </w:r>
      <w:r>
        <w:rPr>
          <w:rFonts w:ascii="Times New Roman" w:hAnsi="Times New Roman"/>
          <w:sz w:val="20"/>
        </w:rPr>
        <w:t>, and the Base Prospectus and the Final Prospectus Supplement together are herein called the </w:t>
      </w:r>
      <w:r>
        <w:rPr>
          <w:rFonts w:ascii="Times New Roman" w:hAnsi="Times New Roman"/>
          <w:sz w:val="20"/>
          <w:u w:val="single"/>
        </w:rPr>
        <w:t>Final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opinions expressed below, we have reviewed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an executed copy of the Underwriting Agreement dated February 28, 2024 among the Company, the Selling Stockholders and the several underwriters named in Schedule 1 thereto (the </w:t>
            </w:r>
            <w:r>
              <w:rPr>
                <w:rFonts w:ascii="Times New Roman" w:hAnsi="Times New Roman"/>
                <w:sz w:val="20"/>
                <w:u w:val="single"/>
              </w:rPr>
              <w:t>Underwriting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Prospectus;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32435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24350" cy="20955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Sotera Health Company, p. 2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Final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Computershare Trust Company, N.A., as registrar and transfer agent for the Securities, certifying that the Securities have been duly registered or otherwise established in the systems of The Depository Trust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and Restated Certificate of Incorporation of the Company, certified by the Secretary of State of the State of Delaware.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Selling Stockholders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further assumptions and qualifications set forth below, it is our opinion that the Securities have been validly issued by the Company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General Corporation Law of the State of Delaware, including the applicable provisions of the Delaware Constitution and reported judicial decisions interpreting such laws.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dated March 4, 2024.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6"/>
        <w:gridCol w:w="151"/>
        <w:gridCol w:w="3165"/>
      </w:tblGrid>
      <w:tr>
        <w:trPr/>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CLEARY GOTTLIEB STEEN &amp; HAMILTON LLP</w:t>
            </w:r>
          </w:p>
        </w:tc>
      </w:tr>
      <w:tr>
        <w:trPr>
          <w:trHeight w:val="240" w:hRule="atLeast"/>
        </w:trPr>
        <w:tc>
          <w:tcPr>
            <w:tcW w:w="766" w:type="dxa"/>
            <w:tcBorders/>
            <w:vAlign w:val="center"/>
          </w:tcPr>
          <w:p>
            <w:pPr>
              <w:pStyle w:val="TableContents"/>
              <w:bidi w:val="0"/>
              <w:spacing w:before="0" w:after="283"/>
              <w:jc w:val="left"/>
              <w:rPr>
                <w:sz w:val="4"/>
                <w:szCs w:val="4"/>
              </w:rPr>
            </w:pPr>
            <w:r>
              <w:rPr>
                <w:sz w:val="4"/>
                <w:szCs w:val="4"/>
              </w:rPr>
            </w:r>
          </w:p>
        </w:tc>
        <w:tc>
          <w:tcPr>
            <w:tcW w:w="3316" w:type="dxa"/>
            <w:gridSpan w:val="2"/>
            <w:tcBorders/>
            <w:vAlign w:val="center"/>
          </w:tcPr>
          <w:p>
            <w:pPr>
              <w:pStyle w:val="TableContents"/>
              <w:bidi w:val="0"/>
              <w:spacing w:before="0" w:after="283"/>
              <w:jc w:val="left"/>
              <w:rPr>
                <w:sz w:val="4"/>
                <w:szCs w:val="4"/>
              </w:rPr>
            </w:pPr>
            <w:r>
              <w:rPr>
                <w:sz w:val="4"/>
                <w:szCs w:val="4"/>
              </w:rPr>
            </w:r>
          </w:p>
        </w:tc>
      </w:tr>
      <w:tr>
        <w:trPr/>
        <w:tc>
          <w:tcPr>
            <w:tcW w:w="766" w:type="dxa"/>
            <w:tcBorders/>
          </w:tcPr>
          <w:p>
            <w:pPr>
              <w:pStyle w:val="TableContents"/>
              <w:bidi w:val="0"/>
              <w:spacing w:before="0" w:after="283"/>
              <w:jc w:val="left"/>
              <w:rPr/>
            </w:pPr>
            <w:r>
              <w:rPr/>
              <w:t>By</w:t>
            </w:r>
          </w:p>
        </w:tc>
        <w:tc>
          <w:tcPr>
            <w:tcW w:w="151" w:type="dxa"/>
            <w:tcBorders/>
            <w:vAlign w:val="bottom"/>
          </w:tcPr>
          <w:p>
            <w:pPr>
              <w:pStyle w:val="TableContents"/>
              <w:bidi w:val="0"/>
              <w:spacing w:before="0" w:after="283"/>
              <w:jc w:val="left"/>
              <w:rPr/>
            </w:pPr>
            <w:r>
              <w:rPr/>
              <w:t> </w:t>
            </w:r>
          </w:p>
        </w:tc>
        <w:tc>
          <w:tcPr>
            <w:tcW w:w="316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Lopez</w:t>
            </w:r>
          </w:p>
        </w:tc>
      </w:tr>
      <w:tr>
        <w:trPr/>
        <w:tc>
          <w:tcPr>
            <w:tcW w:w="766" w:type="dxa"/>
            <w:tcBorders/>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0"/>
              <w:jc w:val="left"/>
              <w:rPr>
                <w:rFonts w:ascii="Times New Roman" w:hAnsi="Times New Roman"/>
                <w:sz w:val="20"/>
              </w:rPr>
            </w:pPr>
            <w:r>
              <w:rPr>
                <w:rFonts w:ascii="Times New Roman" w:hAnsi="Times New Roman"/>
                <w:sz w:val="20"/>
              </w:rPr>
              <w:t>David Lopez, a Partner</w:t>
            </w:r>
          </w:p>
        </w:tc>
      </w:tr>
    </w:tbl>
    <w:p>
      <w:pPr>
        <w:pStyle w:val="TextBody"/>
        <w:bidi w:val="0"/>
        <w:spacing w:before="0" w:after="0"/>
        <w:jc w:val="right"/>
        <w:rPr>
          <w:rFonts w:ascii="Times New Roman" w:hAnsi="Times New Roman"/>
          <w:b/>
          <w:sz w:val="20"/>
        </w:rPr>
      </w:pPr>
      <w:bookmarkStart w:id="6" w:name="d786395dex101.htm"/>
      <w:bookmarkStart w:id="7" w:name="ksd786395dex101"/>
      <w:bookmarkEnd w:id="6"/>
      <w:bookmarkEnd w:id="7"/>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 Indicates that certain information in this exhibit has been excluded because it is both (i) not material and (ii) is the type that the registrant customarily and actually treats as private or confidential. </w:t>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AMENDMENT NO. 3 TO FIRST LIEN CREDIT AGREEMENT, dated as of March 1, 2024 (this </w:t>
      </w:r>
      <w:r>
        <w:rPr>
          <w:rFonts w:ascii="Times New Roman" w:hAnsi="Times New Roman"/>
          <w:sz w:val="20"/>
          <w:u w:val="single"/>
        </w:rPr>
        <w:t>Amendment</w:t>
      </w:r>
      <w:r>
        <w:rPr>
          <w:rFonts w:ascii="Times New Roman" w:hAnsi="Times New Roman"/>
          <w:sz w:val="20"/>
        </w:rPr>
        <w:t>), is made and entered into by and among Sotera Health Company (f/k/a Sotera Health Topco, Inc.), a Delaware corporation (</w:t>
      </w:r>
      <w:r>
        <w:rPr>
          <w:rFonts w:ascii="Times New Roman" w:hAnsi="Times New Roman"/>
          <w:sz w:val="20"/>
          <w:u w:val="single"/>
        </w:rPr>
        <w:t>Holdings</w:t>
      </w:r>
      <w:r>
        <w:rPr>
          <w:rFonts w:ascii="Times New Roman" w:hAnsi="Times New Roman"/>
          <w:sz w:val="20"/>
        </w:rPr>
        <w:t>), SOTERA HEALTH HOLDINGS, LLC, a Delaware limited liability company (the </w:t>
      </w:r>
      <w:r>
        <w:rPr>
          <w:rFonts w:ascii="Times New Roman" w:hAnsi="Times New Roman"/>
          <w:sz w:val="20"/>
          <w:u w:val="single"/>
        </w:rPr>
        <w:t>Borrower</w:t>
      </w:r>
      <w:r>
        <w:rPr>
          <w:rFonts w:ascii="Times New Roman" w:hAnsi="Times New Roman"/>
          <w:sz w:val="20"/>
        </w:rPr>
        <w:t>), each of the entities listed under the caption Refinancing Revolving Lenders on the signature pages hereto (each, a </w:t>
      </w:r>
      <w:r>
        <w:rPr>
          <w:rFonts w:ascii="Times New Roman" w:hAnsi="Times New Roman"/>
          <w:sz w:val="20"/>
          <w:u w:val="single"/>
        </w:rPr>
        <w:t>Refinancing Revolving Lender</w:t>
      </w:r>
      <w:r>
        <w:rPr>
          <w:rFonts w:ascii="Times New Roman" w:hAnsi="Times New Roman"/>
          <w:sz w:val="20"/>
        </w:rPr>
        <w:t> and, collectively, the </w:t>
      </w:r>
      <w:r>
        <w:rPr>
          <w:rFonts w:ascii="Times New Roman" w:hAnsi="Times New Roman"/>
          <w:sz w:val="20"/>
          <w:u w:val="single"/>
        </w:rPr>
        <w:t>Refinancing Revolving Lenders</w:t>
      </w:r>
      <w:r>
        <w:rPr>
          <w:rFonts w:ascii="Times New Roman" w:hAnsi="Times New Roman"/>
          <w:sz w:val="20"/>
        </w:rPr>
        <w:t>), JPMorgan Chase Bank, N.A., as First Lien Administrative Agent (solely in such capacity, the </w:t>
      </w:r>
      <w:r>
        <w:rPr>
          <w:rFonts w:ascii="Times New Roman" w:hAnsi="Times New Roman"/>
          <w:sz w:val="20"/>
          <w:u w:val="single"/>
        </w:rPr>
        <w:t>Administrative Agent</w:t>
      </w:r>
      <w:r>
        <w:rPr>
          <w:rFonts w:ascii="Times New Roman" w:hAnsi="Times New Roman"/>
          <w:sz w:val="20"/>
        </w:rPr>
        <w:t xml:space="preserve">), each other Revolving Lender, Swingline Lender and Issuing Bank (each as defined in the Credit Agreement), and, for purposes of Sections 8 and 10 hereof only, the other Loan Parties as of the date hereof.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reference is made to the First Lien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to First Lien Credit Agreement, dated as of March 21, 2023, as further amended by that certain Amendment to the First Lien Credit Agreement, dated as of June 22, 2023, and as further amended, supplemented or otherwise modified prior to the date hereof, the </w:t>
      </w:r>
      <w:r>
        <w:rPr>
          <w:rFonts w:ascii="Times New Roman" w:hAnsi="Times New Roman"/>
          <w:sz w:val="20"/>
          <w:u w:val="single"/>
        </w:rPr>
        <w:t>Credit Agreement</w:t>
      </w:r>
      <w:r>
        <w:rPr>
          <w:rFonts w:ascii="Times New Roman" w:hAnsi="Times New Roman"/>
          <w:sz w:val="20"/>
        </w:rPr>
        <w:t xml:space="preserve">), by and among Holdings, the Borrower, the lenders from time to time party thereto and the Administrative Agent; </w:t>
      </w:r>
    </w:p>
    <w:p>
      <w:pPr>
        <w:pStyle w:val="TextBody"/>
        <w:bidi w:val="0"/>
        <w:spacing w:before="240" w:after="0"/>
        <w:jc w:val="left"/>
        <w:rPr>
          <w:rFonts w:ascii="Times New Roman" w:hAnsi="Times New Roman"/>
          <w:sz w:val="20"/>
        </w:rPr>
      </w:pPr>
      <w:r>
        <w:rPr>
          <w:rFonts w:ascii="Times New Roman" w:hAnsi="Times New Roman"/>
          <w:sz w:val="20"/>
        </w:rPr>
        <w:t>WHEREAS, (i) it is intended that the Borrower will obtain Other Revolving Commitments to replace certain existing revolving commitments under the Credit Agreement, which Other Revolving Commitments may be used for general corporate purposes of the Borrower and its subsidiaries and to fund any working capital needs, (ii) the Borrower, pursuant to Section 2.24(a) of the Credit Agreement, by written notice to the Administrative Agent, has made a Loan Modification Offer (as defined in the Credit Agreement) to each Revolving Lender to effect a Permitted Amendment (as defined in Credit Agreement) that shall extend the Revolving Maturity Date (as defined in the Credit Agreement) with respect to each Revolving Commitment (as defined in the Credit Agreement) and each Revolving Loan (as defined in the Credit Agreement) of the Extending Revolving Lenders, which Loan Modification Offer sets forth the date hereof as the date on which such Permitted Amendment is requested to become effective and (iii) the Borrower has requested that each of the Issuing Banks (as defined in the Credit Agreement) consent to such extension of the Revolving Maturity Date and agree to the Permitted Amendment set forth herein (the </w:t>
      </w:r>
      <w:r>
        <w:rPr>
          <w:rFonts w:ascii="Times New Roman" w:hAnsi="Times New Roman"/>
          <w:sz w:val="20"/>
          <w:u w:val="single"/>
        </w:rPr>
        <w:t>Amendment No. 3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subject to the terms and conditions of the Credit Agreement, and pursuant to Section 2.21 of the Credit Agreement, the Borrower has requested that the Refinancing Revolving Lenders provide (a)(i) Other Revolving Commitments in an aggregate principal amount of $83,000,000 (the </w:t>
      </w:r>
      <w:r>
        <w:rPr>
          <w:rFonts w:ascii="Times New Roman" w:hAnsi="Times New Roman"/>
          <w:sz w:val="20"/>
          <w:u w:val="single"/>
        </w:rPr>
        <w:t>Refinancing Revolving Commitments</w:t>
      </w:r>
      <w:r>
        <w:rPr>
          <w:rFonts w:ascii="Times New Roman" w:hAnsi="Times New Roman"/>
          <w:sz w:val="20"/>
        </w:rPr>
        <w:t xml:space="preserve">) and (ii) additional or increased Letter of Credit Sublimits (as defined in the Credit Agreement) as set forth on Annex B, and (b) certain amendments to the Existing Credit Agreement to effect the Refinancing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9.02(c) of the Credit Agreement, this Amendment constitutes notice to the Administrative Agent and to PSP Investments Credit USA LLC, ING Capital LLC and Credit Suisse AG, New York Branch, each as a Non-Consenting Lender that their respective Revolving Loans will be prepaid and their respective Revolving Commitments will be terminated on the date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subject to the terms and conditions of the Credit Agreement, and pursuant to Section 2.24(a) and 9.02 of the Credit Agreement, the Borrower has requested that Revolving Lenders (including the Refinancing Revolving Lenders), Swingline Lenders and the Issuing Banks agree to (a) extend the Revolving Maturity Date and (b) amend the Credit Agreement in the manner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Refinancing Revolving Lenders are willing to provide the Refinancing Revolving Commitments to the Borrower on the Amendment No. 3 Effective Date (as defined below) and the parties hereto wish to amend the Credit Agreement on the terms and subject to the conditions set forth herein and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Revolving Lenders (including the Refinancing Revolving Lenders), Swingline Lenders and the Issuing Banks have agreed to extend the Revolving Maturity Date and amend the Credit Agreement in the manner provided for herein; and </w:t>
      </w:r>
    </w:p>
    <w:p>
      <w:pPr>
        <w:pStyle w:val="TextBody"/>
        <w:bidi w:val="0"/>
        <w:spacing w:before="240" w:after="0"/>
        <w:jc w:val="left"/>
        <w:rPr>
          <w:rFonts w:ascii="Times New Roman" w:hAnsi="Times New Roman"/>
          <w:sz w:val="20"/>
        </w:rPr>
      </w:pPr>
      <w:r>
        <w:rPr>
          <w:rFonts w:ascii="Times New Roman" w:hAnsi="Times New Roman"/>
          <w:sz w:val="20"/>
        </w:rPr>
        <w:t>WHEREAS, J.P. Morgan Securities LLC, Goldman Sachs Bank USA, Citibank, N.A., Jefferies Finance LLC, RBC Capital Markets1, Barclays Bank PLC, Banco Santander, S.A., New York Branch, BNP Paribas Securities Corp., KeyBanc Capital Markets Inc. and Citizens Bank, N.A. shall each act as a joint lead arranger and joint bookrunner in connection with this Amendment and the Refinancing Revolving Commitments (in such capacity, the </w:t>
      </w:r>
      <w:r>
        <w:rPr>
          <w:rFonts w:ascii="Times New Roman" w:hAnsi="Times New Roman"/>
          <w:sz w:val="20"/>
          <w:u w:val="single"/>
        </w:rPr>
        <w:t>Amendment No. 3 Arrangers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contained and other good and valuable consideration, the sufficiency and receipt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b/>
          <w:i/>
          <w:sz w:val="20"/>
        </w:rPr>
        <w:t>Defined Terms; Interpretation; Etc</w:t>
      </w:r>
      <w:r>
        <w:rPr>
          <w:rFonts w:ascii="Times New Roman" w:hAnsi="Times New Roman"/>
          <w:sz w:val="20"/>
        </w:rPr>
        <w:t xml:space="preserve">. Capitalized terms used and not defined herein shall have the meanings assigned to such terms in the Credit Agreement. This Amendment is a Refinancing Amendment and a Loan Document, each as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b/>
          <w:i/>
          <w:sz w:val="20"/>
        </w:rPr>
        <w:t>Amendments</w:t>
      </w:r>
      <w:r>
        <w:rPr>
          <w:rFonts w:ascii="Times New Roman" w:hAnsi="Times New Roman"/>
          <w:sz w:val="20"/>
        </w:rPr>
        <w:t xml:space="preserve">. Each of the parties hereto agrees that, effective on the Amendment No. 3 Effective Date, the Credit Agreement is hereby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and to add the double-underlined text (indicated textually in the same manner as the following example:</w:t>
      </w:r>
      <w:r>
        <w:rPr>
          <w:rFonts w:ascii="Times New Roman" w:hAnsi="Times New Roman"/>
          <w:color w:val="0000FF"/>
          <w:sz w:val="20"/>
          <w:u w:val="single"/>
          <w:bdr w:val="double" w:sz="2" w:space="1" w:color="000000"/>
        </w:rPr>
        <w:t xml:space="preserve"> double-underlined text</w:t>
      </w:r>
      <w:r>
        <w:rPr>
          <w:rFonts w:ascii="Times New Roman" w:hAnsi="Times New Roman"/>
          <w:sz w:val="20"/>
        </w:rPr>
        <w:t>) as set forth in</w:t>
      </w:r>
      <w:r>
        <w:rPr>
          <w:rFonts w:ascii="Times New Roman" w:hAnsi="Times New Roman"/>
          <w:sz w:val="20"/>
          <w:u w:val="single"/>
        </w:rPr>
        <w:t xml:space="preserve"> Annex A</w:t>
      </w:r>
      <w:r>
        <w:rPr>
          <w:rFonts w:ascii="Times New Roman" w:hAnsi="Times New Roman"/>
          <w:sz w:val="20"/>
        </w:rPr>
        <w:t xml:space="preserve"> attached hereto. Except as expressly set forth in this Amendment, the Refinancing Revolving Commitments shall otherwise be subject to the provisions of the Credit Agreement (as amended hereby) and the other Loan Documents. Solely with respect to the Revolving Facility, Schedule 2.01 to the Credit Agreement shall be amended and restated in its entirety as set forth in </w:t>
      </w:r>
      <w:r>
        <w:rPr>
          <w:rFonts w:ascii="Times New Roman" w:hAnsi="Times New Roman"/>
          <w:sz w:val="20"/>
          <w:u w:val="single"/>
        </w:rPr>
        <w:t>Annex B</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b/>
          <w:i/>
          <w:sz w:val="20"/>
        </w:rPr>
        <w:t>Refinancing Revolving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Refinancing Revolving Lender hereby agrees, severally and not jointly, to make the Refinancing Revolving Commitments to the Borrower on the Amendment No. 3 Effective Date in an aggregate principal amount equal to the amount set forth opposite such Refinancing Revolving Lenders name on Schedule I attached hereto, on the terms set forth herein and in the Credit Agreement (as amended hereby), and subject to the conditions set forth below. The Refinancing Revolving Commitments are Other Revolving Commitments as contemplated by Section 2.21 of the Credit Agreement and shall be deemed to be Revolving Commitments as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RBC Capital Markets is a marketing name for the capital markets activities of Royal Bank of Canada and its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defined in the Credit Agreement (as amended hereby) for all purposes of the Credit Agreement and the other Loan Documents having terms and provisions identical to those applicable to the Revolving Commitments outstanding on the date hereof immediately prior to the Amendment No. 3 Effective Date (the </w:t>
      </w:r>
      <w:r>
        <w:rPr>
          <w:rFonts w:ascii="Times New Roman" w:hAnsi="Times New Roman"/>
          <w:sz w:val="20"/>
          <w:u w:val="single"/>
        </w:rPr>
        <w:t>Existing Revolving Commitments</w:t>
      </w:r>
      <w:r>
        <w:rPr>
          <w:rFonts w:ascii="Times New Roman" w:hAnsi="Times New Roman"/>
          <w:sz w:val="20"/>
        </w:rPr>
        <w:t xml:space="preserve">) except as otherwise set forth in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(b) The Refinancing Revolving Commitments will constitute Other Revolving Commitments and will, together with the Existing Revolving Commitments, be treated as one Class of Revolving Commitments. The Borrower and the Administrative Agent hereby also agrees to the amount of the Refinancing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(c) Each Refinancing Revolving Lender that is an Additional Revolving Lender (i) confirms that a copy of the Credit Agreement and the other applicable Loan Documents, together with copies of the financial statements referred to therein and such other documents and information as it has deemed appropriate to make its own credit analysis and decision to enter into this Amendment and make the Refinancing Revolving Commitments, have been made available to such Refinancing Revolving Lender; (ii) agrees that it will (together with any affiliates that it acts through as it deems appropriate),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and the Collateral Agent to take such action as agent on its behalf and to exercise such powers under the Credit Agreement and the other Loan Documents as are delegated to the Administrative Agent and the Collateral Agent, as the case may be, by the terms thereof, together with such powers as are reasonably incidental thereto; and (iv) acknowledges and agrees that upon the Amendment No. 3 Effective Date (x) such Refinancing Revolving Lender shall be a Lender and an Additional Revolving Lender under, and for all purposes of, the Credit Agreement and the other Loan Documents, and shall be subject to and bound by the terms thereof, and shall perform all the obligations of and shall have all rights of a Lender and an Additional Revolving Lender thereunder and (y) such Refinancing Revolving Lender shall be an Issuing Bank under, and for all purposes of, the Credit Agreement and the other Loan Documents, and shall be subject to and bound by the terms thereof, and shall perform all the obligations and have all the rights of an Issuing Bank thereunder.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their respective consent is required under Section 9.04(b) of the Credit Agreement, each of the Administrative Agent, the Borrower, each Issuing Bank and the Swingline Lender hereby consents to the Refinancing Revolving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On the Amendment No. 3 Effective Date, each Issuing Bank agrees that, each Revolving Lender that is not a Refinancing Revolving Lender (each, an </w:t>
      </w:r>
      <w:r>
        <w:rPr>
          <w:rFonts w:ascii="Times New Roman" w:hAnsi="Times New Roman"/>
          <w:sz w:val="20"/>
          <w:u w:val="single"/>
        </w:rPr>
        <w:t>Existing Revolving Lender</w:t>
      </w:r>
      <w:r>
        <w:rPr>
          <w:rFonts w:ascii="Times New Roman" w:hAnsi="Times New Roman"/>
          <w:sz w:val="20"/>
        </w:rPr>
        <w:t xml:space="preserve">) will automatically and without further act be deemed to have assigned to each Refinancing Revolving Lender, and each such Refinancing Revolving Lender will automatically and without further act be deemed to have assumed, a portion of the participations in outstanding Letters of Credit under the Credit Agreement of such Existing Revolving Lender such that, after giving effect to each such deemed assignment and assumption of participations, the participations under the Credit Agreement in Letters of Credit will held by the Revolving Lenders pro rata in accordance with their Applicable Percentages. Each Revolving Lender party hereto waives any right to compensation under Section 2.16 of the Credit Agreement in connection with the transactions contemplated by this clause (e) and Section 6(f) below.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b/>
          <w:i/>
          <w:sz w:val="20"/>
        </w:rPr>
        <w:t>Maturity Date</w:t>
      </w:r>
      <w:r>
        <w:rPr>
          <w:rFonts w:ascii="Times New Roman" w:hAnsi="Times New Roman"/>
          <w:sz w:val="20"/>
        </w:rPr>
        <w:t xml:space="preserve">. Each Revolving Lender (including the Refinancing Revolving Lenders), Swingline Lender and Issuing Bank hereby agrees, as required by Section 2.24(a) and 9.02 of the Credit Agreement, to extend the Revolving Maturity Date as set forth in amendments to the Credit Agreement in Annex A.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b/>
          <w:i/>
          <w:sz w:val="20"/>
        </w:rPr>
        <w:t>Type of Amendments; Notice</w:t>
      </w:r>
      <w:r>
        <w:rPr>
          <w:rFonts w:ascii="Times New Roman" w:hAnsi="Times New Roman"/>
          <w:sz w:val="20"/>
        </w:rPr>
        <w:t xml:space="preserve">. The Borrower, the Administrative Agent and the Issuing Banks hereby agree that all amendments set forth herein are, in the reasonable opinion of the Administrative Agent, the Borrower and the Issuing Banks, necessary to effectuate the provisions of Section 2.21 and 2.24(a) of the Credit Agreement. The parties also agree that this Amendment shall constitute notice to each Lender by the Administrative Agent as required by Section 2.21 and 2.24(a)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b/>
          <w:i/>
          <w:sz w:val="20"/>
        </w:rPr>
        <w:t>Conditions to the Effectiveness of the Refinancing Revolving Commitments</w:t>
      </w:r>
      <w:r>
        <w:rPr>
          <w:rFonts w:ascii="Times New Roman" w:hAnsi="Times New Roman"/>
          <w:sz w:val="20"/>
        </w:rPr>
        <w:t>. This Amendment, and each Refinancing Revolving Lenders obligation to provide the Refinancing Revolving Commitments pursuant to this Amendment, shall become effective as of the date on which the following conditions precedent are satisfied or waived by the Refinancing Revolving Lenders (such date, the </w:t>
      </w:r>
      <w:r>
        <w:rPr>
          <w:rFonts w:ascii="Times New Roman" w:hAnsi="Times New Roman"/>
          <w:sz w:val="20"/>
          <w:u w:val="single"/>
        </w:rPr>
        <w:t>Amendment No. 3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(or its counsel) shall have received from Holdings, the Borrower, each other Loan Party and each Refinancing Revolving Lender, each other Revolving Lender and Issuing Bank and the Swingline Lender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have received a written opinion (addressed to the Administrative Agent, the Refinancing Revolving Lenders, each of the Revolving Lenders party hereto and each other Issuing Bank and dated the Amendment No. 3 Effective Date) of each of (i) Cleary Gottlieb Steen &amp; Hamilton LLP, New York counsel for the Loan Parties and (ii) Richards, Layton &amp; Finger, P.A., Delaware counsel for the Loan Parties, in each case in form and substance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Administrative Agent shall have received a certificate of each Loan Party, dated the Amendment No. 3 Effective Date, in form and substance reasonably satisfactory to the Administrative Agent, executed by any Responsible Officer of such Loan Party and including or attaching the documents or certifications, as applicable, referred to in paragraph (d) of this Section below.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Administrative Agent prior to the Amendment No. 3 Effective Date pursuant to the Loan Documents remain in full force and effect on the Amendment No. 3 Effective Date without modification or amendment since such original delivery, (ii) as to each Loan Party, either (x) signature and incumbency certificates of the Responsible Officers of such Loan Party executing the Loan Documents to which it is a party or (y) written certification by such Loan Partys secretary, assistant secretary or other Responsible Officer that such Loan Partys signature and incumbency certificates most recently delivered to the Administrative Agent prior to the Amendment No. 3 Effective Date pursuant to the Loan Documents remain true and correct as of the Amendment No. 3 Effective Date, (iii) copies of resolutions of the board of directors and/or similar governing bodies of each Loan Party approving and authorizing the execution, delivery and performance of this Amendment, certified as of the Amendment No. 3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 </w:t>
      </w:r>
    </w:p>
    <w:p>
      <w:pPr>
        <w:pStyle w:val="TextBody"/>
        <w:bidi w:val="0"/>
        <w:spacing w:before="120" w:after="0"/>
        <w:jc w:val="left"/>
        <w:rPr>
          <w:rFonts w:ascii="Times New Roman" w:hAnsi="Times New Roman"/>
          <w:sz w:val="20"/>
        </w:rPr>
      </w:pPr>
      <w:r>
        <w:rPr>
          <w:rFonts w:ascii="Times New Roman" w:hAnsi="Times New Roman"/>
          <w:sz w:val="20"/>
        </w:rPr>
        <w:t xml:space="preserve">(e) The Administrative Agent shall have received a certificate from the chief financial officer of the Borrower certifying as to the solvency of the Borrower and its Subsidiaries on a consolidated basis after giving effect to the Amendment No. 3 Transactions, substantially in the form of </w:t>
      </w:r>
      <w:r>
        <w:rPr>
          <w:rFonts w:ascii="Times New Roman" w:hAnsi="Times New Roman"/>
          <w:sz w:val="20"/>
          <w:u w:val="single"/>
        </w:rPr>
        <w:t>Exhibit P</w:t>
      </w:r>
      <w:r>
        <w:rPr>
          <w:rFonts w:ascii="Times New Roman" w:hAnsi="Times New Roman"/>
          <w:sz w:val="20"/>
        </w:rPr>
        <w:t xml:space="preserve">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Administrative Agent shall have received for the account of the Revolving Lenders all fees required to be paid by the Borrower as may be agreed in writing. </w:t>
      </w:r>
    </w:p>
    <w:p>
      <w:pPr>
        <w:pStyle w:val="TextBody"/>
        <w:bidi w:val="0"/>
        <w:spacing w:before="120" w:after="0"/>
        <w:jc w:val="left"/>
        <w:rPr>
          <w:rFonts w:ascii="Times New Roman" w:hAnsi="Times New Roman"/>
          <w:sz w:val="20"/>
        </w:rPr>
      </w:pPr>
      <w:r>
        <w:rPr>
          <w:rFonts w:ascii="Times New Roman" w:hAnsi="Times New Roman"/>
          <w:sz w:val="20"/>
        </w:rPr>
        <w:t xml:space="preserve">(g) The Borrower shall have paid, to the extent invoiced at least three Business Days prior to the Amendment No. 3 Effective Date, all reasonable and documented out-of-pocket expenses (including reasonable and documented fees, charges and disbursements of counsel (subject to Section 9 below)) required to be reimbursed or paid on or prior to the Amendment No. 3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(h) Each of the representations set forth in Section 7 of this Amendment shall be true and correct.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Administrative Agent shall have received, at least three Business Days prior to the Amendment No. 3 Effective Date, all documentation and other information about the Borrower and the other Loan Parties as shall have been reasonably requested in writing at least ten Business Days prior to the Amendment No. 3 Effective Date by the Administrative Agent that they shall have reasonably determined is required by regulatory authorities under applicable know your customer and anti-money laundering rules and regulations, including without limitation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Holdings, the Borrower, the Lenders and the Issuing Banks of the Amendment No. 3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b/>
          <w:i/>
          <w:sz w:val="20"/>
        </w:rPr>
        <w:t>Representations and Warranties</w:t>
      </w:r>
      <w:r>
        <w:rPr>
          <w:rFonts w:ascii="Times New Roman" w:hAnsi="Times New Roman"/>
          <w:sz w:val="20"/>
        </w:rPr>
        <w:t xml:space="preserve">. The Borrower hereby represents and warrants that after giving effect to this Amendment, (i) no Event of Default has occurred and is continuing, (ii) the representations and warranties of each Loan Party set forth in the First Lien Loan Documents are true and correct in all material respects on and as of the Amendment No. 3 Effective Date; provided that, in each case, to the extent that such representations and warranties specifically refer to an earlier date, they are true and correct in all material respects as of such earlier date; </w:t>
      </w:r>
      <w:r>
        <w:rPr>
          <w:rFonts w:ascii="Times New Roman" w:hAnsi="Times New Roman"/>
          <w:sz w:val="20"/>
          <w:u w:val="single"/>
        </w:rPr>
        <w:t>provided</w:t>
      </w:r>
      <w:r>
        <w:rPr>
          <w:rFonts w:ascii="Times New Roman" w:hAnsi="Times New Roman"/>
          <w:sz w:val="20"/>
        </w:rPr>
        <w:t xml:space="preserve"> further that, in each case, any representation and warranty that is qualified as to materiality, Material Adverse Effect or similar language is true and correct in all respects on the Amendment No. 3 Effective Date or on such earlier date, as the case may be and (iii) the Borrower is in Pro Forma Compliance with the Financial Performance Covenant for the Test Period then last ended.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b/>
          <w:i/>
          <w:sz w:val="20"/>
        </w:rPr>
        <w:t>Reaffirmation of Guarantees and Security Interests</w:t>
      </w:r>
      <w:r>
        <w:rPr>
          <w:rFonts w:ascii="Times New Roman" w:hAnsi="Times New Roman"/>
          <w:sz w:val="20"/>
        </w:rPr>
        <w:t xml:space="preserve">. Each Loan Party hereby acknowledges its receipt of a copy of this Amendment and its review of the terms and conditions hereof and consents to the terms and conditions of this Amendment and the transactions contemplated hereby, including any extension of credit under the Refinancing Revolving Commitments. Each Loan Party hereby (a) affirms and confirms its guarantees, pledges, grants and other undertakings under the Credit Agreement and the other Loan Documents to which it is a party, (b) agrees that (i) each Loan Document to which it is a party shall continue to be in full force and effect and (ii) all guarantees, pledges, grants and other undertakings thereunder shall continue to be in full force and effect and shall accrue to the benefit of the Secured Parties, including the Refinancing Revolving Lenders, and (c) acknowledges that from and after the date hereof, the Refinancing Revolving Commitments from time to time outstanding shall be deemed to be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b/>
          <w:i/>
          <w:sz w:val="20"/>
        </w:rPr>
        <w:t>Expenses; Indemnity; Damage Waiver</w:t>
      </w:r>
      <w:r>
        <w:rPr>
          <w:rFonts w:ascii="Times New Roman" w:hAnsi="Times New Roman"/>
          <w:sz w:val="20"/>
        </w:rPr>
        <w:t xml:space="preserve">. Sections 9.03(a), (b), (d), (e), (f) and (g) of the Credit Agreement are hereby incorporated, </w:t>
      </w:r>
      <w:r>
        <w:rPr>
          <w:rFonts w:ascii="Times New Roman" w:hAnsi="Times New Roman"/>
          <w:i/>
          <w:sz w:val="20"/>
        </w:rPr>
        <w:t>mutatis mutandis</w:t>
      </w:r>
      <w:r>
        <w:rPr>
          <w:rFonts w:ascii="Times New Roman" w:hAnsi="Times New Roman"/>
          <w:sz w:val="20"/>
        </w:rPr>
        <w:t xml:space="preserve">, by reference as if such Sections were set forth in full herein; provided that, notwithstanding anything else therein, such expense reimbursement provisions of Section 9.03(a) of the Credit Agreement shall only apply as provided hereinabove if the Amendment No. 3 Effective Date occurs.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b/>
          <w:i/>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Notice</w:t>
      </w:r>
      <w:r>
        <w:rPr>
          <w:rFonts w:ascii="Times New Roman" w:hAnsi="Times New Roman"/>
          <w:sz w:val="20"/>
        </w:rPr>
        <w:t xml:space="preserve">. For purposes of the Credit Agreement, the initial notice address of each Refinancing Revolving Lender shall be as set forth below its signature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Tax Forms</w:t>
      </w:r>
      <w:r>
        <w:rPr>
          <w:rFonts w:ascii="Times New Roman" w:hAnsi="Times New Roman"/>
          <w:sz w:val="20"/>
        </w:rPr>
        <w:t xml:space="preserve">. Each Refinancing Revolving Lender shall have delivered to the Administrative Agent and the Borrower such forms, certificates or other evidence with respect to United States federal income tax withholding matters as such Refinancing Revolving Lender may be required to deliver to the Administrative Agent and the Borrower pursuant to Section 2.17(f)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Amendment, Modification and Waiver</w:t>
      </w:r>
      <w:r>
        <w:rPr>
          <w:rFonts w:ascii="Times New Roman" w:hAnsi="Times New Roman"/>
          <w:sz w:val="20"/>
        </w:rPr>
        <w:t xml:space="preserve">. This Amendment may not be amended nor may any provision hereof be waived except pursuant to a writing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Entire Agreement</w:t>
      </w:r>
      <w:r>
        <w:rPr>
          <w:rFonts w:ascii="Times New Roman" w:hAnsi="Times New Roman"/>
          <w:b/>
          <w:sz w:val="20"/>
        </w:rPr>
        <w:t xml:space="preserve">. </w:t>
      </w:r>
      <w:r>
        <w:rPr>
          <w:rFonts w:ascii="Times New Roman" w:hAnsi="Times New Roman"/>
          <w:sz w:val="20"/>
        </w:rPr>
        <w:t xml:space="preserve">This Amendment, the Credit Agreement (as amended hereby)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Governing Law</w:t>
      </w:r>
      <w:r>
        <w:rPr>
          <w:rFonts w:ascii="Times New Roman" w:hAnsi="Times New Roman"/>
          <w:sz w:val="20"/>
        </w:rPr>
        <w:t xml:space="preserve">. This Amendment shall be construed in accordance with and governed by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 xml:space="preserve">Jurisdiction. </w:t>
      </w:r>
      <w:r>
        <w:rPr>
          <w:rFonts w:ascii="Times New Roman" w:hAnsi="Times New Roman"/>
          <w:sz w:val="20"/>
        </w:rPr>
        <w:t xml:space="preserve">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Revolving Lender, the Issuing Banks or the Swingline Lender may otherwise have to bring any action or proceeding relating to this Amendment against Holdings or the Borrower or their respective properties in the courts of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Waiver of Objection to Venue and Forum Non Conveniens</w:t>
      </w:r>
      <w:r>
        <w:rPr>
          <w:rFonts w:ascii="Times New Roman" w:hAnsi="Times New Roman"/>
          <w:b/>
          <w:sz w:val="20"/>
        </w:rPr>
        <w:t xml:space="preserve">. </w:t>
      </w:r>
      <w:r>
        <w:rPr>
          <w:rFonts w:ascii="Times New Roman" w:hAnsi="Times New Roman"/>
          <w:sz w:val="20"/>
        </w:rPr>
        <w:t xml:space="preserve">Each party hereto hereby irrevocably and unconditionally waives, to the fullest extent it may legally and effectively do so, any objection that it may now or hereafter have to the laying of venue of any suit, action or proceeding arising out of or relating to this Amendment in any court referred to in Section 10(f) above. Each of the parties hereto hereby irrevocably waives, to the fullest extent permitted by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Consent to Service of Process</w:t>
      </w:r>
      <w:r>
        <w:rPr>
          <w:rFonts w:ascii="Times New Roman" w:hAnsi="Times New Roman"/>
          <w:sz w:val="20"/>
        </w:rPr>
        <w:t xml:space="preserve">. Each party to this Amendment irrevocably consents to service of process in the manner provided for notices in Section 9.01 of the Credit Agreement. Nothing in any Loan Document will affect the right of any party to this Amendment to serve process in any other manner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WAIVER OF JURY TRIAL</w:t>
      </w:r>
      <w:r>
        <w:rPr>
          <w:rFonts w:ascii="Times New Roman" w:hAnsi="Times New Roman"/>
          <w:sz w:val="20"/>
        </w:rPr>
        <w:t xml:space="preserve">. </w:t>
      </w:r>
      <w:r>
        <w:rPr>
          <w:rFonts w:ascii="Times New Roman" w:hAnsi="Times New Roman"/>
          <w:b/>
          <w:sz w:val="20"/>
        </w:rPr>
        <w:t>EACH PARTY HERETO HEREBY WAIVES, TO THE FULLEST EXTENT PERMITTED BY APPLICABLE LAW, ANY RIGHT IT MAY HAVE TO A TRIAL BY JURY IN ANY LEGAL PROCEEDING DIRECTLY OR INDIRECTLY ARISING OUT OF OR RELATING TO THIS AMENDMENT OR THE AMENDMENT NO. 3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i/>
          <w:sz w:val="20"/>
        </w:rPr>
        <w:t>Severability</w:t>
      </w:r>
      <w:r>
        <w:rPr>
          <w:rFonts w:ascii="Times New Roman" w:hAnsi="Times New Roman"/>
          <w:sz w:val="20"/>
        </w:rPr>
        <w:t xml:space="preserve">.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i/>
          <w:sz w:val="20"/>
        </w:rPr>
        <w:t>Counterparts</w:t>
      </w:r>
      <w:r>
        <w:rPr>
          <w:rFonts w:ascii="Times New Roman" w:hAnsi="Times New Roman"/>
          <w:sz w:val="20"/>
        </w:rPr>
        <w:t xml:space="preserve">. This Amendment may be executed in counterparts, each of which shall be deemed to be an original, but all of which shall constitute one and the same agreement. Delivery of an executed counterpart of a signature page of this Amendment by facsimile or electronic transmission shall be as effective as delivery of a manually executed counterpart hereof.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i/>
          <w:sz w:val="20"/>
        </w:rPr>
        <w:t>Headings</w:t>
      </w:r>
      <w:r>
        <w:rPr>
          <w:rFonts w:ascii="Times New Roman" w:hAnsi="Times New Roman"/>
          <w:i/>
          <w:sz w:val="20"/>
        </w:rPr>
        <w:t>.</w:t>
      </w:r>
      <w:r>
        <w:rPr>
          <w:rFonts w:ascii="Times New Roman" w:hAnsi="Times New Roman"/>
          <w:sz w:val="20"/>
        </w:rPr>
        <w:t xml:space="preserve"> The headings of this Amendment are for purposes of reference only and shall not limit or otherwise affect the meaning hereof.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i/>
          <w:sz w:val="20"/>
        </w:rPr>
        <w:t>Continued Effectiveness</w:t>
      </w:r>
      <w:r>
        <w:rPr>
          <w:rFonts w:ascii="Times New Roman" w:hAnsi="Times New Roman"/>
          <w:sz w:val="20"/>
        </w:rPr>
        <w:t xml:space="preserve">. Notwithstanding anything contained herein, the terms of this 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Loan Documents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b/>
          <w:i/>
          <w:sz w:val="20"/>
        </w:rPr>
        <w:t>Electronic Signatures</w:t>
      </w:r>
      <w:r>
        <w:rPr>
          <w:rFonts w:ascii="Times New Roman" w:hAnsi="Times New Roman"/>
          <w:sz w:val="20"/>
        </w:rPr>
        <w:t>. Delivery of an executed counterpart of a signature page of this 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(including the Refinancing Revolving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(including any Refinancing Revolving Lenders),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Refinancing Revolving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b/>
          <w:i/>
          <w:sz w:val="20"/>
        </w:rPr>
        <w:t>Address for 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Amendment No. 3 Effective Date, the address of the First Lien Administrative Agent and Swingline Lender for the purposes of Schedule 9.01 shall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500 Stanton Christiana Rd. </w:t>
      </w:r>
    </w:p>
    <w:p>
      <w:pPr>
        <w:pStyle w:val="TextBody"/>
        <w:bidi w:val="0"/>
        <w:spacing w:before="0" w:after="0"/>
        <w:jc w:val="left"/>
        <w:rPr>
          <w:rFonts w:ascii="Times New Roman" w:hAnsi="Times New Roman"/>
          <w:sz w:val="20"/>
        </w:rPr>
      </w:pPr>
      <w:r>
        <w:rPr>
          <w:rFonts w:ascii="Times New Roman" w:hAnsi="Times New Roman"/>
          <w:sz w:val="20"/>
        </w:rPr>
        <w:t xml:space="preserve">NCC5 / 1st Floor </w:t>
      </w:r>
    </w:p>
    <w:p>
      <w:pPr>
        <w:pStyle w:val="TextBody"/>
        <w:bidi w:val="0"/>
        <w:spacing w:before="0" w:after="0"/>
        <w:jc w:val="left"/>
        <w:rPr>
          <w:rFonts w:ascii="Times New Roman" w:hAnsi="Times New Roman"/>
          <w:sz w:val="20"/>
        </w:rPr>
      </w:pPr>
      <w:r>
        <w:rPr>
          <w:rFonts w:ascii="Times New Roman" w:hAnsi="Times New Roman"/>
          <w:sz w:val="20"/>
        </w:rPr>
        <w:t xml:space="preserve">Newark, DE 19713 </w:t>
      </w:r>
    </w:p>
    <w:p>
      <w:pPr>
        <w:pStyle w:val="TextBody"/>
        <w:bidi w:val="0"/>
        <w:spacing w:before="0" w:after="0"/>
        <w:jc w:val="left"/>
        <w:rPr>
          <w:rFonts w:ascii="Times New Roman" w:hAnsi="Times New Roman"/>
          <w:sz w:val="20"/>
        </w:rPr>
      </w:pPr>
      <w:r>
        <w:rPr>
          <w:rFonts w:ascii="Times New Roman" w:hAnsi="Times New Roman"/>
          <w:sz w:val="20"/>
        </w:rPr>
        <w:t xml:space="preserve">Attention: Loan &amp; Agency Services Group </w:t>
      </w:r>
    </w:p>
    <w:p>
      <w:pPr>
        <w:pStyle w:val="TextBody"/>
        <w:bidi w:val="0"/>
        <w:spacing w:before="0" w:after="0"/>
        <w:jc w:val="left"/>
        <w:rPr>
          <w:rFonts w:ascii="Times New Roman" w:hAnsi="Times New Roman"/>
          <w:sz w:val="20"/>
        </w:rPr>
      </w:pPr>
      <w:r>
        <w:rPr>
          <w:rFonts w:ascii="Times New Roman" w:hAnsi="Times New Roman"/>
          <w:sz w:val="20"/>
        </w:rPr>
        <w:t xml:space="preserve">Email: mitchell.soobryan@chase.com </w:t>
      </w:r>
    </w:p>
    <w:p>
      <w:pPr>
        <w:pStyle w:val="TextBody"/>
        <w:bidi w:val="0"/>
        <w:spacing w:before="120" w:after="0"/>
        <w:jc w:val="left"/>
        <w:rPr>
          <w:rFonts w:ascii="Times New Roman" w:hAnsi="Times New Roman"/>
          <w:sz w:val="20"/>
        </w:rPr>
      </w:pPr>
      <w:r>
        <w:rPr>
          <w:rFonts w:ascii="Times New Roman" w:hAnsi="Times New Roman"/>
          <w:i/>
          <w:sz w:val="20"/>
        </w:rPr>
        <w:t>Agency Withholding Tax Inquiries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agency.tax.reporting@jpmorgan.com </w:t>
      </w:r>
    </w:p>
    <w:p>
      <w:pPr>
        <w:pStyle w:val="TextBody"/>
        <w:bidi w:val="0"/>
        <w:spacing w:before="120" w:after="0"/>
        <w:jc w:val="left"/>
        <w:rPr>
          <w:rFonts w:ascii="Times New Roman" w:hAnsi="Times New Roman"/>
          <w:sz w:val="20"/>
        </w:rPr>
      </w:pPr>
      <w:r>
        <w:rPr>
          <w:rFonts w:ascii="Times New Roman" w:hAnsi="Times New Roman"/>
          <w:i/>
          <w:sz w:val="20"/>
        </w:rPr>
        <w:t>Agency Compliance/Financials/Intralinks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covenant.compliance@jpmchase.com </w:t>
      </w:r>
    </w:p>
    <w:p>
      <w:pPr>
        <w:pStyle w:val="TextBody"/>
        <w:bidi w:val="0"/>
        <w:spacing w:before="120" w:after="0"/>
        <w:jc w:val="left"/>
        <w:rPr>
          <w:rFonts w:ascii="Times New Roman" w:hAnsi="Times New Roman"/>
          <w:sz w:val="20"/>
        </w:rPr>
      </w:pPr>
      <w:r>
        <w:rPr>
          <w:rFonts w:ascii="Times New Roman" w:hAnsi="Times New Roman"/>
          <w:sz w:val="20"/>
        </w:rPr>
        <w:t xml:space="preserve">(b) As of the Amendment No. 3 Effective Date, the address of the Collateral Agent for the purposes of Schedule 9.01 shall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&amp; Co. </w:t>
      </w:r>
    </w:p>
    <w:p>
      <w:pPr>
        <w:pStyle w:val="TextBody"/>
        <w:bidi w:val="0"/>
        <w:spacing w:before="0" w:after="0"/>
        <w:jc w:val="left"/>
        <w:rPr>
          <w:rFonts w:ascii="Times New Roman" w:hAnsi="Times New Roman"/>
          <w:sz w:val="20"/>
        </w:rPr>
      </w:pPr>
      <w:r>
        <w:rPr>
          <w:rFonts w:ascii="Times New Roman" w:hAnsi="Times New Roman"/>
          <w:sz w:val="20"/>
        </w:rPr>
        <w:t xml:space="preserve">CIB DMO WLO </w:t>
      </w:r>
    </w:p>
    <w:p>
      <w:pPr>
        <w:pStyle w:val="TextBody"/>
        <w:bidi w:val="0"/>
        <w:spacing w:before="0" w:after="0"/>
        <w:jc w:val="left"/>
        <w:rPr>
          <w:rFonts w:ascii="Times New Roman" w:hAnsi="Times New Roman"/>
          <w:sz w:val="20"/>
        </w:rPr>
      </w:pPr>
      <w:r>
        <w:rPr>
          <w:rFonts w:ascii="Times New Roman" w:hAnsi="Times New Roman"/>
          <w:sz w:val="20"/>
        </w:rPr>
        <w:t xml:space="preserve">Mail code NY1-C413 </w:t>
      </w:r>
    </w:p>
    <w:p>
      <w:pPr>
        <w:pStyle w:val="TextBody"/>
        <w:bidi w:val="0"/>
        <w:spacing w:before="0" w:after="0"/>
        <w:jc w:val="left"/>
        <w:rPr>
          <w:rFonts w:ascii="Times New Roman" w:hAnsi="Times New Roman"/>
          <w:sz w:val="20"/>
        </w:rPr>
      </w:pPr>
      <w:r>
        <w:rPr>
          <w:rFonts w:ascii="Times New Roman" w:hAnsi="Times New Roman"/>
          <w:sz w:val="20"/>
        </w:rPr>
        <w:t xml:space="preserve">4 CMC, Brooklyn, NY, 11245-0001 </w:t>
      </w:r>
    </w:p>
    <w:p>
      <w:pPr>
        <w:pStyle w:val="TextBody"/>
        <w:bidi w:val="0"/>
        <w:spacing w:before="0" w:after="0"/>
        <w:jc w:val="left"/>
        <w:rPr>
          <w:rFonts w:ascii="Times New Roman" w:hAnsi="Times New Roman"/>
          <w:sz w:val="20"/>
        </w:rPr>
      </w:pPr>
      <w:r>
        <w:rPr>
          <w:rFonts w:ascii="Times New Roman" w:hAnsi="Times New Roman"/>
          <w:sz w:val="20"/>
        </w:rPr>
        <w:t xml:space="preserve">United States </w:t>
      </w:r>
    </w:p>
    <w:p>
      <w:pPr>
        <w:pStyle w:val="TextBody"/>
        <w:bidi w:val="0"/>
        <w:spacing w:before="0" w:after="0"/>
        <w:jc w:val="left"/>
        <w:rPr>
          <w:rFonts w:ascii="Times New Roman" w:hAnsi="Times New Roman"/>
          <w:sz w:val="20"/>
        </w:rPr>
      </w:pPr>
      <w:r>
        <w:rPr>
          <w:rFonts w:ascii="Times New Roman" w:hAnsi="Times New Roman"/>
          <w:sz w:val="20"/>
        </w:rPr>
        <w:t xml:space="preserve">Email: ib.collateral.services@jpmchase.com </w:t>
      </w:r>
    </w:p>
    <w:p>
      <w:pPr>
        <w:pStyle w:val="TextBody"/>
        <w:bidi w:val="0"/>
        <w:spacing w:before="120" w:after="0"/>
        <w:jc w:val="left"/>
        <w:rPr>
          <w:rFonts w:ascii="Times New Roman" w:hAnsi="Times New Roman"/>
          <w:sz w:val="20"/>
        </w:rPr>
      </w:pPr>
      <w:r>
        <w:rPr>
          <w:rFonts w:ascii="Times New Roman" w:hAnsi="Times New Roman"/>
          <w:sz w:val="20"/>
        </w:rPr>
        <w:t xml:space="preserve">(c) As of the Amendment No. 3 Effective Date, the address of JPMorgan Chase Bank, N.A. as an Issuing Bank for the purposes of Schedule 9.01 shall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10420 Highland Manor Dr. 4th Floor </w:t>
      </w:r>
    </w:p>
    <w:p>
      <w:pPr>
        <w:pStyle w:val="TextBody"/>
        <w:bidi w:val="0"/>
        <w:spacing w:before="0" w:after="0"/>
        <w:jc w:val="left"/>
        <w:rPr>
          <w:rFonts w:ascii="Times New Roman" w:hAnsi="Times New Roman"/>
          <w:sz w:val="20"/>
        </w:rPr>
      </w:pPr>
      <w:r>
        <w:rPr>
          <w:rFonts w:ascii="Times New Roman" w:hAnsi="Times New Roman"/>
          <w:sz w:val="20"/>
        </w:rPr>
        <w:t xml:space="preserve">Tampa, FL 33610 </w:t>
      </w:r>
    </w:p>
    <w:p>
      <w:pPr>
        <w:pStyle w:val="TextBody"/>
        <w:bidi w:val="0"/>
        <w:spacing w:before="0" w:after="0"/>
        <w:jc w:val="left"/>
        <w:rPr>
          <w:rFonts w:ascii="Times New Roman" w:hAnsi="Times New Roman"/>
          <w:sz w:val="20"/>
        </w:rPr>
      </w:pPr>
      <w:r>
        <w:rPr>
          <w:rFonts w:ascii="Times New Roman" w:hAnsi="Times New Roman"/>
          <w:sz w:val="20"/>
        </w:rPr>
        <w:t xml:space="preserve">Attention: Standby LC Unit </w:t>
      </w:r>
    </w:p>
    <w:p>
      <w:pPr>
        <w:pStyle w:val="TextBody"/>
        <w:bidi w:val="0"/>
        <w:spacing w:before="0" w:after="0"/>
        <w:jc w:val="left"/>
        <w:rPr>
          <w:rFonts w:ascii="Times New Roman" w:hAnsi="Times New Roman"/>
          <w:sz w:val="20"/>
        </w:rPr>
      </w:pPr>
      <w:r>
        <w:rPr>
          <w:rFonts w:ascii="Times New Roman" w:hAnsi="Times New Roman"/>
          <w:sz w:val="20"/>
        </w:rPr>
        <w:t xml:space="preserve">Tel: 800-364-1969 </w:t>
      </w:r>
    </w:p>
    <w:p>
      <w:pPr>
        <w:pStyle w:val="TextBody"/>
        <w:bidi w:val="0"/>
        <w:spacing w:before="0" w:after="0"/>
        <w:jc w:val="left"/>
        <w:rPr>
          <w:rFonts w:ascii="Times New Roman" w:hAnsi="Times New Roman"/>
          <w:sz w:val="20"/>
        </w:rPr>
      </w:pPr>
      <w:r>
        <w:rPr>
          <w:rFonts w:ascii="Times New Roman" w:hAnsi="Times New Roman"/>
          <w:sz w:val="20"/>
        </w:rPr>
        <w:t xml:space="preserve">Fax: 856-294-5267 </w:t>
      </w:r>
    </w:p>
    <w:p>
      <w:pPr>
        <w:pStyle w:val="TextBody"/>
        <w:bidi w:val="0"/>
        <w:spacing w:before="0" w:after="0"/>
        <w:jc w:val="left"/>
        <w:rPr>
          <w:rFonts w:ascii="Times New Roman" w:hAnsi="Times New Roman"/>
          <w:sz w:val="20"/>
        </w:rPr>
      </w:pPr>
      <w:r>
        <w:rPr>
          <w:rFonts w:ascii="Times New Roman" w:hAnsi="Times New Roman"/>
          <w:sz w:val="20"/>
        </w:rPr>
        <w:t xml:space="preserve">Email: GTS.Client.Services@jpmchase.com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500 Stanton Christiana Rd. </w:t>
      </w:r>
    </w:p>
    <w:p>
      <w:pPr>
        <w:pStyle w:val="TextBody"/>
        <w:bidi w:val="0"/>
        <w:spacing w:before="0" w:after="0"/>
        <w:jc w:val="left"/>
        <w:rPr>
          <w:rFonts w:ascii="Times New Roman" w:hAnsi="Times New Roman"/>
          <w:sz w:val="20"/>
        </w:rPr>
      </w:pPr>
      <w:r>
        <w:rPr>
          <w:rFonts w:ascii="Times New Roman" w:hAnsi="Times New Roman"/>
          <w:sz w:val="20"/>
        </w:rPr>
        <w:t xml:space="preserve">NCC5 / 1st Floor </w:t>
      </w:r>
    </w:p>
    <w:p>
      <w:pPr>
        <w:pStyle w:val="TextBody"/>
        <w:bidi w:val="0"/>
        <w:spacing w:before="0" w:after="0"/>
        <w:jc w:val="left"/>
        <w:rPr>
          <w:rFonts w:ascii="Times New Roman" w:hAnsi="Times New Roman"/>
          <w:sz w:val="20"/>
        </w:rPr>
      </w:pPr>
      <w:r>
        <w:rPr>
          <w:rFonts w:ascii="Times New Roman" w:hAnsi="Times New Roman"/>
          <w:sz w:val="20"/>
        </w:rPr>
        <w:t xml:space="preserve">Newark, DE 19713 </w:t>
      </w:r>
    </w:p>
    <w:p>
      <w:pPr>
        <w:pStyle w:val="TextBody"/>
        <w:bidi w:val="0"/>
        <w:spacing w:before="0" w:after="0"/>
        <w:jc w:val="left"/>
        <w:rPr>
          <w:rFonts w:ascii="Times New Roman" w:hAnsi="Times New Roman"/>
          <w:sz w:val="20"/>
        </w:rPr>
      </w:pPr>
      <w:r>
        <w:rPr>
          <w:rFonts w:ascii="Times New Roman" w:hAnsi="Times New Roman"/>
          <w:sz w:val="20"/>
        </w:rPr>
        <w:t xml:space="preserve">Attention: Loan &amp; Agency Services Group </w:t>
      </w:r>
    </w:p>
    <w:p>
      <w:pPr>
        <w:pStyle w:val="TextBody"/>
        <w:bidi w:val="0"/>
        <w:spacing w:before="0" w:after="0"/>
        <w:jc w:val="left"/>
        <w:rPr>
          <w:rFonts w:ascii="Times New Roman" w:hAnsi="Times New Roman"/>
          <w:sz w:val="20"/>
        </w:rPr>
      </w:pPr>
      <w:r>
        <w:rPr>
          <w:rFonts w:ascii="Times New Roman" w:hAnsi="Times New Roman"/>
          <w:sz w:val="20"/>
        </w:rPr>
        <w:t xml:space="preserve">Email: mitchell.soobryan@chase.com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SOTERA HEALTH HOLDINGS, LLC,</w:t>
            </w:r>
          </w:p>
          <w:p>
            <w:pPr>
              <w:pStyle w:val="TableContents"/>
              <w:bidi w:val="0"/>
              <w:spacing w:before="0" w:after="20"/>
              <w:jc w:val="left"/>
              <w:rPr>
                <w:rFonts w:ascii="Times New Roman" w:hAnsi="Times New Roman"/>
                <w:sz w:val="20"/>
              </w:rPr>
            </w:pPr>
            <w:r>
              <w:rPr>
                <w:rFonts w:ascii="Times New Roman" w:hAnsi="Times New Roman"/>
                <w:sz w:val="20"/>
              </w:rPr>
              <w:t>as Borrower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C. Peterson</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Jason C. Peterson</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SOTERA HEALTH COMPANY,</w:t>
            </w:r>
          </w:p>
          <w:p>
            <w:pPr>
              <w:pStyle w:val="TableContents"/>
              <w:bidi w:val="0"/>
              <w:spacing w:before="0" w:after="20"/>
              <w:jc w:val="left"/>
              <w:rPr>
                <w:rFonts w:ascii="Times New Roman" w:hAnsi="Times New Roman"/>
                <w:sz w:val="20"/>
              </w:rPr>
            </w:pPr>
            <w:r>
              <w:rPr>
                <w:rFonts w:ascii="Times New Roman" w:hAnsi="Times New Roman"/>
                <w:sz w:val="20"/>
              </w:rPr>
              <w:t>as Holdings</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M. Lyons</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Name:  Jonathan M. Lyons</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 and</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31"/>
        <w:gridCol w:w="82"/>
        <w:gridCol w:w="3469"/>
      </w:tblGrid>
      <w:tr>
        <w:trPr/>
        <w:tc>
          <w:tcPr>
            <w:tcW w:w="53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4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With respect only to Section 8 and Section 10:</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SOTERA HEALTH LLC</w:t>
            </w:r>
          </w:p>
        </w:tc>
      </w:tr>
      <w:tr>
        <w:trPr>
          <w:trHeight w:val="240" w:hRule="atLeast"/>
        </w:trPr>
        <w:tc>
          <w:tcPr>
            <w:tcW w:w="531" w:type="dxa"/>
            <w:tcBorders/>
            <w:vAlign w:val="center"/>
          </w:tcPr>
          <w:p>
            <w:pPr>
              <w:pStyle w:val="TableContents"/>
              <w:bidi w:val="0"/>
              <w:spacing w:before="0" w:after="283"/>
              <w:jc w:val="left"/>
              <w:rPr>
                <w:sz w:val="4"/>
                <w:szCs w:val="4"/>
              </w:rPr>
            </w:pPr>
            <w:r>
              <w:rPr>
                <w:sz w:val="4"/>
                <w:szCs w:val="4"/>
              </w:rPr>
            </w:r>
          </w:p>
        </w:tc>
        <w:tc>
          <w:tcPr>
            <w:tcW w:w="3551" w:type="dxa"/>
            <w:gridSpan w:val="2"/>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M. Lyons</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283"/>
              <w:jc w:val="left"/>
              <w:rPr/>
            </w:pPr>
            <w:r>
              <w:rPr/>
              <w:t>Name: Jonathan M. Lyons</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 and</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STERIGENICS U.S., LLC</w:t>
            </w:r>
          </w:p>
        </w:tc>
      </w:tr>
      <w:tr>
        <w:trPr>
          <w:trHeight w:val="240" w:hRule="atLeast"/>
        </w:trPr>
        <w:tc>
          <w:tcPr>
            <w:tcW w:w="531" w:type="dxa"/>
            <w:tcBorders/>
            <w:vAlign w:val="center"/>
          </w:tcPr>
          <w:p>
            <w:pPr>
              <w:pStyle w:val="TableContents"/>
              <w:bidi w:val="0"/>
              <w:spacing w:before="0" w:after="283"/>
              <w:jc w:val="left"/>
              <w:rPr>
                <w:sz w:val="4"/>
                <w:szCs w:val="4"/>
              </w:rPr>
            </w:pPr>
            <w:r>
              <w:rPr>
                <w:sz w:val="4"/>
                <w:szCs w:val="4"/>
              </w:rPr>
            </w:r>
          </w:p>
        </w:tc>
        <w:tc>
          <w:tcPr>
            <w:tcW w:w="3551" w:type="dxa"/>
            <w:gridSpan w:val="2"/>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C. Peterson</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283"/>
              <w:jc w:val="left"/>
              <w:rPr/>
            </w:pPr>
            <w:r>
              <w:rPr/>
              <w:t>Name: Jason C. Peterson</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NELSON LABORATORIES, LLC</w:t>
            </w:r>
          </w:p>
        </w:tc>
      </w:tr>
      <w:tr>
        <w:trPr/>
        <w:tc>
          <w:tcPr>
            <w:tcW w:w="4082" w:type="dxa"/>
            <w:gridSpan w:val="3"/>
            <w:tcBorders/>
          </w:tcPr>
          <w:p>
            <w:pPr>
              <w:pStyle w:val="TableContents"/>
              <w:bidi w:val="0"/>
              <w:spacing w:before="0" w:after="283"/>
              <w:jc w:val="left"/>
              <w:rPr>
                <w:b/>
              </w:rPr>
            </w:pPr>
            <w:r>
              <w:rPr>
                <w:b/>
              </w:rPr>
              <w:t>NELSON LABORATORIES HOLDINGS, LLC</w:t>
            </w:r>
          </w:p>
        </w:tc>
      </w:tr>
      <w:tr>
        <w:trPr/>
        <w:tc>
          <w:tcPr>
            <w:tcW w:w="4082" w:type="dxa"/>
            <w:gridSpan w:val="3"/>
            <w:tcBorders/>
          </w:tcPr>
          <w:p>
            <w:pPr>
              <w:pStyle w:val="TableContents"/>
              <w:bidi w:val="0"/>
              <w:spacing w:before="0" w:after="283"/>
              <w:jc w:val="left"/>
              <w:rPr>
                <w:b/>
              </w:rPr>
            </w:pPr>
            <w:r>
              <w:rPr>
                <w:b/>
              </w:rPr>
              <w:t>NELSON LABORATORIES FAIRFIELD HOLDINGS, LLC</w:t>
            </w:r>
          </w:p>
        </w:tc>
      </w:tr>
      <w:tr>
        <w:trPr/>
        <w:tc>
          <w:tcPr>
            <w:tcW w:w="4082" w:type="dxa"/>
            <w:gridSpan w:val="3"/>
            <w:tcBorders/>
          </w:tcPr>
          <w:p>
            <w:pPr>
              <w:pStyle w:val="TableContents"/>
              <w:bidi w:val="0"/>
              <w:spacing w:before="0" w:after="283"/>
              <w:jc w:val="left"/>
              <w:rPr>
                <w:b/>
              </w:rPr>
            </w:pPr>
            <w:r>
              <w:rPr>
                <w:b/>
              </w:rPr>
              <w:t>NELSON LABORATORIES BOZEMAN, LLC</w:t>
            </w:r>
          </w:p>
        </w:tc>
      </w:tr>
      <w:tr>
        <w:trPr/>
        <w:tc>
          <w:tcPr>
            <w:tcW w:w="4082" w:type="dxa"/>
            <w:gridSpan w:val="3"/>
            <w:tcBorders/>
          </w:tcPr>
          <w:p>
            <w:pPr>
              <w:pStyle w:val="TableContents"/>
              <w:bidi w:val="0"/>
              <w:spacing w:before="0" w:after="283"/>
              <w:jc w:val="left"/>
              <w:rPr>
                <w:b/>
              </w:rPr>
            </w:pPr>
            <w:r>
              <w:rPr>
                <w:b/>
              </w:rPr>
              <w:t>REGULATORY COMPLIANCE ASSOCIATES INC.</w:t>
            </w:r>
          </w:p>
        </w:tc>
      </w:tr>
      <w:tr>
        <w:trPr>
          <w:trHeight w:val="240" w:hRule="atLeast"/>
        </w:trPr>
        <w:tc>
          <w:tcPr>
            <w:tcW w:w="531" w:type="dxa"/>
            <w:tcBorders/>
            <w:vAlign w:val="center"/>
          </w:tcPr>
          <w:p>
            <w:pPr>
              <w:pStyle w:val="TableContents"/>
              <w:bidi w:val="0"/>
              <w:spacing w:before="0" w:after="283"/>
              <w:jc w:val="left"/>
              <w:rPr>
                <w:sz w:val="4"/>
                <w:szCs w:val="4"/>
              </w:rPr>
            </w:pPr>
            <w:r>
              <w:rPr>
                <w:sz w:val="4"/>
                <w:szCs w:val="4"/>
              </w:rPr>
            </w:r>
          </w:p>
        </w:tc>
        <w:tc>
          <w:tcPr>
            <w:tcW w:w="3551" w:type="dxa"/>
            <w:gridSpan w:val="2"/>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A. Shrawder</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283"/>
              <w:jc w:val="left"/>
              <w:rPr/>
            </w:pPr>
            <w:r>
              <w:rPr/>
              <w:t>Name: Joseph A. Shrawder</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SOTERA HEALTH SERVICES, LLC</w:t>
            </w:r>
          </w:p>
        </w:tc>
      </w:tr>
      <w:tr>
        <w:trPr>
          <w:trHeight w:val="240" w:hRule="atLeast"/>
        </w:trPr>
        <w:tc>
          <w:tcPr>
            <w:tcW w:w="531" w:type="dxa"/>
            <w:tcBorders/>
            <w:vAlign w:val="center"/>
          </w:tcPr>
          <w:p>
            <w:pPr>
              <w:pStyle w:val="TableContents"/>
              <w:bidi w:val="0"/>
              <w:spacing w:before="0" w:after="283"/>
              <w:jc w:val="left"/>
              <w:rPr>
                <w:sz w:val="4"/>
                <w:szCs w:val="4"/>
              </w:rPr>
            </w:pPr>
            <w:r>
              <w:rPr>
                <w:sz w:val="4"/>
                <w:szCs w:val="4"/>
              </w:rPr>
            </w:r>
          </w:p>
        </w:tc>
        <w:tc>
          <w:tcPr>
            <w:tcW w:w="3551" w:type="dxa"/>
            <w:gridSpan w:val="2"/>
            <w:tcBorders/>
            <w:vAlign w:val="center"/>
          </w:tcPr>
          <w:p>
            <w:pPr>
              <w:pStyle w:val="TableContents"/>
              <w:bidi w:val="0"/>
              <w:spacing w:before="0" w:after="283"/>
              <w:jc w:val="left"/>
              <w:rPr>
                <w:sz w:val="4"/>
                <w:szCs w:val="4"/>
              </w:rPr>
            </w:pPr>
            <w:r>
              <w:rPr>
                <w:sz w:val="4"/>
                <w:szCs w:val="4"/>
              </w:rPr>
            </w:r>
          </w:p>
        </w:tc>
      </w:tr>
      <w:tr>
        <w:trPr/>
        <w:tc>
          <w:tcPr>
            <w:tcW w:w="53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C. Peterson</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283"/>
              <w:jc w:val="left"/>
              <w:rPr/>
            </w:pPr>
            <w:r>
              <w:rPr/>
              <w:t>Name:  Jason C. Peterson</w:t>
            </w:r>
          </w:p>
        </w:tc>
      </w:tr>
      <w:tr>
        <w:trPr/>
        <w:tc>
          <w:tcPr>
            <w:tcW w:w="53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27"/>
        <w:gridCol w:w="60"/>
        <w:gridCol w:w="3595"/>
      </w:tblGrid>
      <w:tr>
        <w:trPr/>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STERIGENICS RADIATION TECHNOLOGIES HOLDINGS, LLC</w:t>
            </w:r>
          </w:p>
        </w:tc>
      </w:tr>
      <w:tr>
        <w:trPr/>
        <w:tc>
          <w:tcPr>
            <w:tcW w:w="4082" w:type="dxa"/>
            <w:gridSpan w:val="3"/>
            <w:tcBorders/>
          </w:tcPr>
          <w:p>
            <w:pPr>
              <w:pStyle w:val="TableContents"/>
              <w:bidi w:val="0"/>
              <w:spacing w:before="0" w:after="283"/>
              <w:jc w:val="left"/>
              <w:rPr>
                <w:b/>
              </w:rPr>
            </w:pPr>
            <w:r>
              <w:rPr>
                <w:b/>
              </w:rPr>
              <w:t>STERIGENICS RADIATION TECHNOLOGIES, LLC</w:t>
            </w:r>
          </w:p>
        </w:tc>
      </w:tr>
      <w:tr>
        <w:trPr/>
        <w:tc>
          <w:tcPr>
            <w:tcW w:w="4082" w:type="dxa"/>
            <w:gridSpan w:val="3"/>
            <w:tcBorders/>
          </w:tcPr>
          <w:p>
            <w:pPr>
              <w:pStyle w:val="TableContents"/>
              <w:bidi w:val="0"/>
              <w:spacing w:before="0" w:after="283"/>
              <w:jc w:val="left"/>
              <w:rPr>
                <w:b/>
              </w:rPr>
            </w:pPr>
            <w:r>
              <w:rPr>
                <w:b/>
              </w:rPr>
              <w:t>STERIGENICS RADIATION TECHNOLOGIES IN, INC.</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D. Shimkus</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Matthew D. Shimkus</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Vice President, Treasurer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NELSON LABORATORIES FAIRFIELD, INC.</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A. Shrawder</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Joseph A. Shrawder</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JPMORGAN CHASE BANK, N.A.</w:t>
            </w:r>
            <w:r>
              <w:rPr/>
              <w:t>, as Administrative Agent, Swingline Lender, Revolving Lender, Refinancing Revolving Lender and Issuing Bank</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Rupam Agrawal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Rupam Agrawal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Email: [***]</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GOLDMAN SACHS BANK USA</w:t>
            </w:r>
            <w:r>
              <w:rPr/>
              <w:t>, as a Revolving Lender, Refinancing Revolving Lender and Issuing Bank</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Dana Siconolfi</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Name: Dana Siconolfi</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Email: [***]</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4"/>
        <w:gridCol w:w="61"/>
        <w:gridCol w:w="3617"/>
      </w:tblGrid>
      <w:tr>
        <w:trPr/>
        <w:tc>
          <w:tcPr>
            <w:tcW w:w="40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CITIBANK N.A.</w:t>
            </w:r>
            <w:r>
              <w:rPr/>
              <w:t>, as a Revolving Lender, Refinancing Revolving Lender and Issuing Bank</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 Sutton</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Name: Albert Sutton</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Email: [***]</w:t>
            </w:r>
          </w:p>
        </w:tc>
      </w:tr>
      <w:tr>
        <w:trPr/>
        <w:tc>
          <w:tcPr>
            <w:tcW w:w="40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JEFFERIES FINANCE LLC</w:t>
            </w:r>
            <w:r>
              <w:rPr/>
              <w:t>, as a Revolving Lender and Issuing Bank</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JR Young</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JR Young</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ROYAL BANK OF CANADA</w:t>
            </w:r>
            <w:r>
              <w:rPr/>
              <w:t>, as a Revolving Lender, Refinancing Revolving Lender and Issuing Bank</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Young</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Name: Sean Young</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Email: [***]</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BARCLAYS BANK PLC</w:t>
            </w:r>
            <w:r>
              <w:rPr/>
              <w:t>, as a Revolving Lender, Refinancing Revolving Lender and Issuing Bank</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Evan Moriarty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Evan Moriarty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BANCO SANTANDER, S.A., NEW YORK BRANCH</w:t>
            </w:r>
            <w:r>
              <w:rPr/>
              <w:t>, as a Revolving Lender, Refinancing Revolving Lender and Issuing Bank</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Andres Barbosa</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Andres Barbosa</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Address: [***]</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Leonardos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Michael Leonardos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Title: Executive Director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BNP PARIBAS SECURITIES CORP.</w:t>
            </w:r>
            <w:r>
              <w:rPr/>
              <w:t>, as a Revolving Lender and Issuing Bank</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 Arencibia</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Albert Arencibia</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Title: Director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BNP PARIBAS SECURITIES CORP.</w:t>
            </w:r>
            <w:r>
              <w:rPr/>
              <w:t xml:space="preserve">, </w:t>
            </w:r>
            <w:r>
              <w:rPr>
                <w:b/>
              </w:rPr>
              <w:t xml:space="preserve">as a </w:t>
            </w:r>
            <w:r>
              <w:rPr/>
              <w:t>Revolving Lender and Issuing Bank</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OBrien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Michael OBrien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KEYBANK NATIONAL ASSOCIATION.</w:t>
            </w:r>
            <w:r>
              <w:rPr/>
              <w:t>, as a Revolving Lender and Issuing Bank</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Alyssa Suckow</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Alyssa Suckow</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0"/>
        <w:gridCol w:w="61"/>
        <w:gridCol w:w="3631"/>
      </w:tblGrid>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CITIZENS BANK, N.A.</w:t>
            </w:r>
            <w:r>
              <w:rPr/>
              <w:t>, as a Revolving Lender and Issuing Bank</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Sarah Willett</w:t>
            </w:r>
          </w:p>
        </w:tc>
      </w:tr>
      <w:tr>
        <w:trPr/>
        <w:tc>
          <w:tcPr>
            <w:tcW w:w="3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1" w:type="dxa"/>
            <w:tcBorders/>
          </w:tcPr>
          <w:p>
            <w:pPr>
              <w:pStyle w:val="TableContents"/>
              <w:bidi w:val="0"/>
              <w:spacing w:before="0" w:after="283"/>
              <w:jc w:val="left"/>
              <w:rPr/>
            </w:pPr>
            <w:r>
              <w:rPr/>
              <w:t>Name: Sarah Willett</w:t>
            </w:r>
          </w:p>
        </w:tc>
      </w:tr>
      <w:tr>
        <w:trPr/>
        <w:tc>
          <w:tcPr>
            <w:tcW w:w="3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1" w:type="dxa"/>
            <w:tcBorders/>
          </w:tcPr>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r>
        <w:trPr/>
        <w:tc>
          <w:tcPr>
            <w:tcW w:w="3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1" w:type="dxa"/>
            <w:tcBorders/>
          </w:tcPr>
          <w:p>
            <w:pPr>
              <w:pStyle w:val="TableContents"/>
              <w:bidi w:val="0"/>
              <w:spacing w:before="0" w:after="20"/>
              <w:jc w:val="left"/>
              <w:rPr>
                <w:rFonts w:ascii="Times New Roman" w:hAnsi="Times New Roman"/>
                <w:sz w:val="20"/>
              </w:rPr>
            </w:pPr>
            <w:r>
              <w:rPr>
                <w:rFonts w:ascii="Times New Roman" w:hAnsi="Times New Roman"/>
                <w:sz w:val="20"/>
              </w:rPr>
              <w:t>Email: [***]</w:t>
            </w:r>
          </w:p>
        </w:tc>
      </w:tr>
      <w:tr>
        <w:trPr/>
        <w:tc>
          <w:tcPr>
            <w:tcW w:w="39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1" w:type="dxa"/>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As of the Amendment No. 3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34"/>
        <w:gridCol w:w="758"/>
        <w:gridCol w:w="263"/>
        <w:gridCol w:w="2088"/>
        <w:gridCol w:w="62"/>
      </w:tblGrid>
      <w:tr>
        <w:trPr/>
        <w:tc>
          <w:tcPr>
            <w:tcW w:w="7034" w:type="dxa"/>
            <w:tcBorders/>
            <w:vAlign w:val="center"/>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034"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Refinancing Revolving Lender</w:t>
            </w:r>
          </w:p>
        </w:tc>
        <w:tc>
          <w:tcPr>
            <w:tcW w:w="758" w:type="dxa"/>
            <w:tcBorders/>
            <w:vAlign w:val="bottom"/>
          </w:tcPr>
          <w:p>
            <w:pPr>
              <w:pStyle w:val="TableContents"/>
              <w:bidi w:val="0"/>
              <w:spacing w:before="0" w:after="283"/>
              <w:jc w:val="left"/>
              <w:rPr/>
            </w:pPr>
            <w:r>
              <w:rPr/>
              <w:t>  </w:t>
            </w:r>
          </w:p>
        </w:tc>
        <w:tc>
          <w:tcPr>
            <w:tcW w:w="2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Refinancing Revolving</w:t>
              <w:br/>
              <w:t>Commitments</w:t>
            </w:r>
          </w:p>
        </w:tc>
        <w:tc>
          <w:tcPr>
            <w:tcW w:w="62" w:type="dxa"/>
            <w:tcBorders/>
            <w:vAlign w:val="bottom"/>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7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2088" w:type="dxa"/>
            <w:tcBorders/>
            <w:shd w:fill="CCEEFF" w:val="clear"/>
            <w:vAlign w:val="bottom"/>
          </w:tcPr>
          <w:p>
            <w:pPr>
              <w:pStyle w:val="TableContents"/>
              <w:bidi w:val="0"/>
              <w:spacing w:before="0" w:after="283"/>
              <w:jc w:val="right"/>
              <w:rPr/>
            </w:pPr>
            <w:r>
              <w:rPr/>
              <w:t>750,000</w:t>
            </w:r>
          </w:p>
        </w:tc>
        <w:tc>
          <w:tcPr>
            <w:tcW w:w="62" w:type="dxa"/>
            <w:tcBorders/>
            <w:shd w:fill="CCEEFF" w:val="clear"/>
            <w:vAlign w:val="bottom"/>
          </w:tcPr>
          <w:p>
            <w:pPr>
              <w:pStyle w:val="TableContents"/>
              <w:bidi w:val="0"/>
              <w:spacing w:before="0" w:after="283"/>
              <w:jc w:val="left"/>
              <w:rPr/>
            </w:pPr>
            <w:r>
              <w:rPr/>
              <w:t> </w:t>
            </w:r>
          </w:p>
        </w:tc>
      </w:tr>
      <w:tr>
        <w:trPr/>
        <w:tc>
          <w:tcPr>
            <w:tcW w:w="7034"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7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2088" w:type="dxa"/>
            <w:tcBorders/>
            <w:vAlign w:val="bottom"/>
          </w:tcPr>
          <w:p>
            <w:pPr>
              <w:pStyle w:val="TableContents"/>
              <w:bidi w:val="0"/>
              <w:spacing w:before="0" w:after="283"/>
              <w:jc w:val="right"/>
              <w:rPr/>
            </w:pPr>
            <w:r>
              <w:rPr/>
              <w:t>3,500,000</w:t>
            </w:r>
          </w:p>
        </w:tc>
        <w:tc>
          <w:tcPr>
            <w:tcW w:w="62" w:type="dxa"/>
            <w:tcBorders/>
            <w:vAlign w:val="bottom"/>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7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2088" w:type="dxa"/>
            <w:tcBorders/>
            <w:shd w:fill="CCEEFF" w:val="clear"/>
            <w:vAlign w:val="bottom"/>
          </w:tcPr>
          <w:p>
            <w:pPr>
              <w:pStyle w:val="TableContents"/>
              <w:bidi w:val="0"/>
              <w:spacing w:before="0" w:after="283"/>
              <w:jc w:val="right"/>
              <w:rPr/>
            </w:pPr>
            <w:r>
              <w:rPr/>
              <w:t>19,750,000</w:t>
            </w:r>
          </w:p>
        </w:tc>
        <w:tc>
          <w:tcPr>
            <w:tcW w:w="62" w:type="dxa"/>
            <w:tcBorders/>
            <w:shd w:fill="CCEEFF" w:val="clear"/>
            <w:vAlign w:val="bottom"/>
          </w:tcPr>
          <w:p>
            <w:pPr>
              <w:pStyle w:val="TableContents"/>
              <w:bidi w:val="0"/>
              <w:spacing w:before="0" w:after="283"/>
              <w:jc w:val="left"/>
              <w:rPr/>
            </w:pPr>
            <w:r>
              <w:rPr/>
              <w:t> </w:t>
            </w:r>
          </w:p>
        </w:tc>
      </w:tr>
      <w:tr>
        <w:trPr/>
        <w:tc>
          <w:tcPr>
            <w:tcW w:w="7034" w:type="dxa"/>
            <w:tcBorders/>
          </w:tcPr>
          <w:p>
            <w:pPr>
              <w:pStyle w:val="TableContents"/>
              <w:bidi w:val="0"/>
              <w:spacing w:before="0" w:after="0"/>
              <w:jc w:val="left"/>
              <w:rPr>
                <w:rFonts w:ascii="Times New Roman" w:hAnsi="Times New Roman"/>
                <w:sz w:val="20"/>
              </w:rPr>
            </w:pPr>
            <w:r>
              <w:rPr>
                <w:rFonts w:ascii="Times New Roman" w:hAnsi="Times New Roman"/>
                <w:sz w:val="20"/>
              </w:rPr>
              <w:t>Royal Bank of Canada</w:t>
            </w:r>
          </w:p>
        </w:tc>
        <w:tc>
          <w:tcPr>
            <w:tcW w:w="7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2088" w:type="dxa"/>
            <w:tcBorders/>
            <w:vAlign w:val="bottom"/>
          </w:tcPr>
          <w:p>
            <w:pPr>
              <w:pStyle w:val="TableContents"/>
              <w:bidi w:val="0"/>
              <w:spacing w:before="0" w:after="283"/>
              <w:jc w:val="right"/>
              <w:rPr/>
            </w:pPr>
            <w:r>
              <w:rPr/>
              <w:t>10,750,000</w:t>
            </w:r>
          </w:p>
        </w:tc>
        <w:tc>
          <w:tcPr>
            <w:tcW w:w="62" w:type="dxa"/>
            <w:tcBorders/>
            <w:vAlign w:val="bottom"/>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7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2088" w:type="dxa"/>
            <w:tcBorders/>
            <w:shd w:fill="CCEEFF" w:val="clear"/>
            <w:vAlign w:val="bottom"/>
          </w:tcPr>
          <w:p>
            <w:pPr>
              <w:pStyle w:val="TableContents"/>
              <w:bidi w:val="0"/>
              <w:spacing w:before="0" w:after="283"/>
              <w:jc w:val="right"/>
              <w:rPr/>
            </w:pPr>
            <w:r>
              <w:rPr/>
              <w:t>10,750,000</w:t>
            </w:r>
          </w:p>
        </w:tc>
        <w:tc>
          <w:tcPr>
            <w:tcW w:w="62" w:type="dxa"/>
            <w:tcBorders/>
            <w:shd w:fill="CCEEFF" w:val="clear"/>
            <w:vAlign w:val="bottom"/>
          </w:tcPr>
          <w:p>
            <w:pPr>
              <w:pStyle w:val="TableContents"/>
              <w:bidi w:val="0"/>
              <w:spacing w:before="0" w:after="283"/>
              <w:jc w:val="left"/>
              <w:rPr/>
            </w:pPr>
            <w:r>
              <w:rPr/>
              <w:t> </w:t>
            </w:r>
          </w:p>
        </w:tc>
      </w:tr>
      <w:tr>
        <w:trPr/>
        <w:tc>
          <w:tcPr>
            <w:tcW w:w="7034" w:type="dxa"/>
            <w:tcBorders/>
          </w:tcPr>
          <w:p>
            <w:pPr>
              <w:pStyle w:val="TableContents"/>
              <w:bidi w:val="0"/>
              <w:spacing w:before="0" w:after="0"/>
              <w:jc w:val="left"/>
              <w:rPr>
                <w:rFonts w:ascii="Times New Roman" w:hAnsi="Times New Roman"/>
                <w:sz w:val="20"/>
              </w:rPr>
            </w:pPr>
            <w:r>
              <w:rPr>
                <w:rFonts w:ascii="Times New Roman" w:hAnsi="Times New Roman"/>
                <w:sz w:val="20"/>
              </w:rPr>
              <w:t>Banco Santander, S.A., New York Branch</w:t>
            </w:r>
          </w:p>
        </w:tc>
        <w:tc>
          <w:tcPr>
            <w:tcW w:w="7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2088" w:type="dxa"/>
            <w:tcBorders/>
            <w:vAlign w:val="bottom"/>
          </w:tcPr>
          <w:p>
            <w:pPr>
              <w:pStyle w:val="TableContents"/>
              <w:bidi w:val="0"/>
              <w:spacing w:before="0" w:after="283"/>
              <w:jc w:val="right"/>
              <w:rPr/>
            </w:pPr>
            <w:r>
              <w:rPr/>
              <w:t>37,500,000</w:t>
            </w:r>
          </w:p>
        </w:tc>
        <w:tc>
          <w:tcPr>
            <w:tcW w:w="62" w:type="dxa"/>
            <w:tcBorders/>
            <w:vAlign w:val="bottom"/>
          </w:tcPr>
          <w:p>
            <w:pPr>
              <w:pStyle w:val="TableContents"/>
              <w:bidi w:val="0"/>
              <w:spacing w:before="0" w:after="283"/>
              <w:jc w:val="left"/>
              <w:rPr/>
            </w:pPr>
            <w:r>
              <w:rPr/>
              <w:t> </w:t>
            </w:r>
          </w:p>
        </w:tc>
      </w:tr>
      <w:tr>
        <w:trPr/>
        <w:tc>
          <w:tcPr>
            <w:tcW w:w="7034"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208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0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7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b/>
              </w:rPr>
            </w:pPr>
            <w:r>
              <w:rPr>
                <w:b/>
              </w:rPr>
              <w:t>$</w:t>
            </w:r>
          </w:p>
        </w:tc>
        <w:tc>
          <w:tcPr>
            <w:tcW w:w="2088" w:type="dxa"/>
            <w:tcBorders/>
            <w:shd w:fill="CCEEFF" w:val="clear"/>
            <w:vAlign w:val="bottom"/>
          </w:tcPr>
          <w:p>
            <w:pPr>
              <w:pStyle w:val="TableContents"/>
              <w:bidi w:val="0"/>
              <w:spacing w:before="0" w:after="283"/>
              <w:jc w:val="right"/>
              <w:rPr>
                <w:b/>
              </w:rPr>
            </w:pPr>
            <w:r>
              <w:rPr>
                <w:b/>
              </w:rPr>
              <w:t>83,000,000</w:t>
            </w:r>
          </w:p>
        </w:tc>
        <w:tc>
          <w:tcPr>
            <w:tcW w:w="62" w:type="dxa"/>
            <w:tcBorders/>
            <w:shd w:fill="CCEEFF" w:val="clear"/>
            <w:vAlign w:val="bottom"/>
          </w:tcPr>
          <w:p>
            <w:pPr>
              <w:pStyle w:val="TableContents"/>
              <w:bidi w:val="0"/>
              <w:spacing w:before="0" w:after="283"/>
              <w:jc w:val="left"/>
              <w:rPr/>
            </w:pPr>
            <w:r>
              <w:rPr/>
              <w:t> </w:t>
            </w:r>
          </w:p>
        </w:tc>
      </w:tr>
      <w:tr>
        <w:trPr/>
        <w:tc>
          <w:tcPr>
            <w:tcW w:w="7034"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208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Credit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240" w:after="0"/>
        <w:jc w:val="right"/>
        <w:rPr>
          <w:rFonts w:ascii="Times New Roman" w:hAnsi="Times New Roman"/>
          <w:b/>
          <w:i/>
          <w:sz w:val="20"/>
        </w:rPr>
      </w:pPr>
      <w:r>
        <w:rPr>
          <w:rFonts w:ascii="Times New Roman" w:hAnsi="Times New Roman"/>
          <w:b/>
          <w:i/>
          <w:color w:val="0000FF"/>
          <w:sz w:val="20"/>
          <w:u w:val="single"/>
          <w:bdr w:val="double" w:sz="2" w:space="1" w:color="000000"/>
        </w:rPr>
        <w:t>Execution Version</w:t>
      </w:r>
      <w:r>
        <w:rPr>
          <w:rFonts w:ascii="Times New Roman" w:hAnsi="Times New Roman"/>
          <w:b/>
          <w:i/>
          <w:sz w:val="20"/>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December 13, 2019 </w:t>
      </w:r>
    </w:p>
    <w:p>
      <w:pPr>
        <w:pStyle w:val="TextBody"/>
        <w:bidi w:val="0"/>
        <w:spacing w:before="240" w:after="0"/>
        <w:jc w:val="center"/>
        <w:rPr>
          <w:rFonts w:ascii="Times New Roman" w:hAnsi="Times New Roman"/>
          <w:sz w:val="20"/>
        </w:rPr>
      </w:pPr>
      <w:r>
        <w:rPr>
          <w:rFonts w:ascii="Times New Roman" w:hAnsi="Times New Roman"/>
          <w:sz w:val="20"/>
        </w:rPr>
        <w:t>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as further amended by that certain Amendment to First Lien Credit Agreement, dated as of March 24, 2022, as further amended by that certain Incremental Facility Amendment No. 2 dated as of March 21, 2023</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as further amended by that certain Amendment to the First Lien Credit Agreement, dated as of June 22, 2023</w:t>
      </w:r>
      <w:r>
        <w:rPr>
          <w:rFonts w:ascii="Times New Roman" w:hAnsi="Times New Roman"/>
          <w:color w:val="0000FF"/>
          <w:sz w:val="20"/>
          <w:u w:val="single"/>
          <w:bdr w:val="double" w:sz="2" w:space="1" w:color="000000"/>
        </w:rPr>
        <w:t xml:space="preserve">, and as further amended by that certain Amendment No. 3 dated as of March 1, 2024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SOTERA HEALTH COMPANY (f/k/a SOTERA HEALTH TOPCO, INC.), </w:t>
      </w:r>
    </w:p>
    <w:p>
      <w:pPr>
        <w:pStyle w:val="TextBody"/>
        <w:bidi w:val="0"/>
        <w:spacing w:before="0" w:after="0"/>
        <w:jc w:val="center"/>
        <w:rPr>
          <w:rFonts w:ascii="Times New Roman" w:hAnsi="Times New Roman"/>
          <w:sz w:val="20"/>
        </w:rPr>
      </w:pPr>
      <w:r>
        <w:rPr>
          <w:rFonts w:ascii="Times New Roman" w:hAnsi="Times New Roman"/>
          <w:sz w:val="20"/>
        </w:rPr>
        <w:t xml:space="preserve">as Holdings, </w:t>
      </w:r>
    </w:p>
    <w:p>
      <w:pPr>
        <w:pStyle w:val="TextBody"/>
        <w:bidi w:val="0"/>
        <w:spacing w:before="240" w:after="0"/>
        <w:jc w:val="center"/>
        <w:rPr>
          <w:rFonts w:ascii="Times New Roman" w:hAnsi="Times New Roman"/>
          <w:sz w:val="20"/>
        </w:rPr>
      </w:pPr>
      <w:r>
        <w:rPr>
          <w:rFonts w:ascii="Times New Roman" w:hAnsi="Times New Roman"/>
          <w:sz w:val="20"/>
        </w:rPr>
        <w:t xml:space="preserve">SOTERA HEALTH HOLDINGS,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Lenders and Issuing Banks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First Lien Administrative Agent and First Lien Collateral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JEFFERIES FINANCE LLC,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RBC CAPITAL MARKETS1, and </w:t>
      </w:r>
    </w:p>
    <w:p>
      <w:pPr>
        <w:pStyle w:val="TextBody"/>
        <w:bidi w:val="0"/>
        <w:spacing w:before="0" w:after="0"/>
        <w:jc w:val="center"/>
        <w:rPr>
          <w:rFonts w:ascii="Times New Roman" w:hAnsi="Times New Roman"/>
          <w:sz w:val="20"/>
        </w:rPr>
      </w:pPr>
      <w:r>
        <w:rPr>
          <w:rFonts w:ascii="Times New Roman" w:hAnsi="Times New Roman"/>
          <w:sz w:val="20"/>
        </w:rPr>
        <w:t xml:space="preserve">ING CAPITAL LLC </w:t>
      </w:r>
    </w:p>
    <w:p>
      <w:pPr>
        <w:pStyle w:val="TextBody"/>
        <w:bidi w:val="0"/>
        <w:spacing w:before="24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RBC Capital Markets is a marketing name for the capital markets activities of Royal Bank of Canada and its affiliates.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2"/>
        <w:gridCol w:w="111"/>
        <w:gridCol w:w="7376"/>
        <w:gridCol w:w="138"/>
        <w:gridCol w:w="60"/>
        <w:gridCol w:w="755"/>
        <w:gridCol w:w="63"/>
      </w:tblGrid>
      <w:tr>
        <w:trPr/>
        <w:tc>
          <w:tcPr>
            <w:tcW w:w="170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37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0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Defined Terms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Classification of Loans and Borrowings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73</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Terms Generally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73</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Accounting Terms; GAAP</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73</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Effectuation of Transactions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72</w:t>
            </w:r>
            <w:r>
              <w:rPr>
                <w:color w:val="0000FF"/>
                <w:u w:val="single"/>
                <w:bdr w:val="double" w:sz="2" w:space="1" w:color="000000"/>
              </w:rPr>
              <w:t>74</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Limited Condition Transactions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72</w:t>
            </w:r>
            <w:r>
              <w:rPr>
                <w:color w:val="0000FF"/>
                <w:u w:val="single"/>
                <w:bdr w:val="double" w:sz="2" w:space="1" w:color="000000"/>
              </w:rPr>
              <w:t>74</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Certain Determinations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73</w:t>
            </w:r>
            <w:r>
              <w:rPr>
                <w:color w:val="0000FF"/>
                <w:u w:val="single"/>
                <w:bdr w:val="double" w:sz="2" w:space="1" w:color="000000"/>
              </w:rPr>
              <w:t>74</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Additional Alternative Currencies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73</w:t>
            </w:r>
            <w:r>
              <w:rPr>
                <w:color w:val="0000FF"/>
                <w:u w:val="single"/>
                <w:bdr w:val="double" w:sz="2" w:space="1" w:color="000000"/>
              </w:rPr>
              <w:t>75</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Currency Equivalents Generally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74</w:t>
            </w:r>
            <w:r>
              <w:rPr>
                <w:color w:val="0000FF"/>
                <w:u w:val="single"/>
                <w:bdr w:val="double" w:sz="2" w:space="1" w:color="000000"/>
              </w:rPr>
              <w:t>76</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Change in Currency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74</w:t>
            </w:r>
            <w:r>
              <w:rPr>
                <w:color w:val="0000FF"/>
                <w:u w:val="single"/>
                <w:bdr w:val="double" w:sz="2" w:space="1" w:color="000000"/>
              </w:rPr>
              <w:t>76</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Divisions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77</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[Reserved]</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77</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CREDITS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77</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Commitments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77</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Loans and Borrowings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78</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Requests for Borrowings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78</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Swingline Loans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79</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Letters of Credit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78</w:t>
            </w:r>
            <w:r>
              <w:rPr>
                <w:color w:val="0000FF"/>
                <w:u w:val="single"/>
                <w:bdr w:val="double" w:sz="2" w:space="1" w:color="000000"/>
              </w:rPr>
              <w:t>80</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Funding of Borrowings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84</w:t>
            </w:r>
            <w:r>
              <w:rPr>
                <w:color w:val="0000FF"/>
                <w:u w:val="single"/>
                <w:bdr w:val="double" w:sz="2" w:space="1" w:color="000000"/>
              </w:rPr>
              <w:t>86</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Interest Elections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85</w:t>
            </w:r>
            <w:r>
              <w:rPr>
                <w:color w:val="0000FF"/>
                <w:u w:val="single"/>
                <w:bdr w:val="double" w:sz="2" w:space="1" w:color="000000"/>
              </w:rPr>
              <w:t>87</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Termination and Reduction of Commitments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88</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Repayment of Loans; Evidence of Debt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87</w:t>
            </w:r>
            <w:r>
              <w:rPr>
                <w:color w:val="0000FF"/>
                <w:u w:val="single"/>
                <w:bdr w:val="double" w:sz="2" w:space="1" w:color="000000"/>
              </w:rPr>
              <w:t>89</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Amortization of Term Loans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87</w:t>
            </w:r>
            <w:r>
              <w:rPr>
                <w:color w:val="0000FF"/>
                <w:u w:val="single"/>
                <w:bdr w:val="double" w:sz="2" w:space="1" w:color="000000"/>
              </w:rPr>
              <w:t>89</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Prepayment of Loans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91</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Fees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100</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Interest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101</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Alternate Rate of Interest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102</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Increased Costs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102</w:t>
            </w:r>
            <w:r>
              <w:rPr>
                <w:color w:val="0000FF"/>
                <w:u w:val="single"/>
                <w:bdr w:val="double" w:sz="2" w:space="1" w:color="000000"/>
              </w:rPr>
              <w:t>104</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Break Funding Payments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105</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Taxes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105</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Payments Generally; Pro Rata Treatment; Sharing of Setoffs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107</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Mitigation Obligations; Replacement of Lenders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Incremental Credit Extensions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rHeight w:val="120" w:hRule="atLeast"/>
        </w:trPr>
        <w:tc>
          <w:tcPr>
            <w:tcW w:w="1702" w:type="dxa"/>
            <w:tcBorders/>
            <w:vAlign w:val="center"/>
          </w:tcPr>
          <w:p>
            <w:pPr>
              <w:pStyle w:val="TableContents"/>
              <w:bidi w:val="0"/>
              <w:spacing w:before="0" w:after="283"/>
              <w:jc w:val="left"/>
              <w:rPr>
                <w:sz w:val="4"/>
                <w:szCs w:val="4"/>
              </w:rPr>
            </w:pPr>
            <w:r>
              <w:rPr>
                <w:sz w:val="4"/>
                <w:szCs w:val="4"/>
              </w:rPr>
            </w:r>
          </w:p>
        </w:tc>
        <w:tc>
          <w:tcPr>
            <w:tcW w:w="7487"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702" w:type="dxa"/>
            <w:tcBorders/>
          </w:tcPr>
          <w:p>
            <w:pPr>
              <w:pStyle w:val="TableContents"/>
              <w:bidi w:val="0"/>
              <w:spacing w:before="0" w:after="0"/>
              <w:jc w:val="left"/>
              <w:rPr>
                <w:rFonts w:ascii="Times New Roman" w:hAnsi="Times New Roman"/>
                <w:sz w:val="20"/>
              </w:rPr>
            </w:pPr>
            <w:r>
              <w:rPr>
                <w:rFonts w:ascii="Times New Roman" w:hAnsi="Times New Roman"/>
                <w:sz w:val="20"/>
              </w:rPr>
              <w:t>SECTION 2.21F</w:t>
            </w:r>
          </w:p>
        </w:tc>
        <w:tc>
          <w:tcPr>
            <w:tcW w:w="111" w:type="dxa"/>
            <w:tcBorders/>
            <w:vAlign w:val="bottom"/>
          </w:tcPr>
          <w:p>
            <w:pPr>
              <w:pStyle w:val="TableContents"/>
              <w:bidi w:val="0"/>
              <w:spacing w:before="0" w:after="283"/>
              <w:jc w:val="left"/>
              <w:rPr/>
            </w:pPr>
            <w:r>
              <w:rPr/>
              <w:t> </w:t>
            </w:r>
          </w:p>
        </w:tc>
        <w:tc>
          <w:tcPr>
            <w:tcW w:w="7376" w:type="dxa"/>
            <w:tcBorders/>
            <w:vAlign w:val="bottom"/>
          </w:tcPr>
          <w:p>
            <w:pPr>
              <w:pStyle w:val="TableContents"/>
              <w:bidi w:val="0"/>
              <w:spacing w:before="0" w:after="283"/>
              <w:jc w:val="left"/>
              <w:rPr/>
            </w:pPr>
            <w:r>
              <w:rPr/>
              <w:t>Refinancing Amendments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5"/>
        <w:gridCol w:w="112"/>
        <w:gridCol w:w="7502"/>
        <w:gridCol w:w="138"/>
        <w:gridCol w:w="60"/>
        <w:gridCol w:w="755"/>
        <w:gridCol w:w="63"/>
      </w:tblGrid>
      <w:tr>
        <w:trPr/>
        <w:tc>
          <w:tcPr>
            <w:tcW w:w="157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750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Defaulting Lenders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Illegality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114</w:t>
            </w:r>
            <w:r>
              <w:rPr>
                <w:color w:val="0000FF"/>
                <w:u w:val="single"/>
                <w:bdr w:val="double" w:sz="2" w:space="1" w:color="000000"/>
              </w:rPr>
              <w:t>116</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Loan Modification Offers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117</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Organization; Powers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Authorization; Enforceability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Governmental Approvals; No Conflicts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Financial Condition; No Material Adverse Effect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Properties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Litigation and Environmental Matters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Compliance with Laws and Agreements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Investment Company Status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Taxes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117</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ERISA</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Disclosure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Subsidiaries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Intellectual Property; Licenses, Etc.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Solvency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Federal Reserve Regulations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Use of Proceeds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Patriot Act; OFAC and FCPA</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Effective Date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Each Credit Event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124</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AFFIRMATIVE COVENANTS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124</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Financial Statements and Other Information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124</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Notices of Material Events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125</w:t>
            </w:r>
            <w:r>
              <w:rPr>
                <w:color w:val="0000FF"/>
                <w:u w:val="single"/>
                <w:bdr w:val="double" w:sz="2" w:space="1" w:color="000000"/>
              </w:rPr>
              <w:t>127</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Information Regarding Collateral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125</w:t>
            </w:r>
            <w:r>
              <w:rPr>
                <w:color w:val="0000FF"/>
                <w:u w:val="single"/>
                <w:bdr w:val="double" w:sz="2" w:space="1" w:color="000000"/>
              </w:rPr>
              <w:t>127</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Existence; Conduct of Business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125</w:t>
            </w:r>
            <w:r>
              <w:rPr>
                <w:color w:val="0000FF"/>
                <w:u w:val="single"/>
                <w:bdr w:val="double" w:sz="2" w:space="1" w:color="000000"/>
              </w:rPr>
              <w:t>128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Payment of Taxes, etc.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Maintenance of Properties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Insurance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Books and Records; Inspection and Audit Rights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Compliance with Laws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Use of Proceeds and Letters of Credit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5"/>
        <w:gridCol w:w="112"/>
        <w:gridCol w:w="7502"/>
        <w:gridCol w:w="138"/>
        <w:gridCol w:w="60"/>
        <w:gridCol w:w="755"/>
        <w:gridCol w:w="63"/>
      </w:tblGrid>
      <w:tr>
        <w:trPr/>
        <w:tc>
          <w:tcPr>
            <w:tcW w:w="157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750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Additional Subsidiaries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130</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Further Assurances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128</w:t>
            </w:r>
            <w:r>
              <w:rPr>
                <w:color w:val="0000FF"/>
                <w:u w:val="single"/>
                <w:bdr w:val="double" w:sz="2" w:space="1" w:color="000000"/>
              </w:rPr>
              <w:t>130</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Designation of Subsidiaries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128</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Certain Post-Closing Obligations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Maintenance of Rating of Borrower and the Facilities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Lines of Business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NEGATIVE COVENANTS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Indebtedness; Certain Equity Securities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129</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Liens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138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Fundamental Changes; Holdings Covenant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Investments, Loans, Advances, Guarantees and Acquisitions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142</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Asset Sales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145</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[Reserved]</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147</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Restricted Payments; Certain Payments of Indebtedness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147</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Transactions with Affiliates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151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Restrictive Agreements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149</w:t>
            </w:r>
            <w:r>
              <w:rPr>
                <w:color w:val="0000FF"/>
                <w:u w:val="single"/>
                <w:bdr w:val="double" w:sz="2" w:space="1" w:color="000000"/>
              </w:rPr>
              <w:t>151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Amendment of Junior Financing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Financial Performance Covenant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Changes in Fiscal Periods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150</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EVENTS OF DEFAULT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Events of Default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151</w:t>
            </w:r>
            <w:r>
              <w:rPr>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Right to Cure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153</w:t>
            </w:r>
            <w:r>
              <w:rPr>
                <w:color w:val="0000FF"/>
                <w:u w:val="single"/>
                <w:bdr w:val="double" w:sz="2" w:space="1" w:color="000000"/>
              </w:rPr>
              <w:t>156</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Application of Proceeds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154</w:t>
            </w:r>
            <w:r>
              <w:rPr>
                <w:color w:val="0000FF"/>
                <w:u w:val="single"/>
                <w:bdr w:val="double" w:sz="2" w:space="1" w:color="000000"/>
              </w:rPr>
              <w:t>156</w:t>
            </w:r>
          </w:p>
        </w:tc>
        <w:tc>
          <w:tcPr>
            <w:tcW w:w="63" w:type="dxa"/>
            <w:tcBorders/>
            <w:vAlign w:val="bottom"/>
          </w:tcPr>
          <w:p>
            <w:pPr>
              <w:pStyle w:val="TableContents"/>
              <w:bidi w:val="0"/>
              <w:spacing w:before="0" w:after="283"/>
              <w:jc w:val="left"/>
              <w:rPr/>
            </w:pPr>
            <w:r>
              <w:rPr/>
              <w:t> </w:t>
            </w:r>
          </w:p>
        </w:tc>
      </w:tr>
      <w:tr>
        <w:trPr>
          <w:trHeight w:val="120" w:hRule="atLeast"/>
        </w:trPr>
        <w:tc>
          <w:tcPr>
            <w:tcW w:w="9189" w:type="dxa"/>
            <w:gridSpan w:val="3"/>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91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ADMINISTRATIVE AGENT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157</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Appointment and Authority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157</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Rights as a Lender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155</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Exculpatory Provisions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strike/>
                <w:color w:val="FF0000"/>
              </w:rPr>
              <w:t>155</w:t>
            </w:r>
            <w:r>
              <w:rPr>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Reliance by First Lien Administrative Agent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Delegation of Duties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156</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Resignation of First Lien Administrative Agent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Non-Reliance on First Lien Administrative Agent and Other Lenders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160</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No Other Duties, Etc.</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First Lien Administrative Agent May File Proofs of Claim</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No Waiver; Cumulative Remedies; Enforcement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rHeight w:val="120" w:hRule="atLeast"/>
        </w:trPr>
        <w:tc>
          <w:tcPr>
            <w:tcW w:w="1575" w:type="dxa"/>
            <w:tcBorders/>
            <w:vAlign w:val="center"/>
          </w:tcPr>
          <w:p>
            <w:pPr>
              <w:pStyle w:val="TableContents"/>
              <w:bidi w:val="0"/>
              <w:spacing w:before="0" w:after="283"/>
              <w:jc w:val="left"/>
              <w:rPr>
                <w:sz w:val="4"/>
                <w:szCs w:val="4"/>
              </w:rPr>
            </w:pPr>
            <w:r>
              <w:rPr>
                <w:sz w:val="4"/>
                <w:szCs w:val="4"/>
              </w:rPr>
            </w:r>
          </w:p>
        </w:tc>
        <w:tc>
          <w:tcPr>
            <w:tcW w:w="7614" w:type="dxa"/>
            <w:gridSpan w:val="2"/>
            <w:tcBorders/>
            <w:vAlign w:val="center"/>
          </w:tcPr>
          <w:p>
            <w:pPr>
              <w:pStyle w:val="TableContents"/>
              <w:bidi w:val="0"/>
              <w:spacing w:before="0" w:after="283"/>
              <w:jc w:val="left"/>
              <w:rPr>
                <w:sz w:val="4"/>
                <w:szCs w:val="4"/>
              </w:rPr>
            </w:pPr>
            <w:r>
              <w:rPr>
                <w:sz w:val="4"/>
                <w:szCs w:val="4"/>
              </w:rPr>
            </w:r>
          </w:p>
        </w:tc>
        <w:tc>
          <w:tcPr>
            <w:tcW w:w="1016" w:type="dxa"/>
            <w:gridSpan w:val="4"/>
            <w:tcBorders/>
            <w:vAlign w:val="center"/>
          </w:tcPr>
          <w:p>
            <w:pPr>
              <w:pStyle w:val="TableContents"/>
              <w:bidi w:val="0"/>
              <w:spacing w:before="0" w:after="283"/>
              <w:jc w:val="left"/>
              <w:rPr>
                <w:sz w:val="4"/>
                <w:szCs w:val="4"/>
              </w:rPr>
            </w:pPr>
            <w:r>
              <w:rPr>
                <w:sz w:val="4"/>
                <w:szCs w:val="4"/>
              </w:rPr>
            </w:r>
          </w:p>
        </w:tc>
      </w:tr>
      <w:tr>
        <w:trPr/>
        <w:tc>
          <w:tcPr>
            <w:tcW w:w="1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112" w:type="dxa"/>
            <w:tcBorders/>
            <w:vAlign w:val="bottom"/>
          </w:tcPr>
          <w:p>
            <w:pPr>
              <w:pStyle w:val="TableContents"/>
              <w:bidi w:val="0"/>
              <w:spacing w:before="0" w:after="283"/>
              <w:jc w:val="left"/>
              <w:rPr/>
            </w:pPr>
            <w:r>
              <w:rPr/>
              <w:t> </w:t>
            </w:r>
          </w:p>
        </w:tc>
        <w:tc>
          <w:tcPr>
            <w:tcW w:w="7502" w:type="dxa"/>
            <w:tcBorders/>
            <w:vAlign w:val="bottom"/>
          </w:tcPr>
          <w:p>
            <w:pPr>
              <w:pStyle w:val="TableContents"/>
              <w:bidi w:val="0"/>
              <w:spacing w:before="0" w:after="283"/>
              <w:jc w:val="left"/>
              <w:rPr/>
            </w:pPr>
            <w:r>
              <w:rPr/>
              <w:t>Certain ERISA Matters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7"/>
        <w:gridCol w:w="110"/>
        <w:gridCol w:w="7528"/>
        <w:gridCol w:w="137"/>
        <w:gridCol w:w="60"/>
        <w:gridCol w:w="749"/>
        <w:gridCol w:w="64"/>
      </w:tblGrid>
      <w:tr>
        <w:trPr/>
        <w:tc>
          <w:tcPr>
            <w:tcW w:w="155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528"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5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09"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195" w:type="dxa"/>
            <w:gridSpan w:val="3"/>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919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160</w:t>
            </w:r>
            <w:r>
              <w:rPr>
                <w:color w:val="0000FF"/>
                <w:u w:val="single"/>
                <w:bdr w:val="double" w:sz="2" w:space="1" w:color="000000"/>
              </w:rPr>
              <w:t>163</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Notices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160</w:t>
            </w:r>
            <w:r>
              <w:rPr>
                <w:color w:val="0000FF"/>
                <w:u w:val="single"/>
                <w:bdr w:val="double" w:sz="2" w:space="1" w:color="000000"/>
              </w:rPr>
              <w:t>163</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Waivers; Amendments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164</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Expenses; Indemnity; Damage Waiver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168</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Successors and Assigns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171</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Survival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174</w:t>
            </w:r>
            <w:r>
              <w:rPr>
                <w:color w:val="0000FF"/>
                <w:u w:val="single"/>
                <w:bdr w:val="double" w:sz="2" w:space="1" w:color="000000"/>
              </w:rPr>
              <w:t>176</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Counterparts; Integration; Effectiveness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174</w:t>
            </w:r>
            <w:r>
              <w:rPr>
                <w:color w:val="0000FF"/>
                <w:u w:val="single"/>
                <w:bdr w:val="double" w:sz="2" w:space="1" w:color="000000"/>
              </w:rPr>
              <w:t>177</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Severability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174</w:t>
            </w:r>
            <w:r>
              <w:rPr>
                <w:color w:val="0000FF"/>
                <w:u w:val="single"/>
                <w:bdr w:val="double" w:sz="2" w:space="1" w:color="000000"/>
              </w:rPr>
              <w:t>177</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Right of Setoff</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175</w:t>
            </w:r>
            <w:r>
              <w:rPr>
                <w:color w:val="0000FF"/>
                <w:u w:val="single"/>
                <w:bdr w:val="double" w:sz="2" w:space="1" w:color="000000"/>
              </w:rPr>
              <w:t>177</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Governing Law; Jurisdiction; Consent to Service of Process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175</w:t>
            </w:r>
            <w:r>
              <w:rPr>
                <w:color w:val="0000FF"/>
                <w:u w:val="single"/>
                <w:bdr w:val="double" w:sz="2" w:space="1" w:color="000000"/>
              </w:rPr>
              <w:t>178</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WAIVER OF JURY TRIAL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176</w:t>
            </w:r>
            <w:r>
              <w:rPr>
                <w:color w:val="0000FF"/>
                <w:u w:val="single"/>
                <w:bdr w:val="double" w:sz="2" w:space="1" w:color="000000"/>
              </w:rPr>
              <w:t>178</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Headings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176</w:t>
            </w:r>
            <w:r>
              <w:rPr>
                <w:color w:val="0000FF"/>
                <w:u w:val="single"/>
                <w:bdr w:val="double" w:sz="2" w:space="1" w:color="000000"/>
              </w:rPr>
              <w:t>178</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Confidentiality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176</w:t>
            </w:r>
            <w:r>
              <w:rPr>
                <w:color w:val="0000FF"/>
                <w:u w:val="single"/>
                <w:bdr w:val="double" w:sz="2" w:space="1" w:color="000000"/>
              </w:rPr>
              <w:t>178</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USA PATRIOT Act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177</w:t>
            </w:r>
            <w:r>
              <w:rPr>
                <w:color w:val="0000FF"/>
                <w:u w:val="single"/>
                <w:bdr w:val="double" w:sz="2" w:space="1" w:color="000000"/>
              </w:rPr>
              <w:t>180</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Release of Liens and Guarantees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177</w:t>
            </w:r>
            <w:r>
              <w:rPr>
                <w:color w:val="0000FF"/>
                <w:u w:val="single"/>
                <w:bdr w:val="double" w:sz="2" w:space="1" w:color="000000"/>
              </w:rPr>
              <w:t>180</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No Advisory or Fiduciary Responsibility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178</w:t>
            </w:r>
            <w:r>
              <w:rPr>
                <w:color w:val="0000FF"/>
                <w:u w:val="single"/>
                <w:bdr w:val="double" w:sz="2" w:space="1" w:color="000000"/>
              </w:rPr>
              <w:t>181</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Interest Rate Limitation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179</w:t>
            </w:r>
            <w:r>
              <w:rPr>
                <w:color w:val="0000FF"/>
                <w:u w:val="single"/>
                <w:bdr w:val="double" w:sz="2" w:space="1" w:color="000000"/>
              </w:rPr>
              <w:t>181</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Judgment Currency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179</w:t>
            </w:r>
            <w:r>
              <w:rPr>
                <w:color w:val="0000FF"/>
                <w:u w:val="single"/>
                <w:bdr w:val="double" w:sz="2" w:space="1" w:color="000000"/>
              </w:rPr>
              <w:t>181</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Acknowledgement and Consent to Bail-In of Affected Financial Institutions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179</w:t>
            </w:r>
            <w:r>
              <w:rPr>
                <w:color w:val="0000FF"/>
                <w:u w:val="single"/>
                <w:bdr w:val="double" w:sz="2" w:space="1" w:color="000000"/>
              </w:rPr>
              <w:t>182</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Intercreditor Agreement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180</w:t>
            </w:r>
            <w:r>
              <w:rPr>
                <w:color w:val="0000FF"/>
                <w:u w:val="single"/>
                <w:bdr w:val="double" w:sz="2" w:space="1" w:color="000000"/>
              </w:rPr>
              <w:t>182</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Cashless Settlement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180</w:t>
            </w:r>
            <w:r>
              <w:rPr>
                <w:color w:val="0000FF"/>
                <w:u w:val="single"/>
                <w:bdr w:val="double" w:sz="2" w:space="1" w:color="000000"/>
              </w:rPr>
              <w:t>183</w:t>
            </w:r>
          </w:p>
        </w:tc>
        <w:tc>
          <w:tcPr>
            <w:tcW w:w="64" w:type="dxa"/>
            <w:tcBorders/>
            <w:vAlign w:val="bottom"/>
          </w:tcPr>
          <w:p>
            <w:pPr>
              <w:pStyle w:val="TableContents"/>
              <w:bidi w:val="0"/>
              <w:spacing w:before="0" w:after="283"/>
              <w:jc w:val="left"/>
              <w:rPr/>
            </w:pPr>
            <w:r>
              <w:rPr/>
              <w:t> </w:t>
            </w:r>
          </w:p>
        </w:tc>
      </w:tr>
      <w:tr>
        <w:trPr>
          <w:trHeight w:val="120" w:hRule="atLeast"/>
        </w:trPr>
        <w:tc>
          <w:tcPr>
            <w:tcW w:w="1557" w:type="dxa"/>
            <w:tcBorders/>
            <w:vAlign w:val="center"/>
          </w:tcPr>
          <w:p>
            <w:pPr>
              <w:pStyle w:val="TableContents"/>
              <w:bidi w:val="0"/>
              <w:spacing w:before="0" w:after="283"/>
              <w:jc w:val="left"/>
              <w:rPr>
                <w:sz w:val="4"/>
                <w:szCs w:val="4"/>
              </w:rPr>
            </w:pPr>
            <w:r>
              <w:rPr>
                <w:sz w:val="4"/>
                <w:szCs w:val="4"/>
              </w:rPr>
            </w:r>
          </w:p>
        </w:tc>
        <w:tc>
          <w:tcPr>
            <w:tcW w:w="7638" w:type="dxa"/>
            <w:gridSpan w:val="2"/>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r>
      <w:tr>
        <w:trPr/>
        <w:tc>
          <w:tcPr>
            <w:tcW w:w="1557"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10" w:type="dxa"/>
            <w:tcBorders/>
            <w:vAlign w:val="bottom"/>
          </w:tcPr>
          <w:p>
            <w:pPr>
              <w:pStyle w:val="TableContents"/>
              <w:bidi w:val="0"/>
              <w:spacing w:before="0" w:after="283"/>
              <w:jc w:val="left"/>
              <w:rPr/>
            </w:pPr>
            <w:r>
              <w:rPr/>
              <w:t> </w:t>
            </w:r>
          </w:p>
        </w:tc>
        <w:tc>
          <w:tcPr>
            <w:tcW w:w="7528" w:type="dxa"/>
            <w:tcBorders/>
            <w:vAlign w:val="bottom"/>
          </w:tcPr>
          <w:p>
            <w:pPr>
              <w:pStyle w:val="TableContents"/>
              <w:bidi w:val="0"/>
              <w:spacing w:before="0" w:after="283"/>
              <w:jc w:val="left"/>
              <w:rPr/>
            </w:pPr>
            <w:r>
              <w:rPr/>
              <w:t>Acknowledgment Regarding Any Supported QFCs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strike/>
                <w:color w:val="FF0000"/>
              </w:rPr>
              <w:t>180</w:t>
            </w:r>
            <w:r>
              <w:rPr>
                <w:color w:val="0000FF"/>
                <w:u w:val="single"/>
                <w:bdr w:val="double" w:sz="2" w:space="1" w:color="000000"/>
              </w:rPr>
              <w:t>183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SCHEDULES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5"/>
        <w:gridCol w:w="121"/>
        <w:gridCol w:w="681"/>
        <w:gridCol w:w="121"/>
        <w:gridCol w:w="7647"/>
      </w:tblGrid>
      <w:tr>
        <w:trPr/>
        <w:tc>
          <w:tcPr>
            <w:tcW w:w="16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47" w:type="dxa"/>
            <w:tcBorders/>
            <w:vAlign w:val="center"/>
          </w:tcPr>
          <w:p>
            <w:pPr>
              <w:pStyle w:val="TableContents"/>
              <w:bidi w:val="0"/>
              <w:spacing w:before="0" w:after="283"/>
              <w:jc w:val="left"/>
              <w:rPr>
                <w:sz w:val="4"/>
                <w:szCs w:val="4"/>
              </w:rPr>
            </w:pPr>
            <w:r>
              <w:rPr>
                <w:sz w:val="4"/>
                <w:szCs w:val="4"/>
              </w:rPr>
            </w:r>
          </w:p>
        </w:tc>
      </w:tr>
      <w:tr>
        <w:trPr/>
        <w:tc>
          <w:tcPr>
            <w:tcW w:w="1635" w:type="dxa"/>
            <w:tcBorders/>
          </w:tcPr>
          <w:p>
            <w:pPr>
              <w:pStyle w:val="TableContents"/>
              <w:bidi w:val="0"/>
              <w:spacing w:before="0" w:after="283"/>
              <w:jc w:val="left"/>
              <w:rPr/>
            </w:pPr>
            <w:r>
              <w:rPr/>
              <w:t>Schedule 1.01</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Excluded Subsidiaries</w:t>
            </w:r>
          </w:p>
        </w:tc>
      </w:tr>
      <w:tr>
        <w:trPr/>
        <w:tc>
          <w:tcPr>
            <w:tcW w:w="1635" w:type="dxa"/>
            <w:tcBorders/>
          </w:tcPr>
          <w:p>
            <w:pPr>
              <w:pStyle w:val="TableContents"/>
              <w:bidi w:val="0"/>
              <w:spacing w:before="0" w:after="283"/>
              <w:jc w:val="left"/>
              <w:rPr/>
            </w:pPr>
            <w:r>
              <w:rPr/>
              <w:t>Schedule 2.01</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Commitments and Loans</w:t>
            </w:r>
          </w:p>
        </w:tc>
      </w:tr>
      <w:tr>
        <w:trPr/>
        <w:tc>
          <w:tcPr>
            <w:tcW w:w="1635" w:type="dxa"/>
            <w:tcBorders/>
          </w:tcPr>
          <w:p>
            <w:pPr>
              <w:pStyle w:val="TableContents"/>
              <w:bidi w:val="0"/>
              <w:spacing w:before="0" w:after="283"/>
              <w:jc w:val="left"/>
              <w:rPr/>
            </w:pPr>
            <w:r>
              <w:rPr/>
              <w:t>Schedule 2.05</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Existing Letters of Credit</w:t>
            </w:r>
          </w:p>
        </w:tc>
      </w:tr>
      <w:tr>
        <w:trPr/>
        <w:tc>
          <w:tcPr>
            <w:tcW w:w="1635" w:type="dxa"/>
            <w:tcBorders/>
          </w:tcPr>
          <w:p>
            <w:pPr>
              <w:pStyle w:val="TableContents"/>
              <w:bidi w:val="0"/>
              <w:spacing w:before="0" w:after="283"/>
              <w:jc w:val="left"/>
              <w:rPr/>
            </w:pPr>
            <w:r>
              <w:rPr/>
              <w:t>Schedule 3.03</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Government Approvals; No Conflicts</w:t>
            </w:r>
          </w:p>
        </w:tc>
      </w:tr>
      <w:tr>
        <w:trPr/>
        <w:tc>
          <w:tcPr>
            <w:tcW w:w="1635" w:type="dxa"/>
            <w:tcBorders/>
          </w:tcPr>
          <w:p>
            <w:pPr>
              <w:pStyle w:val="TableContents"/>
              <w:bidi w:val="0"/>
              <w:spacing w:before="0" w:after="283"/>
              <w:jc w:val="left"/>
              <w:rPr/>
            </w:pPr>
            <w:r>
              <w:rPr/>
              <w:t>Schedule 3.06</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Litigation and Environmental Matters</w:t>
            </w:r>
          </w:p>
        </w:tc>
      </w:tr>
      <w:tr>
        <w:trPr/>
        <w:tc>
          <w:tcPr>
            <w:tcW w:w="1635" w:type="dxa"/>
            <w:tcBorders/>
          </w:tcPr>
          <w:p>
            <w:pPr>
              <w:pStyle w:val="TableContents"/>
              <w:bidi w:val="0"/>
              <w:spacing w:before="0" w:after="283"/>
              <w:jc w:val="left"/>
              <w:rPr/>
            </w:pPr>
            <w:r>
              <w:rPr/>
              <w:t>Schedule 3.12</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Subsidiaries</w:t>
            </w:r>
          </w:p>
        </w:tc>
      </w:tr>
      <w:tr>
        <w:trPr/>
        <w:tc>
          <w:tcPr>
            <w:tcW w:w="1635" w:type="dxa"/>
            <w:tcBorders/>
          </w:tcPr>
          <w:p>
            <w:pPr>
              <w:pStyle w:val="TableContents"/>
              <w:bidi w:val="0"/>
              <w:spacing w:before="0" w:after="283"/>
              <w:jc w:val="left"/>
              <w:rPr/>
            </w:pPr>
            <w:r>
              <w:rPr/>
              <w:t>Schedule 5.14</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Certain Post-Closing Obligations</w:t>
            </w:r>
          </w:p>
        </w:tc>
      </w:tr>
      <w:tr>
        <w:trPr/>
        <w:tc>
          <w:tcPr>
            <w:tcW w:w="1635" w:type="dxa"/>
            <w:tcBorders/>
          </w:tcPr>
          <w:p>
            <w:pPr>
              <w:pStyle w:val="TableContents"/>
              <w:bidi w:val="0"/>
              <w:spacing w:before="0" w:after="283"/>
              <w:jc w:val="left"/>
              <w:rPr/>
            </w:pPr>
            <w:r>
              <w:rPr/>
              <w:t>Schedule 6.01</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Existing Indebtedness</w:t>
            </w:r>
          </w:p>
        </w:tc>
      </w:tr>
      <w:tr>
        <w:trPr/>
        <w:tc>
          <w:tcPr>
            <w:tcW w:w="1635" w:type="dxa"/>
            <w:tcBorders/>
          </w:tcPr>
          <w:p>
            <w:pPr>
              <w:pStyle w:val="TableContents"/>
              <w:bidi w:val="0"/>
              <w:spacing w:before="0" w:after="283"/>
              <w:jc w:val="left"/>
              <w:rPr/>
            </w:pPr>
            <w:r>
              <w:rPr/>
              <w:t>Schedule 6.02</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Existing Liens</w:t>
            </w:r>
          </w:p>
        </w:tc>
      </w:tr>
      <w:tr>
        <w:trPr/>
        <w:tc>
          <w:tcPr>
            <w:tcW w:w="1635" w:type="dxa"/>
            <w:tcBorders/>
          </w:tcPr>
          <w:p>
            <w:pPr>
              <w:pStyle w:val="TableContents"/>
              <w:bidi w:val="0"/>
              <w:spacing w:before="0" w:after="283"/>
              <w:jc w:val="left"/>
              <w:rPr/>
            </w:pPr>
            <w:r>
              <w:rPr/>
              <w:t>Schedule 6.04</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Existing Investments</w:t>
            </w:r>
          </w:p>
        </w:tc>
      </w:tr>
      <w:tr>
        <w:trPr/>
        <w:tc>
          <w:tcPr>
            <w:tcW w:w="1635" w:type="dxa"/>
            <w:tcBorders/>
          </w:tcPr>
          <w:p>
            <w:pPr>
              <w:pStyle w:val="TableContents"/>
              <w:bidi w:val="0"/>
              <w:spacing w:before="0" w:after="283"/>
              <w:jc w:val="left"/>
              <w:rPr/>
            </w:pPr>
            <w:r>
              <w:rPr/>
              <w:t>Schedule 6.08</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Existing Affiliate Transactions</w:t>
            </w:r>
          </w:p>
        </w:tc>
      </w:tr>
      <w:tr>
        <w:trPr/>
        <w:tc>
          <w:tcPr>
            <w:tcW w:w="1635" w:type="dxa"/>
            <w:tcBorders/>
          </w:tcPr>
          <w:p>
            <w:pPr>
              <w:pStyle w:val="TableContents"/>
              <w:bidi w:val="0"/>
              <w:spacing w:before="0" w:after="283"/>
              <w:jc w:val="left"/>
              <w:rPr/>
            </w:pPr>
            <w:r>
              <w:rPr/>
              <w:t>Schedule 6.09</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Existing Restrictions</w:t>
            </w:r>
          </w:p>
        </w:tc>
      </w:tr>
      <w:tr>
        <w:trPr/>
        <w:tc>
          <w:tcPr>
            <w:tcW w:w="1635" w:type="dxa"/>
            <w:tcBorders/>
          </w:tcPr>
          <w:p>
            <w:pPr>
              <w:pStyle w:val="TableContents"/>
              <w:bidi w:val="0"/>
              <w:spacing w:before="0" w:after="283"/>
              <w:jc w:val="left"/>
              <w:rPr/>
            </w:pPr>
            <w:r>
              <w:rPr/>
              <w:t>Schedule 9.01</w:t>
            </w:r>
          </w:p>
        </w:tc>
        <w:tc>
          <w:tcPr>
            <w:tcW w:w="121" w:type="dxa"/>
            <w:tcBorders/>
            <w:vAlign w:val="bottom"/>
          </w:tcPr>
          <w:p>
            <w:pPr>
              <w:pStyle w:val="TableContents"/>
              <w:bidi w:val="0"/>
              <w:spacing w:before="0" w:after="283"/>
              <w:jc w:val="left"/>
              <w:rPr/>
            </w:pPr>
            <w:r>
              <w:rPr/>
              <w:t>  </w:t>
            </w:r>
          </w:p>
        </w:tc>
        <w:tc>
          <w:tcPr>
            <w:tcW w:w="681"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7647" w:type="dxa"/>
            <w:tcBorders/>
          </w:tcPr>
          <w:p>
            <w:pPr>
              <w:pStyle w:val="TableContents"/>
              <w:bidi w:val="0"/>
              <w:spacing w:before="0" w:after="283"/>
              <w:jc w:val="left"/>
              <w:rPr/>
            </w:pPr>
            <w:r>
              <w:rPr/>
              <w:t>Notices</w:t>
            </w:r>
          </w:p>
        </w:tc>
      </w:tr>
    </w:tbl>
    <w:p>
      <w:pPr>
        <w:pStyle w:val="TextBody"/>
        <w:bidi w:val="0"/>
        <w:spacing w:before="24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0"/>
        <w:gridCol w:w="120"/>
        <w:gridCol w:w="687"/>
        <w:gridCol w:w="120"/>
        <w:gridCol w:w="7678"/>
      </w:tblGrid>
      <w:tr>
        <w:trPr/>
        <w:tc>
          <w:tcPr>
            <w:tcW w:w="1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78" w:type="dxa"/>
            <w:tcBorders/>
            <w:vAlign w:val="center"/>
          </w:tcPr>
          <w:p>
            <w:pPr>
              <w:pStyle w:val="TableContents"/>
              <w:bidi w:val="0"/>
              <w:spacing w:before="0" w:after="283"/>
              <w:jc w:val="left"/>
              <w:rPr>
                <w:sz w:val="4"/>
                <w:szCs w:val="4"/>
              </w:rPr>
            </w:pPr>
            <w:r>
              <w:rPr>
                <w:sz w:val="4"/>
                <w:szCs w:val="4"/>
              </w:rPr>
            </w:r>
          </w:p>
        </w:tc>
      </w:tr>
      <w:tr>
        <w:trPr/>
        <w:tc>
          <w:tcPr>
            <w:tcW w:w="1600"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Assignment and Assumption</w:t>
            </w:r>
          </w:p>
        </w:tc>
      </w:tr>
      <w:tr>
        <w:trPr/>
        <w:tc>
          <w:tcPr>
            <w:tcW w:w="1600"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First Lien Guarantee Agreement</w:t>
            </w:r>
          </w:p>
        </w:tc>
      </w:tr>
      <w:tr>
        <w:trPr/>
        <w:tc>
          <w:tcPr>
            <w:tcW w:w="1600"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Perfection Certificate</w:t>
            </w:r>
          </w:p>
        </w:tc>
      </w:tr>
      <w:tr>
        <w:trPr/>
        <w:tc>
          <w:tcPr>
            <w:tcW w:w="1600"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First Lien Collateral Agreement</w:t>
            </w:r>
          </w:p>
        </w:tc>
      </w:tr>
      <w:tr>
        <w:trPr/>
        <w:tc>
          <w:tcPr>
            <w:tcW w:w="1600" w:type="dxa"/>
            <w:tcBorders/>
          </w:tcPr>
          <w:p>
            <w:pPr>
              <w:pStyle w:val="TableContents"/>
              <w:bidi w:val="0"/>
              <w:spacing w:before="0" w:after="283"/>
              <w:jc w:val="left"/>
              <w:rPr/>
            </w:pPr>
            <w:r>
              <w:rPr/>
              <w:t>Exhibit E-1</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First Lien Pari Passu Intercreditor Agreement</w:t>
            </w:r>
          </w:p>
        </w:tc>
      </w:tr>
      <w:tr>
        <w:trPr/>
        <w:tc>
          <w:tcPr>
            <w:tcW w:w="1600" w:type="dxa"/>
            <w:tcBorders/>
          </w:tcPr>
          <w:p>
            <w:pPr>
              <w:pStyle w:val="TableContents"/>
              <w:bidi w:val="0"/>
              <w:spacing w:before="0" w:after="283"/>
              <w:jc w:val="left"/>
              <w:rPr/>
            </w:pPr>
            <w:r>
              <w:rPr/>
              <w:t>Exhibit E-2</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First/Second Lien Intercreditor Agreement</w:t>
            </w:r>
          </w:p>
        </w:tc>
      </w:tr>
      <w:tr>
        <w:trPr/>
        <w:tc>
          <w:tcPr>
            <w:tcW w:w="1600" w:type="dxa"/>
            <w:tcBorders/>
          </w:tcPr>
          <w:p>
            <w:pPr>
              <w:pStyle w:val="TableContents"/>
              <w:bidi w:val="0"/>
              <w:spacing w:before="0" w:after="283"/>
              <w:jc w:val="left"/>
              <w:rPr/>
            </w:pPr>
            <w:r>
              <w:rPr/>
              <w:t>Exhibit E-3</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ABL Intercreditor Agreement</w:t>
            </w:r>
          </w:p>
        </w:tc>
      </w:tr>
      <w:tr>
        <w:trPr/>
        <w:tc>
          <w:tcPr>
            <w:tcW w:w="1600" w:type="dxa"/>
            <w:tcBorders/>
          </w:tcPr>
          <w:p>
            <w:pPr>
              <w:pStyle w:val="TableContents"/>
              <w:bidi w:val="0"/>
              <w:spacing w:before="0" w:after="283"/>
              <w:jc w:val="left"/>
              <w:rPr/>
            </w:pPr>
            <w:r>
              <w:rPr/>
              <w:t>Exhibit F</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Intercompany Note</w:t>
            </w:r>
          </w:p>
        </w:tc>
      </w:tr>
      <w:tr>
        <w:trPr/>
        <w:tc>
          <w:tcPr>
            <w:tcW w:w="1600" w:type="dxa"/>
            <w:tcBorders/>
          </w:tcPr>
          <w:p>
            <w:pPr>
              <w:pStyle w:val="TableContents"/>
              <w:bidi w:val="0"/>
              <w:spacing w:before="0" w:after="283"/>
              <w:jc w:val="left"/>
              <w:rPr/>
            </w:pPr>
            <w:r>
              <w:rPr/>
              <w:t>Exhibit G</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Specified Discount Prepayment Notice</w:t>
            </w:r>
          </w:p>
        </w:tc>
      </w:tr>
      <w:tr>
        <w:trPr/>
        <w:tc>
          <w:tcPr>
            <w:tcW w:w="1600" w:type="dxa"/>
            <w:tcBorders/>
          </w:tcPr>
          <w:p>
            <w:pPr>
              <w:pStyle w:val="TableContents"/>
              <w:bidi w:val="0"/>
              <w:spacing w:before="0" w:after="283"/>
              <w:jc w:val="left"/>
              <w:rPr/>
            </w:pPr>
            <w:r>
              <w:rPr/>
              <w:t>Exhibit H</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Specified Discount Prepayment Response</w:t>
            </w:r>
          </w:p>
        </w:tc>
      </w:tr>
      <w:tr>
        <w:trPr/>
        <w:tc>
          <w:tcPr>
            <w:tcW w:w="1600" w:type="dxa"/>
            <w:tcBorders/>
          </w:tcPr>
          <w:p>
            <w:pPr>
              <w:pStyle w:val="TableContents"/>
              <w:bidi w:val="0"/>
              <w:spacing w:before="0" w:after="283"/>
              <w:jc w:val="left"/>
              <w:rPr/>
            </w:pPr>
            <w:r>
              <w:rPr/>
              <w:t>Exhibit I</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Discount Range Prepayment Notice</w:t>
            </w:r>
          </w:p>
        </w:tc>
      </w:tr>
      <w:tr>
        <w:trPr/>
        <w:tc>
          <w:tcPr>
            <w:tcW w:w="1600" w:type="dxa"/>
            <w:tcBorders/>
          </w:tcPr>
          <w:p>
            <w:pPr>
              <w:pStyle w:val="TableContents"/>
              <w:bidi w:val="0"/>
              <w:spacing w:before="0" w:after="283"/>
              <w:jc w:val="left"/>
              <w:rPr/>
            </w:pPr>
            <w:r>
              <w:rPr/>
              <w:t>Exhibit J</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Discount Range Prepayment Offer</w:t>
            </w:r>
          </w:p>
        </w:tc>
      </w:tr>
      <w:tr>
        <w:trPr/>
        <w:tc>
          <w:tcPr>
            <w:tcW w:w="1600" w:type="dxa"/>
            <w:tcBorders/>
          </w:tcPr>
          <w:p>
            <w:pPr>
              <w:pStyle w:val="TableContents"/>
              <w:bidi w:val="0"/>
              <w:spacing w:before="0" w:after="283"/>
              <w:jc w:val="left"/>
              <w:rPr/>
            </w:pPr>
            <w:r>
              <w:rPr/>
              <w:t>Exhibit K</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Solicited Discounted Prepayment Notice</w:t>
            </w:r>
          </w:p>
        </w:tc>
      </w:tr>
      <w:tr>
        <w:trPr/>
        <w:tc>
          <w:tcPr>
            <w:tcW w:w="1600" w:type="dxa"/>
            <w:tcBorders/>
          </w:tcPr>
          <w:p>
            <w:pPr>
              <w:pStyle w:val="TableContents"/>
              <w:bidi w:val="0"/>
              <w:spacing w:before="0" w:after="283"/>
              <w:jc w:val="left"/>
              <w:rPr/>
            </w:pPr>
            <w:r>
              <w:rPr/>
              <w:t>Exhibit L</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Solicited Discounted Prepayment Offer</w:t>
            </w:r>
          </w:p>
        </w:tc>
      </w:tr>
      <w:tr>
        <w:trPr/>
        <w:tc>
          <w:tcPr>
            <w:tcW w:w="1600" w:type="dxa"/>
            <w:tcBorders/>
          </w:tcPr>
          <w:p>
            <w:pPr>
              <w:pStyle w:val="TableContents"/>
              <w:bidi w:val="0"/>
              <w:spacing w:before="0" w:after="283"/>
              <w:jc w:val="left"/>
              <w:rPr/>
            </w:pPr>
            <w:r>
              <w:rPr/>
              <w:t>Exhibit M</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Acceptance and Prepayment Notice</w:t>
            </w:r>
          </w:p>
        </w:tc>
      </w:tr>
      <w:tr>
        <w:trPr/>
        <w:tc>
          <w:tcPr>
            <w:tcW w:w="1600" w:type="dxa"/>
            <w:tcBorders/>
          </w:tcPr>
          <w:p>
            <w:pPr>
              <w:pStyle w:val="TableContents"/>
              <w:bidi w:val="0"/>
              <w:spacing w:before="0" w:after="283"/>
              <w:jc w:val="left"/>
              <w:rPr/>
            </w:pPr>
            <w:r>
              <w:rPr/>
              <w:t>Exhibit N-1</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United States Tax Compliance Certificate 1</w:t>
            </w:r>
          </w:p>
        </w:tc>
      </w:tr>
      <w:tr>
        <w:trPr/>
        <w:tc>
          <w:tcPr>
            <w:tcW w:w="1600" w:type="dxa"/>
            <w:tcBorders/>
          </w:tcPr>
          <w:p>
            <w:pPr>
              <w:pStyle w:val="TableContents"/>
              <w:bidi w:val="0"/>
              <w:spacing w:before="0" w:after="283"/>
              <w:jc w:val="left"/>
              <w:rPr/>
            </w:pPr>
            <w:r>
              <w:rPr/>
              <w:t>Exhibit N-2</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United States Tax Compliance Certificate 2</w:t>
            </w:r>
          </w:p>
        </w:tc>
      </w:tr>
      <w:tr>
        <w:trPr/>
        <w:tc>
          <w:tcPr>
            <w:tcW w:w="1600" w:type="dxa"/>
            <w:tcBorders/>
          </w:tcPr>
          <w:p>
            <w:pPr>
              <w:pStyle w:val="TableContents"/>
              <w:bidi w:val="0"/>
              <w:spacing w:before="0" w:after="283"/>
              <w:jc w:val="left"/>
              <w:rPr/>
            </w:pPr>
            <w:r>
              <w:rPr/>
              <w:t>Exhibit N-3</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United States Tax Compliance Certificate 3</w:t>
            </w:r>
          </w:p>
        </w:tc>
      </w:tr>
      <w:tr>
        <w:trPr/>
        <w:tc>
          <w:tcPr>
            <w:tcW w:w="1600" w:type="dxa"/>
            <w:tcBorders/>
          </w:tcPr>
          <w:p>
            <w:pPr>
              <w:pStyle w:val="TableContents"/>
              <w:bidi w:val="0"/>
              <w:spacing w:before="0" w:after="283"/>
              <w:jc w:val="left"/>
              <w:rPr/>
            </w:pPr>
            <w:r>
              <w:rPr/>
              <w:t>Exhibit N-4</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United States Tax Compliance Certificate 4</w:t>
            </w:r>
          </w:p>
        </w:tc>
      </w:tr>
      <w:tr>
        <w:trPr/>
        <w:tc>
          <w:tcPr>
            <w:tcW w:w="1600" w:type="dxa"/>
            <w:tcBorders/>
          </w:tcPr>
          <w:p>
            <w:pPr>
              <w:pStyle w:val="TableContents"/>
              <w:bidi w:val="0"/>
              <w:spacing w:before="0" w:after="283"/>
              <w:jc w:val="left"/>
              <w:rPr/>
            </w:pPr>
            <w:r>
              <w:rPr/>
              <w:t>Exhibit O</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Note</w:t>
            </w:r>
          </w:p>
        </w:tc>
      </w:tr>
      <w:tr>
        <w:trPr/>
        <w:tc>
          <w:tcPr>
            <w:tcW w:w="1600" w:type="dxa"/>
            <w:tcBorders/>
          </w:tcPr>
          <w:p>
            <w:pPr>
              <w:pStyle w:val="TableContents"/>
              <w:bidi w:val="0"/>
              <w:spacing w:before="0" w:after="283"/>
              <w:jc w:val="left"/>
              <w:rPr/>
            </w:pPr>
            <w:r>
              <w:rPr/>
              <w:t>Exhibit P</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Solvency Certificate</w:t>
            </w:r>
          </w:p>
        </w:tc>
      </w:tr>
      <w:tr>
        <w:trPr/>
        <w:tc>
          <w:tcPr>
            <w:tcW w:w="1600" w:type="dxa"/>
            <w:tcBorders/>
          </w:tcPr>
          <w:p>
            <w:pPr>
              <w:pStyle w:val="TableContents"/>
              <w:bidi w:val="0"/>
              <w:spacing w:before="0" w:after="283"/>
              <w:jc w:val="left"/>
              <w:rPr/>
            </w:pPr>
            <w:r>
              <w:rPr/>
              <w:t>Exhibit Q</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Notice of Borrowing</w:t>
            </w:r>
          </w:p>
        </w:tc>
      </w:tr>
      <w:tr>
        <w:trPr/>
        <w:tc>
          <w:tcPr>
            <w:tcW w:w="1600" w:type="dxa"/>
            <w:tcBorders/>
          </w:tcPr>
          <w:p>
            <w:pPr>
              <w:pStyle w:val="TableContents"/>
              <w:bidi w:val="0"/>
              <w:spacing w:before="0" w:after="283"/>
              <w:jc w:val="left"/>
              <w:rPr/>
            </w:pPr>
            <w:r>
              <w:rPr/>
              <w:t>Exhibit R</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Letter of Credit Request</w:t>
            </w:r>
          </w:p>
        </w:tc>
      </w:tr>
      <w:tr>
        <w:trPr/>
        <w:tc>
          <w:tcPr>
            <w:tcW w:w="1600" w:type="dxa"/>
            <w:tcBorders/>
          </w:tcPr>
          <w:p>
            <w:pPr>
              <w:pStyle w:val="TableContents"/>
              <w:bidi w:val="0"/>
              <w:spacing w:before="0" w:after="283"/>
              <w:jc w:val="left"/>
              <w:rPr/>
            </w:pPr>
            <w:r>
              <w:rPr/>
              <w:t>Exhibit X</w:t>
            </w:r>
          </w:p>
        </w:tc>
        <w:tc>
          <w:tcPr>
            <w:tcW w:w="120" w:type="dxa"/>
            <w:tcBorders/>
            <w:vAlign w:val="bottom"/>
          </w:tcPr>
          <w:p>
            <w:pPr>
              <w:pStyle w:val="TableContents"/>
              <w:bidi w:val="0"/>
              <w:spacing w:before="0" w:after="283"/>
              <w:jc w:val="left"/>
              <w:rPr/>
            </w:pPr>
            <w:r>
              <w:rPr/>
              <w:t>  </w:t>
            </w:r>
          </w:p>
        </w:tc>
        <w:tc>
          <w:tcPr>
            <w:tcW w:w="68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7678" w:type="dxa"/>
            <w:tcBorders/>
          </w:tcPr>
          <w:p>
            <w:pPr>
              <w:pStyle w:val="TableContents"/>
              <w:bidi w:val="0"/>
              <w:spacing w:before="0" w:after="283"/>
              <w:jc w:val="left"/>
              <w:rPr/>
            </w:pPr>
            <w:r>
              <w:rPr/>
              <w:t>Form of Beneficial Ownership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FIRST LIEN CREDIT AGREEMENT dated as of December 13, 2019 (as amended, restated, supplemented or otherwise modified from time to time, this </w:t>
      </w:r>
      <w:r>
        <w:rPr>
          <w:rFonts w:ascii="Times New Roman" w:hAnsi="Times New Roman"/>
          <w:sz w:val="20"/>
          <w:u w:val="single"/>
        </w:rPr>
        <w:t>Agreement</w:t>
      </w:r>
      <w:r>
        <w:rPr>
          <w:rFonts w:ascii="Times New Roman" w:hAnsi="Times New Roman"/>
          <w:sz w:val="20"/>
        </w:rPr>
        <w:t>) among SOTERA HEALTH TOPCO, INC., a Delaware corporation (the </w:t>
      </w:r>
      <w:r>
        <w:rPr>
          <w:rFonts w:ascii="Times New Roman" w:hAnsi="Times New Roman"/>
          <w:sz w:val="20"/>
          <w:u w:val="single"/>
        </w:rPr>
        <w:t>Initial Holdings</w:t>
      </w:r>
      <w:r>
        <w:rPr>
          <w:rFonts w:ascii="Times New Roman" w:hAnsi="Times New Roman"/>
          <w:sz w:val="20"/>
        </w:rPr>
        <w:t>), SOTERA HEALTH HOLDINGS, LLC (the </w:t>
      </w:r>
      <w:r>
        <w:rPr>
          <w:rFonts w:ascii="Times New Roman" w:hAnsi="Times New Roman"/>
          <w:sz w:val="20"/>
          <w:u w:val="single"/>
        </w:rPr>
        <w:t>Borrower</w:t>
      </w:r>
      <w:r>
        <w:rPr>
          <w:rFonts w:ascii="Times New Roman" w:hAnsi="Times New Roman"/>
          <w:sz w:val="20"/>
        </w:rPr>
        <w:t xml:space="preserve">), a Delaware limited company, the LENDERS and ISSUING BANKS party hereto and JPMORGAN CHASE BANK, N.A., (JPMorgan) (formerly Jefferies Finance LLC) as First Lien Administrative Agent and First Lien Collateral Agent.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PRELIMINARY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requested that the Lenders extend credit to the Borrower in the form of $157,500,000 in Amendment No. 1 Revolving Commitment Increase on the Amendment No. 1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has requested that the Lenders extend credit to the Borrower in the form of $76,250,000 in Amendment No. 2 Revolving Commitment Increase on the Amendment No. 2 Effective Date.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The Borrower has requested that (i) the Refinancing Revolving Lenders (as defined in Amendment No. 3) extend credit to the Borrower in the form of $83,000,000 in Amendment No. 3 Refinancing Revolving Commitments and (ii) the Revolving Lenders, Swingline Lenders and Issuing Banks extend the Revolving Maturity Date, each on the Amendment No. 3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as follows: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the following terms have the meanings specified below: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Credit Agreement</w:t>
      </w:r>
      <w:r>
        <w:rPr>
          <w:rFonts w:ascii="Times New Roman" w:hAnsi="Times New Roman"/>
          <w:sz w:val="20"/>
        </w:rPr>
        <w:t xml:space="preserve">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Facility</w:t>
      </w:r>
      <w:r>
        <w:rPr>
          <w:rFonts w:ascii="Times New Roman" w:hAnsi="Times New Roman"/>
          <w:sz w:val="20"/>
        </w:rPr>
        <w:t xml:space="preserve"> shall mean an asset-based loan facility of the Borrower provided pursuant to the applicable ABL Loan Documents; </w:t>
      </w:r>
      <w:r>
        <w:rPr>
          <w:rFonts w:ascii="Times New Roman" w:hAnsi="Times New Roman"/>
          <w:sz w:val="20"/>
          <w:u w:val="single"/>
        </w:rPr>
        <w:t>provided</w:t>
      </w:r>
      <w:r>
        <w:rPr>
          <w:rFonts w:ascii="Times New Roman" w:hAnsi="Times New Roman"/>
          <w:sz w:val="20"/>
        </w:rPr>
        <w:t xml:space="preserve"> that (i) no security interests shall be granted to secure the ABL Obligations other than (A) a first-priority security interest in the ABL Priority Collateral, subject to (x) a perfected second-priority Lien in such Collateral in favor of the First Lien Collateral Agent and the other Secured Parties to secure the Secured Obligations and (y) a perfected third priority Lien in such Collateral in favor of the Second Lien Trustee and the other Secured Parties (as defined in the Second Lien Indenture) to secure the Second Lien Debt Document Obligations and (B) at the option of the Borrower, a third-priority security interest in any other Collateral (other than ABL Priority Collateral) in which the First Lien Collateral Agent and the other Secured Parties have a perfected first-priority security interest and in which the Second Lien Trustee and the other Secured Parties (as defined in the Second Lien Indenture) has a perfected second-priority security interest, (ii) such facility shall not (x) be guaranteed by any entity that is not a Loan Party or (y) 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(including the Second Lien Trustee)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Intercreditor Agreement</w:t>
      </w:r>
      <w:r>
        <w:rPr>
          <w:rFonts w:ascii="Times New Roman" w:hAnsi="Times New Roman"/>
          <w:sz w:val="20"/>
        </w:rPr>
        <w:t xml:space="preserve"> means the ABL Intercreditor Agreement substantially in the form of Exhibit E-3 among the First Lien Administrative Agent, the ABL Representative and one or more Senior Representatives for holders of Indebtedness not prohibited by this Agreement to be secured by the Collateral (including the Second Lien Trustee), with such modifications thereto as the First Lien Administrative Agent may reasonably agree.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Loan Documents</w:t>
      </w:r>
      <w:r>
        <w:rPr>
          <w:rFonts w:ascii="Times New Roman" w:hAnsi="Times New Roman"/>
          <w:sz w:val="20"/>
        </w:rPr>
        <w:t xml:space="preserve">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Obligations</w:t>
      </w:r>
      <w:r>
        <w:rPr>
          <w:rFonts w:ascii="Times New Roman" w:hAnsi="Times New Roman"/>
          <w:sz w:val="20"/>
        </w:rPr>
        <w:t xml:space="preserve">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Priority Collateral</w:t>
      </w:r>
      <w:r>
        <w:rPr>
          <w:rFonts w:ascii="Times New Roman" w:hAnsi="Times New Roman"/>
          <w:sz w:val="20"/>
        </w:rPr>
        <w:t xml:space="preserve"> means all the ABL Priority Collateral as defined in the ABL Intercreditor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ABL Representative</w:t>
      </w:r>
      <w:r>
        <w:rPr>
          <w:rFonts w:ascii="Times New Roman" w:hAnsi="Times New Roman"/>
          <w:sz w:val="20"/>
        </w:rPr>
        <w:t xml:space="preserve">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bears interest at a rate determined by reference to the (i) Alternate Base Rate (in the case of Loans denominated in Dollars) or (ii) Canadian Base Rate (in the case of Loans denominated in Canadian Dollars).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Acceptable Discount</w:t>
      </w:r>
      <w:r>
        <w:rPr>
          <w:rFonts w:ascii="Times New Roman" w:hAnsi="Times New Roman"/>
          <w:sz w:val="20"/>
        </w:rPr>
        <w:t xml:space="preserve"> has the meaning assigned to such term in Section 2.11(a)(ii)(D)(2).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Acceptable Prepayment Amount</w:t>
      </w:r>
      <w:r>
        <w:rPr>
          <w:rFonts w:ascii="Times New Roman" w:hAnsi="Times New Roman"/>
          <w:sz w:val="20"/>
        </w:rPr>
        <w:t xml:space="preserve"> has the meaning assigned to such term in Section 2.11(a)(ii)(D)(3).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Acceptance and Prepayment Notice</w:t>
      </w:r>
      <w:r>
        <w:rPr>
          <w:rFonts w:ascii="Times New Roman" w:hAnsi="Times New Roman"/>
          <w:sz w:val="20"/>
        </w:rPr>
        <w:t xml:space="preserve"> means an irrevocable written notice from a Term Lender accepting a Solicited Discounted Prepayment Offer to make a Discounted Term Loan Prepayment at the Acceptable Discount specified therein pursuant to Section 2.11(a)(ii)(D) substantially in the form of Exhibit 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Acceptance Date</w:t>
      </w:r>
      <w:r>
        <w:rPr>
          <w:rFonts w:ascii="Times New Roman" w:hAnsi="Times New Roman"/>
          <w:sz w:val="20"/>
        </w:rPr>
        <w:t xml:space="preserve"> has the meaning specified in Section 2.11(a)(ii)(D)(2).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Accepting Lenders</w:t>
      </w:r>
      <w:r>
        <w:rPr>
          <w:rFonts w:ascii="Times New Roman" w:hAnsi="Times New Roman"/>
          <w:sz w:val="20"/>
        </w:rPr>
        <w:t xml:space="preserve"> has the meaning specified in Section 2.24(a).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EBITDA</w:t>
      </w:r>
      <w:r>
        <w:rPr>
          <w:rFonts w:ascii="Times New Roman" w:hAnsi="Times New Roman"/>
          <w:sz w:val="20"/>
        </w:rPr>
        <w:t> means, with respect to any Acquired Entity or Business or any Converted Restricted Subsidiary (any of the foregoing, a </w:t>
      </w:r>
      <w:r>
        <w:rPr>
          <w:rFonts w:ascii="Times New Roman" w:hAnsi="Times New Roman"/>
          <w:sz w:val="20"/>
          <w:u w:val="single"/>
        </w:rPr>
        <w:t>Pro Forma Entity</w:t>
      </w:r>
      <w:r>
        <w:rPr>
          <w:rFonts w:ascii="Times New Roman" w:hAnsi="Times New Roman"/>
          <w:sz w:val="20"/>
        </w:rPr>
        <w:t xml:space="preserve">)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Entity or Business</w:t>
      </w:r>
      <w:r>
        <w:rPr>
          <w:rFonts w:ascii="Times New Roman" w:hAnsi="Times New Roman"/>
          <w:sz w:val="20"/>
        </w:rPr>
        <w:t xml:space="preserve"> has the meaning given such term in the definition of Consolidated EBITDA.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Lender</w:t>
      </w:r>
      <w:r>
        <w:rPr>
          <w:rFonts w:ascii="Times New Roman" w:hAnsi="Times New Roman"/>
          <w:sz w:val="20"/>
        </w:rPr>
        <w:t xml:space="preserve"> means any Additional Revolving Lender or any Additional Term Lender,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Additional/Replacement Revolving Commitment</w:t>
      </w:r>
      <w:r>
        <w:rPr>
          <w:rFonts w:ascii="Times New Roman" w:hAnsi="Times New Roman"/>
          <w:sz w:val="20"/>
        </w:rPr>
        <w:t xml:space="preserve"> has the meaning assigned to such term in Section 2.20(a).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Revolving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Times New Roman" w:hAnsi="Times New Roman"/>
          <w:sz w:val="20"/>
          <w:u w:val="single"/>
        </w:rPr>
        <w:t>provided</w:t>
      </w:r>
      <w:r>
        <w:rPr>
          <w:rFonts w:ascii="Times New Roman" w:hAnsi="Times New Roman"/>
          <w:sz w:val="20"/>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Term Lender</w:t>
      </w:r>
      <w:r>
        <w:rPr>
          <w:rFonts w:ascii="Times New Roman" w:hAnsi="Times New Roman"/>
          <w:sz w:val="20"/>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Times New Roman" w:hAnsi="Times New Roman"/>
          <w:sz w:val="20"/>
          <w:u w:val="single"/>
        </w:rPr>
        <w:t>provided</w:t>
      </w:r>
      <w:r>
        <w:rPr>
          <w:rFonts w:ascii="Times New Roman" w:hAnsi="Times New Roman"/>
          <w:sz w:val="20"/>
        </w:rPr>
        <w:t xml:space="preserve"> 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 </w:t>
      </w:r>
    </w:p>
    <w:p>
      <w:pPr>
        <w:pStyle w:val="TextBody"/>
        <w:bidi w:val="0"/>
        <w:spacing w:before="240" w:after="0"/>
        <w:jc w:val="left"/>
        <w:rPr>
          <w:rFonts w:ascii="Times New Roman" w:hAnsi="Times New Roman"/>
          <w:sz w:val="20"/>
        </w:rPr>
      </w:pPr>
      <w:r>
        <w:rPr>
          <w:rFonts w:ascii="Times New Roman" w:hAnsi="Times New Roman"/>
          <w:strike/>
          <w:color w:val="FF0000"/>
          <w:sz w:val="20"/>
        </w:rPr>
        <w:t></w:t>
      </w:r>
      <w:r>
        <w:rPr>
          <w:rFonts w:ascii="Times New Roman" w:hAnsi="Times New Roman"/>
          <w:strike/>
          <w:color w:val="FF0000"/>
          <w:sz w:val="20"/>
          <w:u w:val="single"/>
        </w:rPr>
        <w:t>Adjusted BA Rate</w:t>
      </w:r>
      <w:r>
        <w:rPr>
          <w:rFonts w:ascii="Times New Roman" w:hAnsi="Times New Roman"/>
          <w:strike/>
          <w:color w:val="FF0000"/>
          <w:sz w:val="20"/>
        </w:rPr>
        <w:t xml:space="preserve"> means, with respect to any Term Benchmark Borrowing denominated in Canadian Dollars for any Interest Period, an interest rate per annum equal to (i) the BA Rate for such Interest Period </w:t>
      </w:r>
      <w:r>
        <w:rPr>
          <w:rFonts w:ascii="Times New Roman" w:hAnsi="Times New Roman"/>
          <w:strike/>
          <w:color w:val="FF0000"/>
          <w:sz w:val="20"/>
          <w:u w:val="single"/>
        </w:rPr>
        <w:t>multiplied</w:t>
      </w:r>
      <w:r>
        <w:rPr>
          <w:rFonts w:ascii="Times New Roman" w:hAnsi="Times New Roman"/>
          <w:strike/>
          <w:color w:val="FF0000"/>
          <w:sz w:val="20"/>
        </w:rPr>
        <w:t xml:space="preserve"> by (ii) the Statutory Reserve Rate; </w:t>
      </w:r>
      <w:r>
        <w:rPr>
          <w:rFonts w:ascii="Times New Roman" w:hAnsi="Times New Roman"/>
          <w:strike/>
          <w:color w:val="FF0000"/>
          <w:sz w:val="20"/>
          <w:u w:val="single"/>
        </w:rPr>
        <w:t>provided</w:t>
      </w:r>
      <w:r>
        <w:rPr>
          <w:rFonts w:ascii="Times New Roman" w:hAnsi="Times New Roman"/>
          <w:strike/>
          <w:color w:val="FF0000"/>
          <w:sz w:val="20"/>
        </w:rPr>
        <w:t xml:space="preserve"> that, with respect to the Term Loans only, the Adjusted BA Rate for any Interest Period shall not be less than 1.00% per annum.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Daily Simple SOFR</w:t>
      </w:r>
      <w:r>
        <w:rPr>
          <w:rFonts w:ascii="Times New Roman" w:hAnsi="Times New Roman"/>
          <w:sz w:val="20"/>
        </w:rPr>
        <w:t xml:space="preserve"> means (i) with respect to the Revolving Loans only, an interest rate per annum equal to (a) the Daily Simple SOFR, plus (b) 0.10% and (ii) with respect the Term Loans only, an interest rate per annum equal to (a) the Daily Simple SOFR, plus (b) 0.11448% (11.448 basis points); </w:t>
      </w:r>
      <w:r>
        <w:rPr>
          <w:rFonts w:ascii="Times New Roman" w:hAnsi="Times New Roman"/>
          <w:sz w:val="20"/>
          <w:u w:val="single"/>
        </w:rPr>
        <w:t>provided</w:t>
      </w:r>
      <w:r>
        <w:rPr>
          <w:rFonts w:ascii="Times New Roman" w:hAnsi="Times New Roman"/>
          <w:sz w:val="20"/>
        </w:rPr>
        <w:t xml:space="preserve"> that for the purposes of (i) and (ii), if Adjusted Daily Simple SOFR as so determined would be less than the Floor, such rate shall be deemed to be equal to the Floor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Daily Simple SONIA</w:t>
      </w:r>
      <w:r>
        <w:rPr>
          <w:rFonts w:ascii="Times New Roman" w:hAnsi="Times New Roman"/>
          <w:sz w:val="20"/>
        </w:rPr>
        <w:t xml:space="preserve"> means, with respect to any SONIA Borrowing, an interest rate per annum equal to (a) Daily Simple SONIA, plus (b) 0.0326%; </w:t>
      </w:r>
      <w:r>
        <w:rPr>
          <w:rFonts w:ascii="Times New Roman" w:hAnsi="Times New Roman"/>
          <w:sz w:val="20"/>
          <w:u w:val="single"/>
        </w:rPr>
        <w:t>provided</w:t>
      </w:r>
      <w:r>
        <w:rPr>
          <w:rFonts w:ascii="Times New Roman" w:hAnsi="Times New Roman"/>
          <w:sz w:val="20"/>
        </w:rPr>
        <w:t xml:space="preserve"> that if the Adjusted Daily Simple SONIA Rate as so determined would be less than zero, such rate shall be deemed to be equal to zero for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EURIBOR</w:t>
      </w:r>
      <w:r>
        <w:rPr>
          <w:rFonts w:ascii="Times New Roman" w:hAnsi="Times New Roman"/>
          <w:sz w:val="20"/>
        </w:rPr>
        <w:t xml:space="preserve"> means, with respect to any Term Benchmark Borrowing denominated in Euros for any Interest Period, an interest rate per annum equal to (a) EURIBOR for such Interest Period multiplied by (b) the Statutory Reserve Rate.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Adjusted Term CORRA Rate means, with respect to the Revolving Loans only, for any Interest Period, an interest rate per annum equal to Term CORRA for such Interest Period,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 xml:space="preserve">(a) 0.29547 for an Interest Period of one-months duration and (b) 0.32138 for an Interest Period of three-months duration; provided that if the Adjusted Term CORRA Rate as so determined would be less than the Floor, such rate shall be deemed to be equal to the Floor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Term SOFR Rate</w:t>
      </w:r>
      <w:r>
        <w:rPr>
          <w:rFonts w:ascii="Times New Roman" w:hAnsi="Times New Roman"/>
          <w:sz w:val="20"/>
        </w:rPr>
        <w:t xml:space="preserve"> means (i) with respect to the Revolving Loans only, for any Interest Period, an interest rate per annum equal to (a) the Term SOFR Rate for such Interest Period, </w:t>
      </w:r>
      <w:r>
        <w:rPr>
          <w:rFonts w:ascii="Times New Roman" w:hAnsi="Times New Roman"/>
          <w:i/>
          <w:sz w:val="20"/>
        </w:rPr>
        <w:t xml:space="preserve">plus </w:t>
      </w:r>
      <w:r>
        <w:rPr>
          <w:rFonts w:ascii="Times New Roman" w:hAnsi="Times New Roman"/>
          <w:sz w:val="20"/>
        </w:rPr>
        <w:t xml:space="preserve">(b) 0.10% (10 basis points) and (ii) with respect to the Term Loans only, (a) 0.11448% (11.448 basis points) for an Interest Period of one-months duration, (b) 0.26161% (26.161 basis points) for an Interest Period of three-months duration, and (c) 0.42826% (42.826 basis points) for an Interest Period of six-months duration; </w:t>
      </w:r>
      <w:r>
        <w:rPr>
          <w:rFonts w:ascii="Times New Roman" w:hAnsi="Times New Roman"/>
          <w:sz w:val="20"/>
          <w:u w:val="single"/>
        </w:rPr>
        <w:t>provided</w:t>
      </w:r>
      <w:r>
        <w:rPr>
          <w:rFonts w:ascii="Times New Roman" w:hAnsi="Times New Roman"/>
          <w:sz w:val="20"/>
        </w:rPr>
        <w:t xml:space="preserve"> that for the purposes of (i) and (ii), if the Adjusted Term SOFR Rate as so determined would be less than the Floor, such rate shall be deemed to be equal to the Floor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First Lien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Class</w:t>
      </w:r>
      <w:r>
        <w:rPr>
          <w:rFonts w:ascii="Times New Roman" w:hAnsi="Times New Roman"/>
          <w:sz w:val="20"/>
        </w:rPr>
        <w:t xml:space="preserve"> has the meaning specified in Section 2.24(a).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Affiliated Debt Fund</w:t>
      </w:r>
      <w:r>
        <w:rPr>
          <w:rFonts w:ascii="Times New Roman" w:hAnsi="Times New Roman"/>
          <w:sz w:val="20"/>
        </w:rPr>
        <w:t xml:space="preserve">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Affiliated Lender</w:t>
      </w:r>
      <w:r>
        <w:rPr>
          <w:rFonts w:ascii="Times New Roman" w:hAnsi="Times New Roman"/>
          <w:sz w:val="20"/>
        </w:rPr>
        <w:t xml:space="preserve">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means the First Lien Administrative Agent, the First Lien Collateral Agent, each Joint Lead Arranger and any successors and assigns of the foregoing in such capacity, and </w:t>
      </w:r>
      <w:r>
        <w:rPr>
          <w:rFonts w:ascii="Times New Roman" w:hAnsi="Times New Roman"/>
          <w:sz w:val="20"/>
          <w:u w:val="single"/>
        </w:rPr>
        <w:t>Agents</w:t>
      </w:r>
      <w:r>
        <w:rPr>
          <w:rFonts w:ascii="Times New Roman" w:hAnsi="Times New Roman"/>
          <w:sz w:val="20"/>
        </w:rPr>
        <w:t xml:space="preserve"> means two or more of them.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Parties</w:t>
      </w:r>
      <w:r>
        <w:rPr>
          <w:rFonts w:ascii="Times New Roman" w:hAnsi="Times New Roman"/>
          <w:sz w:val="20"/>
        </w:rPr>
        <w:t xml:space="preserve"> has the meaning given to such term in Section 9.01(c).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Agreed Currencies</w:t>
      </w:r>
      <w:r>
        <w:rPr>
          <w:rFonts w:ascii="Times New Roman" w:hAnsi="Times New Roman"/>
          <w:sz w:val="20"/>
        </w:rPr>
        <w:t xml:space="preserve"> means Dollars and each Alternative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given to such term in the preliminary statements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 Currency</w:t>
      </w:r>
      <w:r>
        <w:rPr>
          <w:rFonts w:ascii="Times New Roman" w:hAnsi="Times New Roman"/>
          <w:sz w:val="20"/>
        </w:rPr>
        <w:t xml:space="preserve"> has the meaning assigned to such term in Section 9.17.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NYFRB Rate in effect on such day plus 0.50%, (c) the Adjusted Term SOFR Rate for a one month Interest Period as published two U.S. Governmental Securities Business Days prior to such day (or if such day is not a U.S. Governmental Securities Business Day, the immediately preceding U.S. Governmental Securities Business Day) plus 1%; </w:t>
      </w:r>
      <w:r>
        <w:rPr>
          <w:rFonts w:ascii="Times New Roman" w:hAnsi="Times New Roman"/>
          <w:sz w:val="20"/>
          <w:u w:val="single"/>
        </w:rPr>
        <w:t>provided</w:t>
      </w:r>
      <w:r>
        <w:rPr>
          <w:rFonts w:ascii="Times New Roman" w:hAnsi="Times New Roman"/>
          <w:sz w:val="20"/>
        </w:rPr>
        <w:t xml:space="preserve"> that for the purpose of this clause (c)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on the effective date of such change in the Prime Rate, the NYFRB Rate, or the Adjusted Term SOFR Rate, as the case may be. Notwithstanding the foregoing, (i) with respect to the Term Loans only, the Alternate Base Rate will be deemed to be 0.00% per annum if the Alternate Base Rate calculated pursuant to the foregoing provisions would otherwise be less than 0.00% per annum and (ii)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Currency</w:t>
      </w:r>
      <w:r>
        <w:rPr>
          <w:rFonts w:ascii="Times New Roman" w:hAnsi="Times New Roman"/>
          <w:sz w:val="20"/>
        </w:rPr>
        <w:t xml:space="preserve"> means Canadian Dollars, Euros, Sterling and each other currency (other than Dollars) that is requested by the Borrower and approved in accordance with Section 1.08.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Currency Equivalent</w:t>
      </w:r>
      <w:r>
        <w:rPr>
          <w:rFonts w:ascii="Times New Roman" w:hAnsi="Times New Roman"/>
          <w:sz w:val="20"/>
        </w:rPr>
        <w:t xml:space="preserve">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Amendment No. 1</w:t>
      </w:r>
      <w:r>
        <w:rPr>
          <w:rFonts w:ascii="Times New Roman" w:hAnsi="Times New Roman"/>
          <w:sz w:val="20"/>
        </w:rPr>
        <w:t xml:space="preserve"> means Incremental Amendment No. 1 to this Agreement dated as of December 17, 2020.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Amendment No. 1 Effective Date</w:t>
      </w:r>
      <w:r>
        <w:rPr>
          <w:rFonts w:ascii="Times New Roman" w:hAnsi="Times New Roman"/>
          <w:sz w:val="20"/>
        </w:rPr>
        <w:t xml:space="preserve"> means December 17, 2020, the date of effectiveness of Amendment No. 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Amendment No. 1 Revolving Commitment Increase</w:t>
      </w:r>
      <w:r>
        <w:rPr>
          <w:rFonts w:ascii="Times New Roman" w:hAnsi="Times New Roman"/>
          <w:sz w:val="20"/>
        </w:rPr>
        <w:t xml:space="preserve"> means the obligation of each Incremental Amendment Revolving Lender (as defined in Amendment No. 1) to provide Incremental Revolving Commitments to the Borrower on the Amendment No. 1 Effective Date in an aggregate principal amount equal to $157,500,000.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Amendment No. 2</w:t>
      </w:r>
      <w:r>
        <w:rPr>
          <w:rFonts w:ascii="Times New Roman" w:hAnsi="Times New Roman"/>
          <w:sz w:val="20"/>
        </w:rPr>
        <w:t> means Incremental Amendment No. 2 to this Agreement dated as of March 21, 2023</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Amendment No. 2 Effective Date</w:t>
      </w:r>
      <w:r>
        <w:rPr>
          <w:rFonts w:ascii="Times New Roman" w:hAnsi="Times New Roman"/>
          <w:sz w:val="20"/>
        </w:rPr>
        <w:t xml:space="preserve"> means March 21, 2023, the date of effectiveness of Amendment No.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Amendment No. 2 Revolving Commitment Increase</w:t>
      </w:r>
      <w:r>
        <w:rPr>
          <w:rFonts w:ascii="Times New Roman" w:hAnsi="Times New Roman"/>
          <w:sz w:val="20"/>
        </w:rPr>
        <w:t xml:space="preserve"> means the obligation of each Incremental Amendment Revolving Lender (as defined in Amendment No. 2) to provide Incremental Revolving Commitments to the Borrower on the Amendment No. 2 Effective Date in an aggregate principal amount equal to $76,250,000.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Amendment No. 3 means Amendment No. 3 to this Agreement dated as of March 1, 2024.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Amendment No. 3 Effective Date means March 1, 2024, the date of effectiveness of Amendment No. 3.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Amendment No. 3 Refinancing Revolving Commitment means the obligation of each Refinancing Revolving Lender (as defined in Amendment No. 3) to provide Refinancing Revolving Commitments (as defined in Amendment No. 3) to the Borrower on the Amendment No. 3 Effective Date in an aggregate principal amount equal to $83,000,000. The Amendment No. 3 Refinancing Revolving Commitments will be treated as part of the same Class of Revolving Commitments as the Revolving Commitments outstanding immediately prior to the Amendment No. 3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Account</w:t>
      </w:r>
      <w:r>
        <w:rPr>
          <w:rFonts w:ascii="Times New Roman" w:hAnsi="Times New Roman"/>
          <w:sz w:val="20"/>
        </w:rPr>
        <w:t xml:space="preserve"> means, with respect to any payment to be made to the First Lien Administrative Agent hereunder, the account specified by the First Lien Administrative Agent from time to time for the purpose of receiving payments of such type.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Discount</w:t>
      </w:r>
      <w:r>
        <w:rPr>
          <w:rFonts w:ascii="Times New Roman" w:hAnsi="Times New Roman"/>
          <w:sz w:val="20"/>
        </w:rPr>
        <w:t xml:space="preserve"> has the meaning assigned to such term in Section 2.11(a)(ii)(C)(2).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Fronting Exposure</w:t>
      </w:r>
      <w:r>
        <w:rPr>
          <w:rFonts w:ascii="Times New Roman" w:hAnsi="Times New Roman"/>
          <w:sz w:val="20"/>
        </w:rPr>
        <w:t xml:space="preserve"> 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hAnsi="Times New Roman"/>
          <w:sz w:val="20"/>
          <w:u w:val="single"/>
        </w:rPr>
        <w:t>provided</w:t>
      </w:r>
      <w:r>
        <w:rPr>
          <w:rFonts w:ascii="Times New Roman" w:hAnsi="Times New Roman"/>
          <w:sz w:val="20"/>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hAnsi="Times New Roman"/>
          <w:sz w:val="20"/>
          <w:u w:val="single"/>
        </w:rPr>
        <w:t>provided further</w:t>
      </w:r>
      <w:r>
        <w:rPr>
          <w:rFonts w:ascii="Times New Roman" w:hAnsi="Times New Roman"/>
          <w:sz w:val="20"/>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Rate</w:t>
      </w:r>
      <w:r>
        <w:rPr>
          <w:rFonts w:ascii="Times New Roman" w:hAnsi="Times New Roman"/>
          <w:sz w:val="20"/>
        </w:rPr>
        <w:t xml:space="preserve"> means, for any day, (a) with respect to any SONIA Loan, Adjusted Daily Simple SONIA plus 2.75% per annum, (b) with respect to any Term Loan denominated in Dollars, (i) in the case of an ABR Loan, the Alternate Base Rate plus 1.75% per annum, (ii) in the case of a Term Benchmark Loan, the Adjusted Term SOFR Rate plus 2.75% per annum or (iii) in the case of a RFR Loan, Adjusted Daily Simple SOFR plus 2.75% per annum, (c) with respect to any Loan denominated in Euros, Adjusted EURIBOR Rate plus 2.75% per annum, (d) with respect to any Loan denominated in Canadian Dollars, (i) in the case of any ABR Loan, the Canadian Base Rate plus 1.75% per annum or (ii) in the case of a Term Benchmark Loan,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plus 2.75% and (e) with respect to any Revolving Loan denominated in Dollars, (i) in the case of an ABR Loan, the Alternate Base Rate plus 1.75%, (ii) in the case of a Term Benchmark Loan, the Adjusted Term SOFR Rate plus 2.75%, or (iii) in the case of a RFR Loan, Adjusted Daily Simple SOFR plus 2.75% per annum.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Bank</w:t>
      </w:r>
      <w:r>
        <w:rPr>
          <w:rFonts w:ascii="Times New Roman" w:hAnsi="Times New Roman"/>
          <w:sz w:val="20"/>
        </w:rPr>
        <w:t xml:space="preserve"> has the meaning assigned to such term in the definition of the term Permitted Investments.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Foreign Bank</w:t>
      </w:r>
      <w:r>
        <w:rPr>
          <w:rFonts w:ascii="Times New Roman" w:hAnsi="Times New Roman"/>
          <w:sz w:val="20"/>
        </w:rPr>
        <w:t xml:space="preserve"> has the meaning assigned to such term in the definition of Permitted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Fund</w:t>
      </w:r>
      <w:r>
        <w:rPr>
          <w:rFonts w:ascii="Times New Roman" w:hAnsi="Times New Roman"/>
          <w:sz w:val="20"/>
        </w:rPr>
        <w:t xml:space="preserve">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Person whose consent is required by Section 9.04(b)), substantially in the form of Exhibit A or any other form reasonably approved by the First Lien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Auction Agent</w:t>
      </w:r>
      <w:r>
        <w:rPr>
          <w:rFonts w:ascii="Times New Roman" w:hAnsi="Times New Roman"/>
          <w:sz w:val="20"/>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Times New Roman" w:hAnsi="Times New Roman"/>
          <w:sz w:val="20"/>
          <w:u w:val="single"/>
        </w:rPr>
        <w:t>provided</w:t>
      </w:r>
      <w:r>
        <w:rPr>
          <w:rFonts w:ascii="Times New Roman" w:hAnsi="Times New Roman"/>
          <w:sz w:val="20"/>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Audited Financial Statements</w:t>
      </w:r>
      <w:r>
        <w:rPr>
          <w:rFonts w:ascii="Times New Roman" w:hAnsi="Times New Roman"/>
          <w:sz w:val="20"/>
        </w:rPr>
        <w:t xml:space="preserve">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Available Amount</w:t>
      </w:r>
      <w:r>
        <w:rPr>
          <w:rFonts w:ascii="Times New Roman" w:hAnsi="Times New Roman"/>
          <w:sz w:val="20"/>
        </w:rPr>
        <w:t xml:space="preserve"> means, as of any date of determination, a cumulative amount equal to (without duplication): </w:t>
      </w:r>
    </w:p>
    <w:p>
      <w:pPr>
        <w:pStyle w:val="TextBody"/>
        <w:bidi w:val="0"/>
        <w:spacing w:before="120" w:after="0"/>
        <w:jc w:val="left"/>
        <w:rPr>
          <w:rFonts w:ascii="Times New Roman" w:hAnsi="Times New Roman"/>
          <w:sz w:val="20"/>
        </w:rPr>
      </w:pPr>
      <w:r>
        <w:rPr>
          <w:rFonts w:ascii="Times New Roman" w:hAnsi="Times New Roman"/>
          <w:sz w:val="20"/>
        </w:rPr>
        <w:t>(a) the greater of (x) $96,000,000 and (y) 25% of Consolidated EBITDA for the most recently ended Test Period as of such date (such amount, the </w:t>
      </w:r>
      <w:r>
        <w:rPr>
          <w:rFonts w:ascii="Times New Roman" w:hAnsi="Times New Roman"/>
          <w:sz w:val="20"/>
          <w:u w:val="single"/>
        </w:rPr>
        <w:t>Starter Basket</w:t>
      </w:r>
      <w:r>
        <w:rPr>
          <w:rFonts w:ascii="Times New Roman" w:hAnsi="Times New Roman"/>
          <w:sz w:val="20"/>
        </w:rPr>
        <w:t xml:space="preserve">), </w:t>
      </w:r>
      <w:r>
        <w:rPr>
          <w:rFonts w:ascii="Times New Roman" w:hAnsi="Times New Roman"/>
          <w:sz w:val="20"/>
          <w:u w:val="single"/>
        </w:rPr>
        <w:t xml:space="preserve">plus </w:t>
      </w:r>
    </w:p>
    <w:p>
      <w:pPr>
        <w:pStyle w:val="TextBody"/>
        <w:bidi w:val="0"/>
        <w:spacing w:before="120" w:after="0"/>
        <w:jc w:val="left"/>
        <w:rPr>
          <w:rFonts w:ascii="Times New Roman" w:hAnsi="Times New Roman"/>
          <w:sz w:val="20"/>
        </w:rPr>
      </w:pPr>
      <w:r>
        <w:rPr>
          <w:rFonts w:ascii="Times New Roman" w:hAnsi="Times New Roman"/>
          <w:sz w:val="20"/>
        </w:rPr>
        <w:t xml:space="preserve">(b) 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Net Proceeds of a sale or other Disposition of any Unrestricted Subsidiary (including the issuance of stock of an Unrestricted Subsidiary) received by the Borrower or any Restricted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not included in Consolidated Net Income, dividends or other distributions or returns on capital received by the Borrower or any Restricted Subsidiary from an Unrestricted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aggregate amount of any Retained Declined Proceeds since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Available Equity Amount</w:t>
      </w:r>
      <w:r>
        <w:rPr>
          <w:rFonts w:ascii="Times New Roman" w:hAnsi="Times New Roman"/>
          <w:sz w:val="20"/>
        </w:rPr>
        <w:t xml:space="preserve"> means a cumulative amount equal to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Net Proceeds of new public or private issuances of Qualified Equity Interests (excluding Qualified Equity Interests the proceeds of which will be applied as Cure Amounts) in Holdings or any parent of Holdings which are contributed to the Borrower,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capital contributions received by the Borrower after the Effective Date in cash or Permitted Investments (other than in respect of any Disqualified Equity Interest),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net cash proceeds received by the Borrower or any Restricted Subsidiary from Indebtedness and Disqualified Equity Interest issuances issued after the Effective Date and which have been exchanged or converted into Qualified Equity Interests, </w:t>
      </w:r>
      <w:r>
        <w:rPr>
          <w:rFonts w:ascii="Times New Roman" w:hAnsi="Times New Roman"/>
          <w:sz w:val="20"/>
          <w:u w:val="single"/>
        </w:rPr>
        <w:t xml:space="preserve">plus </w:t>
      </w:r>
    </w:p>
    <w:p>
      <w:pPr>
        <w:pStyle w:val="TextBody"/>
        <w:bidi w:val="0"/>
        <w:spacing w:before="240" w:after="0"/>
        <w:jc w:val="left"/>
        <w:rPr>
          <w:rFonts w:ascii="Times New Roman" w:hAnsi="Times New Roman"/>
          <w:sz w:val="20"/>
        </w:rPr>
      </w:pPr>
      <w:r>
        <w:rPr>
          <w:rFonts w:ascii="Times New Roman" w:hAnsi="Times New Roman"/>
          <w:sz w:val="20"/>
        </w:rPr>
        <w:t xml:space="preserve">(d) returns, profits, distributions and similar amounts received in cash or Permitted Investments by the Borrower or any Restricted Subsidiary on Investments made using the Available Equity Amount (not to exceed the amount of such Investments).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Average Exchange Rate</w:t>
      </w:r>
      <w:r>
        <w:rPr>
          <w:rFonts w:ascii="Times New Roman" w:hAnsi="Times New Roman"/>
          <w:sz w:val="20"/>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Times New Roman" w:hAnsi="Times New Roman"/>
          <w:sz w:val="20"/>
          <w:u w:val="single"/>
        </w:rPr>
        <w:t>provided</w:t>
      </w:r>
      <w:r>
        <w:rPr>
          <w:rFonts w:ascii="Times New Roman" w:hAnsi="Times New Roman"/>
          <w:sz w:val="20"/>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 </w:t>
      </w:r>
    </w:p>
    <w:p>
      <w:pPr>
        <w:pStyle w:val="TextBody"/>
        <w:bidi w:val="0"/>
        <w:spacing w:before="240" w:after="0"/>
        <w:jc w:val="left"/>
        <w:rPr>
          <w:rFonts w:ascii="Times New Roman" w:hAnsi="Times New Roman"/>
          <w:sz w:val="20"/>
        </w:rPr>
      </w:pPr>
      <w:r>
        <w:rPr>
          <w:rFonts w:ascii="Times New Roman" w:hAnsi="Times New Roman"/>
          <w:strike/>
          <w:color w:val="FF0000"/>
          <w:sz w:val="20"/>
        </w:rPr>
        <w:t></w:t>
      </w:r>
      <w:r>
        <w:rPr>
          <w:rFonts w:ascii="Times New Roman" w:hAnsi="Times New Roman"/>
          <w:strike/>
          <w:color w:val="FF0000"/>
          <w:sz w:val="20"/>
          <w:u w:val="single"/>
        </w:rPr>
        <w:t>BA Rate</w:t>
      </w:r>
      <w:r>
        <w:rPr>
          <w:rFonts w:ascii="Times New Roman" w:hAnsi="Times New Roman"/>
          <w:strike/>
          <w:color w:val="FF0000"/>
          <w:sz w:val="20"/>
        </w:rPr>
        <w:t> means, for any Interest Period with respect to a Term Benchmark Borrowing denominated in Canadian Dollars, the rate per annum equal to the average discount rate for Canadian Dollar bankers acceptances of the appropriate face amount for such Interest Period as quoted on the Reuters Screen CDOR page (the </w:t>
      </w:r>
      <w:r>
        <w:rPr>
          <w:rFonts w:ascii="Times New Roman" w:hAnsi="Times New Roman"/>
          <w:strike/>
          <w:color w:val="FF0000"/>
          <w:sz w:val="20"/>
          <w:u w:val="single"/>
        </w:rPr>
        <w:t>CDOR Screen Rate</w:t>
      </w:r>
      <w:r>
        <w:rPr>
          <w:rFonts w:ascii="Times New Roman" w:hAnsi="Times New Roman"/>
          <w:strike/>
          <w:color w:val="FF0000"/>
          <w:sz w:val="20"/>
        </w:rPr>
        <w:t>) (or such other page as is a replacement page for such bankers acceptances) as of 10:00 a.m., Toronto, Ontario time, on the date of determination.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Code</w:t>
      </w:r>
      <w:r>
        <w:rPr>
          <w:rFonts w:ascii="Times New Roman" w:hAnsi="Times New Roman"/>
          <w:sz w:val="20"/>
        </w:rPr>
        <w:t xml:space="preserve"> means Title 11 of the United States Code, as amended, or any similar federal or state law for the relief of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Barclays Letter of Credit Sublimit</w:t>
      </w:r>
      <w:r>
        <w:rPr>
          <w:rFonts w:ascii="Times New Roman" w:hAnsi="Times New Roman"/>
          <w:sz w:val="20"/>
        </w:rPr>
        <w:t xml:space="preserve">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Barclays Letter of Credit Sublimit will be issued by Barclays Bank PLC,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w:t>
      </w:r>
      <w:r>
        <w:rPr>
          <w:rFonts w:ascii="Times New Roman" w:hAnsi="Times New Roman"/>
          <w:sz w:val="20"/>
        </w:rPr>
        <w:t xml:space="preserve"> means, initially, with respect to any (i) RFR Loan in any Agreed Currency, the applicable Relevant Rate for such Agreed Currency or (ii) Term Benchmark Loan, the Relevant Rate for such Agreed Currency; </w:t>
      </w:r>
      <w:r>
        <w:rPr>
          <w:rFonts w:ascii="Times New Roman" w:hAnsi="Times New Roman"/>
          <w:sz w:val="20"/>
          <w:u w:val="single"/>
        </w:rPr>
        <w:t>provided</w:t>
      </w:r>
      <w:r>
        <w:rPr>
          <w:rFonts w:ascii="Times New Roman" w:hAnsi="Times New Roman"/>
          <w:sz w:val="20"/>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 or (c).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w:t>
      </w:r>
      <w:r>
        <w:rPr>
          <w:rFonts w:ascii="Times New Roman" w:hAnsi="Times New Roman"/>
          <w:sz w:val="20"/>
          <w:u w:val="single"/>
        </w:rPr>
        <w:t xml:space="preserve">provided </w:t>
      </w:r>
      <w:r>
        <w:rPr>
          <w:rFonts w:ascii="Times New Roman" w:hAnsi="Times New Roman"/>
          <w:sz w:val="20"/>
        </w:rPr>
        <w:t xml:space="preserve">that in the case of any Loan denominated in an Alternative Currency, Benchmark Replacement shall mean the alternative set forth in (2) below: </w:t>
      </w:r>
    </w:p>
    <w:p>
      <w:pPr>
        <w:pStyle w:val="TextBody"/>
        <w:bidi w:val="0"/>
        <w:spacing w:before="240" w:after="0"/>
        <w:jc w:val="left"/>
        <w:rPr>
          <w:rFonts w:ascii="Times New Roman" w:hAnsi="Times New Roman"/>
          <w:sz w:val="20"/>
        </w:rPr>
      </w:pPr>
      <w:r>
        <w:rPr>
          <w:rFonts w:ascii="Times New Roman" w:hAnsi="Times New Roman"/>
          <w:sz w:val="20"/>
        </w:rPr>
        <w:t xml:space="preserve">(1) Adjusted Daily Simple SOFR; </w:t>
      </w:r>
    </w:p>
    <w:p>
      <w:pPr>
        <w:pStyle w:val="TextBody"/>
        <w:bidi w:val="0"/>
        <w:spacing w:before="240" w:after="0"/>
        <w:jc w:val="left"/>
        <w:rPr>
          <w:rFonts w:ascii="Times New Roman" w:hAnsi="Times New Roman"/>
          <w:sz w:val="20"/>
        </w:rPr>
      </w:pPr>
      <w:r>
        <w:rPr>
          <w:rFonts w:ascii="Times New Roman" w:hAnsi="Times New Roman"/>
          <w:sz w:val="20"/>
        </w:rPr>
        <w:t xml:space="preserve">(2) 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First Lien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First Lien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exists, in such other manner of administration as the First Lien Administrative Agent decides is reasonably necessary in connection with the administration of this Agreement and the other First Lien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Benchmark (or component thereof) or, if such Benchmark is a term rate,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Unavailability Period</w:t>
      </w:r>
      <w:r>
        <w:rPr>
          <w:rFonts w:ascii="Times New Roman" w:hAnsi="Times New Roman"/>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 the time that a Benchmark Replacement has replaced such then-current Benchmark for all purposes hereunder and under any First Lien Loan Document in accordance with Section 2.14.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BNP Paribas Letter of Credit Sublimit</w:t>
      </w:r>
      <w:r>
        <w:rPr>
          <w:rFonts w:ascii="Times New Roman" w:hAnsi="Times New Roman"/>
          <w:sz w:val="20"/>
        </w:rPr>
        <w:t>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BNP Paribas Letter of Credit Sublimit will be issued by BNP Paribas,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Governors</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has the meaning assigned to such term in the preliminary statements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Materials</w:t>
      </w:r>
      <w:r>
        <w:rPr>
          <w:rFonts w:ascii="Times New Roman" w:hAnsi="Times New Roman"/>
          <w:sz w:val="20"/>
        </w:rPr>
        <w:t xml:space="preserve"> has the meaning assigned to such term in the last paragraph of Section 5.01.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Offer of Specified Discount Prepayment</w:t>
      </w:r>
      <w:r>
        <w:rPr>
          <w:rFonts w:ascii="Times New Roman" w:hAnsi="Times New Roman"/>
          <w:sz w:val="20"/>
        </w:rPr>
        <w:t xml:space="preserve"> means the offer by the Borrower to make a voluntary prepayment of Term Loans at a Specified Discount to par pursuant to Section 2.11(a)(ii)(B).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Solicitation of Discount Range Prepayment Offers</w:t>
      </w:r>
      <w:r>
        <w:rPr>
          <w:rFonts w:ascii="Times New Roman" w:hAnsi="Times New Roman"/>
          <w:sz w:val="20"/>
        </w:rPr>
        <w:t xml:space="preserve"> means the solicitation by the Borrower of offers for, and the corresponding acceptance by a Term Lender of, a voluntary prepayment of Term Loans at a specified range at a discount to par pursuant to Section 2.11(a)(ii)(C).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Solicitation of Discounted Prepayment Offers</w:t>
      </w:r>
      <w:r>
        <w:rPr>
          <w:rFonts w:ascii="Times New Roman" w:hAnsi="Times New Roman"/>
          <w:sz w:val="20"/>
        </w:rPr>
        <w:t xml:space="preserve"> means the solicitation by the Borrower of offers for, and the subsequent acceptance, if any, by a Term Lender of, a voluntary prepayment of Term Loans at a discount to par pursuant to Section 2.11(a)(ii)(D).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(a) Loans of the same Class, Type and currency, made, converted or continued on the same date and, in the case of Term Benchmark Loans, as to which a single Interest Period is in effect, or (b) a Swingline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 Minimum</w:t>
      </w:r>
      <w:r>
        <w:rPr>
          <w:rFonts w:ascii="Times New Roman" w:hAnsi="Times New Roman"/>
          <w:sz w:val="20"/>
        </w:rPr>
        <w:t xml:space="preserve"> means (a) in the case of a Term Benchmark Revolving Borrowing or SONIA Revolving Borrowing, $1,000,000, (b) in the case of an ABR Revolving Borrowing, $500,000 and (c) in the case of a Swingline Loan, $100,000.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 Multiple</w:t>
      </w:r>
      <w:r>
        <w:rPr>
          <w:rFonts w:ascii="Times New Roman" w:hAnsi="Times New Roman"/>
          <w:sz w:val="20"/>
        </w:rPr>
        <w:t xml:space="preserve"> means (a) in the case of a Term Benchmark Revolving Borrowing or SONIA Revolving Borrowing, $1,000,000, (b) in the case of an ABR Revolving Borrowing, $500,000 and (c) in the case of a Swingline Loan, $100,000.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 Request</w:t>
      </w:r>
      <w:r>
        <w:rPr>
          <w:rFonts w:ascii="Times New Roman" w:hAnsi="Times New Roman"/>
          <w:sz w:val="20"/>
        </w:rPr>
        <w:t xml:space="preserve"> means a request by the Borrower for a Borrowing in accordance with Section 2.03.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(i) subject to clauses (ii), (iii), (iv) and (v)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SONIA Loans, any day that is only a SONIA Business Day, (iv)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 and (v) if such day relates to any Term Benchmark Loan denominated in Dollars, shall also exclude any day that is not a U.S. Government Securities Business Day and (b) in relation to RFR Loans and any interest rate settings, fundings, disbursements, settlements or payments of any such RFR Loan, or any other dealings in the applicable Agreed Currency of such RFR Loan, any such day that is only an RFR Business Day.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CAD Screen Rate has the meaning assigned to such term in the definition of Term CORRA.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Base Rate</w:t>
      </w:r>
      <w:r>
        <w:rPr>
          <w:rFonts w:ascii="Times New Roman" w:hAnsi="Times New Roman"/>
          <w:sz w:val="20"/>
        </w:rPr>
        <w:t xml:space="preserve"> 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plus 1.00% per annum, adjusted automatically with each quoted, published or displayed change in such rate, all without necessity of any notice to the Borrower or any other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Canadian Dollars</w:t>
      </w:r>
      <w:r>
        <w:rPr>
          <w:rFonts w:ascii="Times New Roman" w:hAnsi="Times New Roman"/>
          <w:sz w:val="20"/>
        </w:rPr>
        <w:t xml:space="preserve"> means the lawful money of Canada.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Lease Obligations</w:t>
      </w:r>
      <w:r>
        <w:rPr>
          <w:rFonts w:ascii="Times New Roman" w:hAnsi="Times New Roman"/>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hAnsi="Times New Roman"/>
          <w:sz w:val="20"/>
          <w:u w:val="single"/>
        </w:rPr>
        <w:t>provided</w:t>
      </w:r>
      <w:r>
        <w:rPr>
          <w:rFonts w:ascii="Times New Roman" w:hAnsi="Times New Roman"/>
          <w:sz w:val="20"/>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Capitalized Leases</w:t>
      </w:r>
      <w:r>
        <w:rPr>
          <w:rFonts w:ascii="Times New Roman" w:hAnsi="Times New Roman"/>
          <w:sz w:val="20"/>
        </w:rPr>
        <w:t xml:space="preserve"> means all leases that have been or should be, in accordance with GAAP as in effect on the Effective Date, recorded as capitalized leases; </w:t>
      </w:r>
      <w:r>
        <w:rPr>
          <w:rFonts w:ascii="Times New Roman" w:hAnsi="Times New Roman"/>
          <w:sz w:val="20"/>
          <w:u w:val="single"/>
        </w:rPr>
        <w:t>provided</w:t>
      </w:r>
      <w:r>
        <w:rPr>
          <w:rFonts w:ascii="Times New Roman" w:hAnsi="Times New Roman"/>
          <w:sz w:val="20"/>
        </w:rPr>
        <w:t xml:space="preserve"> that for all purposes hereunder the amount of obligations under any Capitalized Lease shall be the amount thereof accounted for as a liability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Capitalized Software Expenditures</w:t>
      </w:r>
      <w:r>
        <w:rPr>
          <w:rFonts w:ascii="Times New Roman" w:hAnsi="Times New Roman"/>
          <w:sz w:val="20"/>
        </w:rPr>
        <w:t xml:space="preserve">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Management Obligations</w:t>
      </w:r>
      <w:r>
        <w:rPr>
          <w:rFonts w:ascii="Times New Roman" w:hAnsi="Times New Roman"/>
          <w:sz w:val="20"/>
        </w:rPr>
        <w:t xml:space="preserve">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Management Services</w:t>
      </w:r>
      <w:r>
        <w:rPr>
          <w:rFonts w:ascii="Times New Roman" w:hAnsi="Times New Roman"/>
          <w:sz w:val="20"/>
        </w:rPr>
        <w:t xml:space="preserve"> has the meaning assigned to such term in the definition of Secured Cash Management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Casualty Event</w:t>
      </w:r>
      <w:r>
        <w:rPr>
          <w:rFonts w:ascii="Times New Roman" w:hAnsi="Times New Roman"/>
          <w:sz w:val="20"/>
        </w:rPr>
        <w:t xml:space="preserve">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CBR Loan</w:t>
      </w:r>
      <w:r>
        <w:rPr>
          <w:rFonts w:ascii="Times New Roman" w:hAnsi="Times New Roman"/>
          <w:sz w:val="20"/>
        </w:rPr>
        <w:t xml:space="preserve"> means a Loan that bears interest at a rate determined by reference to the Central Bank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CBR Spread</w:t>
      </w:r>
      <w:r>
        <w:rPr>
          <w:rFonts w:ascii="Times New Roman" w:hAnsi="Times New Roman"/>
          <w:sz w:val="20"/>
        </w:rPr>
        <w:t xml:space="preserve"> means the Applicable Rate, applicable to such Loan that is replaced by a CBR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Central Bank Rate</w:t>
      </w:r>
      <w:r>
        <w:rPr>
          <w:rFonts w:ascii="Times New Roman" w:hAnsi="Times New Roman"/>
          <w:sz w:val="20"/>
        </w:rPr>
        <w:t xml:space="preserve"> means, for any Loan denominated in Sterling, (a) the greater of (i) the Bank of England (or any successor thereto)s Bank Rate as published by the Bank of England (or any successor thereto) from time to time, and (ii) the Floor; plus (b) the applicable Central Bank Rate Adjustment.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Central Bank Rate Adjustment</w:t>
      </w:r>
      <w:r>
        <w:rPr>
          <w:rFonts w:ascii="Times New Roman" w:hAnsi="Times New Roman"/>
          <w:sz w:val="20"/>
        </w:rPr>
        <w:t xml:space="preserve">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CFC</w:t>
      </w:r>
      <w:r>
        <w:rPr>
          <w:rFonts w:ascii="Times New Roman" w:hAnsi="Times New Roman"/>
          <w:sz w:val="20"/>
        </w:rPr>
        <w:t xml:space="preserve"> means a controlled foreign corporation within the meaning of Sections 956 and 957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(a) the failure of Holdings prior to an IPO, or, after the IPO, the IPO Entity, directly or indirectly through wholly owned subsidiaries, to own all of the Equity Interests of the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the occurrence of a Change of Control (or similar event, however denominated) as defined in the Second Lien Indenture unless such debt is repaid or commitments terminated (as applicable) substantially simultaneously with the occurrence of such Change of Control under such documentation in a manner not prohibited hereunder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in Law</w:t>
      </w:r>
      <w:r>
        <w:rPr>
          <w:rFonts w:ascii="Times New Roman" w:hAnsi="Times New Roman"/>
          <w:sz w:val="20"/>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u w:val="single"/>
        </w:rPr>
        <w:t>Citigroup</w:t>
      </w:r>
      <w:r>
        <w:rPr>
          <w:rFonts w:ascii="Times New Roman" w:hAnsi="Times New Roman"/>
          <w:color w:val="0000FF"/>
          <w:sz w:val="20"/>
          <w:u w:val="single"/>
          <w:bdr w:val="double" w:sz="2" w:space="1" w:color="000000"/>
        </w:rPr>
        <w:t>Citibank</w:t>
      </w:r>
      <w:r>
        <w:rPr>
          <w:rFonts w:ascii="Times New Roman" w:hAnsi="Times New Roman"/>
          <w:sz w:val="20"/>
          <w:u w:val="single"/>
        </w:rPr>
        <w:t xml:space="preserve"> Letter of Credit Sublimit</w:t>
      </w:r>
      <w:r>
        <w:rPr>
          <w:rFonts w:ascii="Times New Roman" w:hAnsi="Times New Roman"/>
          <w:sz w:val="20"/>
        </w:rPr>
        <w:t xml:space="preserve">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w:t>
      </w:r>
      <w:r>
        <w:rPr>
          <w:rFonts w:ascii="Times New Roman" w:hAnsi="Times New Roman"/>
          <w:strike/>
          <w:color w:val="FF0000"/>
          <w:sz w:val="20"/>
        </w:rPr>
        <w:t>Citigroup</w:t>
      </w:r>
      <w:r>
        <w:rPr>
          <w:rFonts w:ascii="Times New Roman" w:hAnsi="Times New Roman"/>
          <w:color w:val="0000FF"/>
          <w:sz w:val="20"/>
          <w:u w:val="single"/>
          <w:bdr w:val="double" w:sz="2" w:space="1" w:color="000000"/>
        </w:rPr>
        <w:t>Citibank</w:t>
      </w:r>
      <w:r>
        <w:rPr>
          <w:rFonts w:ascii="Times New Roman" w:hAnsi="Times New Roman"/>
          <w:sz w:val="20"/>
        </w:rPr>
        <w:t xml:space="preserve"> Letter of Credit Sublimit will be issued by Citibank, N.A.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Citizens Letter of Credit Sublimit</w:t>
      </w:r>
      <w:r>
        <w:rPr>
          <w:rFonts w:ascii="Times New Roman" w:hAnsi="Times New Roman"/>
          <w:sz w:val="20"/>
        </w:rPr>
        <w:t xml:space="preserve">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Citizens Letter of Credit Sublimit will be issued by Citizens Bank, N.A.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w:t>
      </w:r>
      <w:r>
        <w:rPr>
          <w:rFonts w:ascii="Times New Roman" w:hAnsi="Times New Roman"/>
          <w:sz w:val="20"/>
        </w:rPr>
        <w:t xml:space="preserve"> when used in reference to (a) any Loan or Borrowing, refers to whether such Loan, or the Loans comprising such Borrowing, are Revolving Loans, Other Revolving Loans, Term Loans, First Lien Incremental Term Loans, Other First Lien Term Loans or Swingline Loans, (b) 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CME Term SOFR Administrator</w:t>
      </w:r>
      <w:r>
        <w:rPr>
          <w:rFonts w:ascii="Times New Roman" w:hAnsi="Times New Roman"/>
          <w:sz w:val="20"/>
        </w:rPr>
        <w:t xml:space="preserve"> means CME Group Benchmark Administration Limited as administrator of the forward-looking term Secured Overnight Financing Rate (SOFR) (or a successor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w:t>
      </w:r>
      <w:r>
        <w:rPr>
          <w:rFonts w:ascii="Times New Roman" w:hAnsi="Times New Roman"/>
          <w:sz w:val="20"/>
        </w:rPr>
        <w:t xml:space="preserve"> means any and all assets, whether real or personal, tangible or intangible, on which Liens are purported to be granted pursuant to the Security Documents as security for the Secured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and Guarantee Requirement</w:t>
      </w:r>
      <w:r>
        <w:rPr>
          <w:rFonts w:ascii="Times New Roman" w:hAnsi="Times New Roman"/>
          <w:sz w:val="20"/>
        </w:rPr>
        <w:t xml:space="preserve"> means, at any time,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(a) the First Lien Administrative Agent shall have received from (i) Holdings, any Intermediate Parent, the Borrower and each of the Restricted Subsidiaries (other than any Excluded Subsidiary) either (x) a counterpart of the First Lien Guarantee Agreement duly executed and delivered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(ii) 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 </w:t>
      </w:r>
    </w:p>
    <w:p>
      <w:pPr>
        <w:pStyle w:val="TextBody"/>
        <w:bidi w:val="0"/>
        <w:spacing w:before="120" w:after="0"/>
        <w:jc w:val="left"/>
        <w:rPr>
          <w:rFonts w:ascii="Times New Roman" w:hAnsi="Times New Roman"/>
          <w:sz w:val="20"/>
        </w:rPr>
      </w:pPr>
      <w:r>
        <w:rPr>
          <w:rFonts w:ascii="Times New Roman" w:hAnsi="Times New Roman"/>
          <w:sz w:val="20"/>
        </w:rPr>
        <w:t xml:space="preserve">(b) 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 </w:t>
      </w:r>
    </w:p>
    <w:p>
      <w:pPr>
        <w:pStyle w:val="TextBody"/>
        <w:bidi w:val="0"/>
        <w:spacing w:before="120" w:after="0"/>
        <w:jc w:val="left"/>
        <w:rPr>
          <w:rFonts w:ascii="Times New Roman" w:hAnsi="Times New Roman"/>
          <w:sz w:val="20"/>
        </w:rPr>
      </w:pPr>
      <w:r>
        <w:rPr>
          <w:rFonts w:ascii="Times New Roman" w:hAnsi="Times New Roman"/>
          <w:sz w:val="20"/>
        </w:rPr>
        <w:t xml:space="preserve">(c) 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Times New Roman" w:hAnsi="Times New Roman"/>
          <w:sz w:val="20"/>
          <w:u w:val="single"/>
        </w:rPr>
        <w:t>provided</w:t>
      </w:r>
      <w:r>
        <w:rPr>
          <w:rFonts w:ascii="Times New Roman" w:hAnsi="Times New Roman"/>
          <w:sz w:val="20"/>
        </w:rPr>
        <w:t xml:space="preserve">, however, that the foregoing delivery requirement with respect to any intercompany indebtedness may be satisfied by delivery of an omnibus or global intercompany note executed by all Loan Parties as payees and all such obligors as payors; </w:t>
      </w:r>
    </w:p>
    <w:p>
      <w:pPr>
        <w:pStyle w:val="TextBody"/>
        <w:bidi w:val="0"/>
        <w:spacing w:before="120" w:after="0"/>
        <w:jc w:val="left"/>
        <w:rPr>
          <w:rFonts w:ascii="Times New Roman" w:hAnsi="Times New Roman"/>
          <w:sz w:val="20"/>
        </w:rPr>
      </w:pPr>
      <w:r>
        <w:rPr>
          <w:rFonts w:ascii="Times New Roman" w:hAnsi="Times New Roman"/>
          <w:sz w:val="20"/>
        </w:rPr>
        <w:t xml:space="preserve">(d) 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 </w:t>
      </w:r>
    </w:p>
    <w:p>
      <w:pPr>
        <w:pStyle w:val="TextBody"/>
        <w:bidi w:val="0"/>
        <w:spacing w:before="120" w:after="0"/>
        <w:jc w:val="left"/>
        <w:rPr>
          <w:rFonts w:ascii="Times New Roman" w:hAnsi="Times New Roman"/>
          <w:sz w:val="20"/>
        </w:rPr>
      </w:pPr>
      <w:r>
        <w:rPr>
          <w:rFonts w:ascii="Times New Roman" w:hAnsi="Times New Roman"/>
          <w:sz w:val="20"/>
        </w:rPr>
        <w:t xml:space="preserve">(e) 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hAnsi="Times New Roman"/>
          <w:sz w:val="20"/>
          <w:u w:val="single"/>
        </w:rPr>
        <w:t>provided</w:t>
      </w:r>
      <w:r>
        <w:rPr>
          <w:rFonts w:ascii="Times New Roman" w:hAnsi="Times New Roman"/>
          <w:sz w:val="20"/>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 (i) 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definition or anything in this Agreement or any other First Lien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w:t>
      </w:r>
      <w:r>
        <w:rPr>
          <w:rFonts w:ascii="Times New Roman" w:hAnsi="Times New Roman"/>
          <w:sz w:val="20"/>
        </w:rPr>
        <w:t xml:space="preserve"> means (a) with respect to any Lender, its Revolving Commitment, Other Revolving Commitment of any Class, Term Commitment, Other First Lien Term Commitment of any Class or any combination thereof (as the context requires) and (b) with respect to any Swingline Lender, its Swingline Commitment.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Fee Percentage</w:t>
      </w:r>
      <w:r>
        <w:rPr>
          <w:rFonts w:ascii="Times New Roman" w:hAnsi="Times New Roman"/>
          <w:sz w:val="20"/>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Times New Roman" w:hAnsi="Times New Roman"/>
          <w:sz w:val="20"/>
          <w:u w:val="single"/>
        </w:rPr>
        <w:t>provided</w:t>
      </w:r>
      <w:r>
        <w:rPr>
          <w:rFonts w:ascii="Times New Roman" w:hAnsi="Times New Roman"/>
          <w:sz w:val="20"/>
        </w:rPr>
        <w:t xml:space="preserve"> that, until the date of the delivery of the consolidated financial statements pursuant to Section 5.01(b) as of and for the fiscal year ended December 31, 2019, the Commitment Fee Percentage shall be based on the rates per annum set forth in Category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69"/>
        <w:gridCol w:w="337"/>
        <w:gridCol w:w="160"/>
        <w:gridCol w:w="1496"/>
        <w:gridCol w:w="277"/>
      </w:tblGrid>
      <w:tr>
        <w:trPr/>
        <w:tc>
          <w:tcPr>
            <w:tcW w:w="4669"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669"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Senior Secured First Lien Net Leverage Ratio</w:t>
            </w:r>
          </w:p>
        </w:tc>
        <w:tc>
          <w:tcPr>
            <w:tcW w:w="33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pPr>
            <w:r>
              <w:rPr/>
              <w:t>Commitment Fee</w:t>
              <w:br/>
              <w:t>Percentage</w:t>
            </w:r>
          </w:p>
        </w:tc>
        <w:tc>
          <w:tcPr>
            <w:tcW w:w="277" w:type="dxa"/>
            <w:tcBorders/>
            <w:vAlign w:val="bottom"/>
          </w:tcPr>
          <w:p>
            <w:pPr>
              <w:pStyle w:val="TableContents"/>
              <w:bidi w:val="0"/>
              <w:spacing w:before="0" w:after="283"/>
              <w:jc w:val="left"/>
              <w:rPr/>
            </w:pPr>
            <w:r>
              <w:rPr/>
              <w:t> </w:t>
            </w:r>
          </w:p>
        </w:tc>
      </w:tr>
      <w:tr>
        <w:trPr/>
        <w:tc>
          <w:tcPr>
            <w:tcW w:w="4669"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1</w:t>
            </w:r>
          </w:p>
          <w:p>
            <w:pPr>
              <w:pStyle w:val="TableContents"/>
              <w:bidi w:val="0"/>
              <w:spacing w:before="0" w:after="20"/>
              <w:jc w:val="left"/>
              <w:rPr>
                <w:rFonts w:ascii="Times New Roman" w:hAnsi="Times New Roman"/>
                <w:sz w:val="20"/>
              </w:rPr>
            </w:pPr>
            <w:r>
              <w:rPr>
                <w:rFonts w:ascii="Times New Roman" w:hAnsi="Times New Roman"/>
                <w:sz w:val="20"/>
              </w:rPr>
              <w:t>Greater than 5.00 to 1.00</w:t>
            </w:r>
          </w:p>
        </w:tc>
        <w:tc>
          <w:tcPr>
            <w:tcW w:w="337" w:type="dxa"/>
            <w:tcBorders/>
            <w:shd w:fill="CCEEFF" w:val="clear"/>
            <w:vAlign w:val="bottom"/>
          </w:tcPr>
          <w:p>
            <w:pPr>
              <w:pStyle w:val="TableContents"/>
              <w:bidi w:val="0"/>
              <w:spacing w:before="0" w:after="283"/>
              <w:jc w:val="left"/>
              <w:rPr/>
            </w:pPr>
            <w:r>
              <w:rPr/>
              <w:t>  </w:t>
            </w:r>
          </w:p>
        </w:tc>
        <w:tc>
          <w:tcPr>
            <w:tcW w:w="160" w:type="dxa"/>
            <w:tcBorders/>
            <w:shd w:fill="CCEEFF" w:val="clear"/>
          </w:tcPr>
          <w:p>
            <w:pPr>
              <w:pStyle w:val="TableContents"/>
              <w:bidi w:val="0"/>
              <w:spacing w:before="0" w:after="283"/>
              <w:jc w:val="left"/>
              <w:rPr/>
            </w:pPr>
            <w:r>
              <w:rPr/>
              <w:t> </w:t>
            </w:r>
          </w:p>
        </w:tc>
        <w:tc>
          <w:tcPr>
            <w:tcW w:w="1496" w:type="dxa"/>
            <w:tcBorders/>
            <w:shd w:fill="CCEEFF" w:val="clear"/>
          </w:tcPr>
          <w:p>
            <w:pPr>
              <w:pStyle w:val="TableContents"/>
              <w:bidi w:val="0"/>
              <w:spacing w:before="0" w:after="283"/>
              <w:jc w:val="right"/>
              <w:rPr/>
            </w:pPr>
            <w:r>
              <w:rPr/>
              <w:t>0.500</w:t>
            </w:r>
          </w:p>
        </w:tc>
        <w:tc>
          <w:tcPr>
            <w:tcW w:w="277" w:type="dxa"/>
            <w:tcBorders/>
            <w:shd w:fill="CCEEFF" w:val="clear"/>
          </w:tcPr>
          <w:p>
            <w:pPr>
              <w:pStyle w:val="TableContents"/>
              <w:bidi w:val="0"/>
              <w:spacing w:before="0" w:after="283"/>
              <w:jc w:val="left"/>
              <w:rPr/>
            </w:pPr>
            <w:r>
              <w:rPr/>
              <w:t>% </w:t>
            </w:r>
          </w:p>
        </w:tc>
      </w:tr>
      <w:tr>
        <w:trPr/>
        <w:tc>
          <w:tcPr>
            <w:tcW w:w="466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2</w:t>
            </w:r>
          </w:p>
          <w:p>
            <w:pPr>
              <w:pStyle w:val="TableContents"/>
              <w:bidi w:val="0"/>
              <w:spacing w:before="0" w:after="20"/>
              <w:jc w:val="left"/>
              <w:rPr>
                <w:rFonts w:ascii="Times New Roman" w:hAnsi="Times New Roman"/>
                <w:sz w:val="20"/>
              </w:rPr>
            </w:pPr>
            <w:r>
              <w:rPr>
                <w:rFonts w:ascii="Times New Roman" w:hAnsi="Times New Roman"/>
                <w:sz w:val="20"/>
              </w:rPr>
              <w:t>Greater than 4.50 to 1.00, but less than or equal to 5.00 to 1.00</w:t>
            </w:r>
          </w:p>
        </w:tc>
        <w:tc>
          <w:tcPr>
            <w:tcW w:w="337"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 </w:t>
            </w:r>
          </w:p>
        </w:tc>
        <w:tc>
          <w:tcPr>
            <w:tcW w:w="1496" w:type="dxa"/>
            <w:tcBorders/>
          </w:tcPr>
          <w:p>
            <w:pPr>
              <w:pStyle w:val="TableContents"/>
              <w:bidi w:val="0"/>
              <w:spacing w:before="0" w:after="283"/>
              <w:jc w:val="right"/>
              <w:rPr/>
            </w:pPr>
            <w:r>
              <w:rPr/>
              <w:t>0.375</w:t>
            </w:r>
          </w:p>
        </w:tc>
        <w:tc>
          <w:tcPr>
            <w:tcW w:w="277" w:type="dxa"/>
            <w:tcBorders/>
          </w:tcPr>
          <w:p>
            <w:pPr>
              <w:pStyle w:val="TableContents"/>
              <w:bidi w:val="0"/>
              <w:spacing w:before="0" w:after="283"/>
              <w:jc w:val="left"/>
              <w:rPr/>
            </w:pPr>
            <w:r>
              <w:rPr/>
              <w:t>% </w:t>
            </w:r>
          </w:p>
        </w:tc>
      </w:tr>
      <w:tr>
        <w:trPr/>
        <w:tc>
          <w:tcPr>
            <w:tcW w:w="4669"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Category 3</w:t>
            </w:r>
          </w:p>
          <w:p>
            <w:pPr>
              <w:pStyle w:val="TableContents"/>
              <w:bidi w:val="0"/>
              <w:spacing w:before="0" w:after="20"/>
              <w:jc w:val="left"/>
              <w:rPr>
                <w:rFonts w:ascii="Times New Roman" w:hAnsi="Times New Roman"/>
                <w:sz w:val="20"/>
              </w:rPr>
            </w:pPr>
            <w:r>
              <w:rPr>
                <w:rFonts w:ascii="Times New Roman" w:hAnsi="Times New Roman"/>
                <w:sz w:val="20"/>
              </w:rPr>
              <w:t>Less than or equal to 4.50 to 1.00</w:t>
            </w:r>
          </w:p>
        </w:tc>
        <w:tc>
          <w:tcPr>
            <w:tcW w:w="337" w:type="dxa"/>
            <w:tcBorders/>
            <w:shd w:fill="CCEEFF" w:val="clear"/>
            <w:vAlign w:val="bottom"/>
          </w:tcPr>
          <w:p>
            <w:pPr>
              <w:pStyle w:val="TableContents"/>
              <w:bidi w:val="0"/>
              <w:spacing w:before="0" w:after="283"/>
              <w:jc w:val="left"/>
              <w:rPr/>
            </w:pPr>
            <w:r>
              <w:rPr/>
              <w:t>  </w:t>
            </w:r>
          </w:p>
        </w:tc>
        <w:tc>
          <w:tcPr>
            <w:tcW w:w="160" w:type="dxa"/>
            <w:tcBorders/>
            <w:shd w:fill="CCEEFF" w:val="clear"/>
          </w:tcPr>
          <w:p>
            <w:pPr>
              <w:pStyle w:val="TableContents"/>
              <w:bidi w:val="0"/>
              <w:spacing w:before="0" w:after="283"/>
              <w:jc w:val="left"/>
              <w:rPr/>
            </w:pPr>
            <w:r>
              <w:rPr/>
              <w:t> </w:t>
            </w:r>
          </w:p>
        </w:tc>
        <w:tc>
          <w:tcPr>
            <w:tcW w:w="1496" w:type="dxa"/>
            <w:tcBorders/>
            <w:shd w:fill="CCEEFF" w:val="clear"/>
          </w:tcPr>
          <w:p>
            <w:pPr>
              <w:pStyle w:val="TableContents"/>
              <w:bidi w:val="0"/>
              <w:spacing w:before="0" w:after="283"/>
              <w:jc w:val="right"/>
              <w:rPr/>
            </w:pPr>
            <w:r>
              <w:rPr/>
              <w:t>0.250</w:t>
            </w:r>
          </w:p>
        </w:tc>
        <w:tc>
          <w:tcPr>
            <w:tcW w:w="277" w:type="dxa"/>
            <w:tcBorders/>
            <w:shd w:fill="CCEEFF" w:val="cle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sz w:val="20"/>
          <w:u w:val="single"/>
        </w:rPr>
        <w:t>et seq</w:t>
      </w:r>
      <w:r>
        <w:rPr>
          <w:rFonts w:ascii="Times New Roman" w:hAnsi="Times New Roman"/>
          <w:sz w:val="20"/>
        </w:rPr>
        <w:t xml:space="preserve">.), 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Compliance Certificate</w:t>
      </w:r>
      <w:r>
        <w:rPr>
          <w:rFonts w:ascii="Times New Roman" w:hAnsi="Times New Roman"/>
          <w:sz w:val="20"/>
        </w:rPr>
        <w:t xml:space="preserve"> means the certificate required to be delivered pursuant to Section 5.01(d).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Consenting Issuing Bank</w:t>
      </w:r>
      <w:r>
        <w:rPr>
          <w:rFonts w:ascii="Times New Roman" w:hAnsi="Times New Roman"/>
          <w:sz w:val="20"/>
        </w:rPr>
        <w:t xml:space="preserve"> means each Issuing Bank that has consented and agreed to the Transactions set forth in the Revolving Facilities Amendment by delivering an executed counterpart thereof to the First Lien Administrative Agent on or prior to March 26, 2021.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for any period,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without duplication and to the extent already deducted (and not added back) in arriving at such Consolidated Net Income, the sum of the following amounts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hAnsi="Times New Roman"/>
          <w:sz w:val="20"/>
          <w:u w:val="single"/>
        </w:rPr>
        <w:t>plus</w:t>
      </w:r>
      <w:r>
        <w:rPr>
          <w:rFonts w:ascii="Times New Roman" w:hAnsi="Times New Roman"/>
          <w:sz w:val="20"/>
        </w:rPr>
        <w:t xml:space="preserve"> (B) the portion of rent expense with respect to such period under Capitalized Leases that is treated as interest expense in accordance with GAAP </w:t>
      </w:r>
      <w:r>
        <w:rPr>
          <w:rFonts w:ascii="Times New Roman" w:hAnsi="Times New Roman"/>
          <w:sz w:val="20"/>
          <w:u w:val="single"/>
        </w:rPr>
        <w:t>plus</w:t>
      </w:r>
      <w:r>
        <w:rPr>
          <w:rFonts w:ascii="Times New Roman" w:hAnsi="Times New Roman"/>
          <w:sz w:val="20"/>
        </w:rPr>
        <w:t xml:space="preserve"> (C) the implied interest component of synthetic leases with respect to such period </w:t>
      </w:r>
      <w:r>
        <w:rPr>
          <w:rFonts w:ascii="Times New Roman" w:hAnsi="Times New Roman"/>
          <w:sz w:val="20"/>
          <w:u w:val="single"/>
        </w:rPr>
        <w:t>plus</w:t>
      </w:r>
      <w:r>
        <w:rPr>
          <w:rFonts w:ascii="Times New Roman" w:hAnsi="Times New Roman"/>
          <w:sz w:val="20"/>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hAnsi="Times New Roman"/>
          <w:sz w:val="20"/>
          <w:u w:val="single"/>
        </w:rPr>
        <w:t>plus</w:t>
      </w:r>
      <w:r>
        <w:rPr>
          <w:rFonts w:ascii="Times New Roman" w:hAnsi="Times New Roman"/>
          <w:sz w:val="20"/>
        </w:rPr>
        <w:t xml:space="preserve"> (E) bank and letter of credit fees and costs of surety bonds in connection with financing activities, </w:t>
      </w:r>
      <w:r>
        <w:rPr>
          <w:rFonts w:ascii="Times New Roman" w:hAnsi="Times New Roman"/>
          <w:sz w:val="20"/>
          <w:u w:val="single"/>
        </w:rPr>
        <w:t>plus</w:t>
      </w:r>
      <w:r>
        <w:rPr>
          <w:rFonts w:ascii="Times New Roman" w:hAnsi="Times New Roman"/>
          <w:sz w:val="20"/>
        </w:rPr>
        <w:t xml:space="preserve"> (F) any commissions, discounts, yield and other fees and charges (including any interest expense) related to any Qualified Securitization Facility; </w:t>
      </w:r>
    </w:p>
    <w:p>
      <w:pPr>
        <w:pStyle w:val="TextBody"/>
        <w:bidi w:val="0"/>
        <w:spacing w:before="120" w:after="0"/>
        <w:jc w:val="left"/>
        <w:rPr>
          <w:rFonts w:ascii="Times New Roman" w:hAnsi="Times New Roman"/>
          <w:sz w:val="20"/>
        </w:rPr>
      </w:pPr>
      <w:r>
        <w:rPr>
          <w:rFonts w:ascii="Times New Roman" w:hAnsi="Times New Roman"/>
          <w:sz w:val="20"/>
        </w:rPr>
        <w:t xml:space="preserve">(ii) 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(iii) Non-Cash Charges; </w:t>
      </w:r>
    </w:p>
    <w:p>
      <w:pPr>
        <w:pStyle w:val="TextBody"/>
        <w:bidi w:val="0"/>
        <w:spacing w:before="120" w:after="0"/>
        <w:jc w:val="left"/>
        <w:rPr>
          <w:rFonts w:ascii="Times New Roman" w:hAnsi="Times New Roman"/>
          <w:sz w:val="20"/>
        </w:rPr>
      </w:pPr>
      <w:r>
        <w:rPr>
          <w:rFonts w:ascii="Times New Roman" w:hAnsi="Times New Roman"/>
          <w:sz w:val="20"/>
        </w:rPr>
        <w:t xml:space="preserve">(iv) 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(v) extraordinary losses or charges; </w:t>
      </w:r>
    </w:p>
    <w:p>
      <w:pPr>
        <w:pStyle w:val="TextBody"/>
        <w:bidi w:val="0"/>
        <w:spacing w:before="120" w:after="0"/>
        <w:jc w:val="left"/>
        <w:rPr>
          <w:rFonts w:ascii="Times New Roman" w:hAnsi="Times New Roman"/>
          <w:sz w:val="20"/>
        </w:rPr>
      </w:pPr>
      <w:r>
        <w:rPr>
          <w:rFonts w:ascii="Times New Roman" w:hAnsi="Times New Roman"/>
          <w:sz w:val="20"/>
        </w:rPr>
        <w:t xml:space="preserve">(vi) 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(vii) restructuring charges, accruals or reserves (including restructuring and integration costs related to acquisitions and adjustments to existing reserves), whether or not classified as restructuring expense on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(viii) the amount of any non-controlling interest consisting of income attributable to non-controlling interests of third parties in any Non-Wholly Owned Subsidiary deducted (and not added back in such period) in calculating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(ix) (A)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losses on asset sales, disposals or abandonments (other than asset sales, disposals or abandonments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(xii) 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 </w:t>
      </w:r>
    </w:p>
    <w:p>
      <w:pPr>
        <w:pStyle w:val="TextBody"/>
        <w:bidi w:val="0"/>
        <w:spacing w:before="120" w:after="0"/>
        <w:jc w:val="left"/>
        <w:rPr>
          <w:rFonts w:ascii="Times New Roman" w:hAnsi="Times New Roman"/>
          <w:sz w:val="20"/>
        </w:rPr>
      </w:pPr>
      <w:r>
        <w:rPr>
          <w:rFonts w:ascii="Times New Roman" w:hAnsi="Times New Roman"/>
          <w:sz w:val="20"/>
        </w:rPr>
        <w:t xml:space="preserve">(xiii) any loss relating to amounts paid in cash prior to the stated settlement date of any hedging obligation that has been reflected in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(xiv) any gain relating to hedging obligations associated with transactions realized in the current period that has been reflected in Consolidated Net Income in prior periods and excluded from Consolidated EBITDA pursuant to clauses (c)(iv) and (c)(v) below; </w:t>
      </w:r>
    </w:p>
    <w:p>
      <w:pPr>
        <w:pStyle w:val="TextBody"/>
        <w:bidi w:val="0"/>
        <w:spacing w:before="120" w:after="0"/>
        <w:jc w:val="left"/>
        <w:rPr>
          <w:rFonts w:ascii="Times New Roman" w:hAnsi="Times New Roman"/>
          <w:sz w:val="20"/>
        </w:rPr>
      </w:pPr>
      <w:r>
        <w:rPr>
          <w:rFonts w:ascii="Times New Roman" w:hAnsi="Times New Roman"/>
          <w:sz w:val="20"/>
        </w:rPr>
        <w:t xml:space="preserve">(xv) 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(xvi)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 </w:t>
      </w:r>
    </w:p>
    <w:p>
      <w:pPr>
        <w:pStyle w:val="TextBody"/>
        <w:bidi w:val="0"/>
        <w:spacing w:before="120" w:after="0"/>
        <w:jc w:val="left"/>
        <w:rPr>
          <w:rFonts w:ascii="Times New Roman" w:hAnsi="Times New Roman"/>
          <w:sz w:val="20"/>
        </w:rPr>
      </w:pPr>
      <w:r>
        <w:rPr>
          <w:rFonts w:ascii="Times New Roman" w:hAnsi="Times New Roman"/>
          <w:sz w:val="20"/>
        </w:rPr>
        <w:t xml:space="preserve">(xvii) any other add-backs and adjustments specified in the Model; </w:t>
      </w:r>
    </w:p>
    <w:p>
      <w:pPr>
        <w:pStyle w:val="TextBody"/>
        <w:bidi w:val="0"/>
        <w:spacing w:before="120" w:after="0"/>
        <w:jc w:val="left"/>
        <w:rPr>
          <w:rFonts w:ascii="Times New Roman" w:hAnsi="Times New Roman"/>
          <w:sz w:val="20"/>
        </w:rPr>
      </w:pPr>
      <w:r>
        <w:rPr>
          <w:rFonts w:ascii="Times New Roman" w:hAnsi="Times New Roman"/>
          <w:sz w:val="20"/>
        </w:rPr>
        <w:t xml:space="preserve">(xviii) 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 </w:t>
      </w:r>
    </w:p>
    <w:p>
      <w:pPr>
        <w:pStyle w:val="TextBody"/>
        <w:bidi w:val="0"/>
        <w:spacing w:before="120" w:after="0"/>
        <w:jc w:val="left"/>
        <w:rPr>
          <w:rFonts w:ascii="Times New Roman" w:hAnsi="Times New Roman"/>
          <w:sz w:val="20"/>
        </w:rPr>
      </w:pPr>
      <w:r>
        <w:rPr>
          <w:rFonts w:ascii="Times New Roman" w:hAnsi="Times New Roman"/>
          <w:sz w:val="20"/>
        </w:rPr>
        <w:t xml:space="preserve">(xix) the amount of losses on Dispositions of accounts receivable, Securitization Assets and related assets incurred in connection with a Qualified Securitization Facility; </w:t>
      </w:r>
    </w:p>
    <w:p>
      <w:pPr>
        <w:pStyle w:val="TextBody"/>
        <w:bidi w:val="0"/>
        <w:spacing w:before="120" w:after="0"/>
        <w:jc w:val="left"/>
        <w:rPr>
          <w:rFonts w:ascii="Times New Roman" w:hAnsi="Times New Roman"/>
          <w:sz w:val="20"/>
        </w:rPr>
      </w:pPr>
      <w:r>
        <w:rPr>
          <w:rFonts w:ascii="Times New Roman" w:hAnsi="Times New Roman"/>
          <w:sz w:val="20"/>
        </w:rPr>
        <w:t xml:space="preserve">(xx) 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Public Company Costs; </w:t>
      </w:r>
    </w:p>
    <w:p>
      <w:pPr>
        <w:pStyle w:val="TextBody"/>
        <w:bidi w:val="0"/>
        <w:spacing w:before="120" w:after="0"/>
        <w:jc w:val="left"/>
        <w:rPr>
          <w:rFonts w:ascii="Times New Roman" w:hAnsi="Times New Roman"/>
          <w:sz w:val="20"/>
        </w:rPr>
      </w:pP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hAnsi="Times New Roman"/>
          <w:sz w:val="20"/>
          <w:u w:val="single"/>
        </w:rPr>
        <w:t>provided</w:t>
      </w:r>
      <w:r>
        <w:rPr>
          <w:rFonts w:ascii="Times New Roman" w:hAnsi="Times New Roman"/>
          <w:sz w:val="20"/>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(a)(vi) and (a)(vii) above or in the definition of Pro Forma Adjustment (it being understood and agreed that run rate shall mean the full recurring benefit that is associated with any action taken); </w:t>
      </w:r>
    </w:p>
    <w:p>
      <w:pPr>
        <w:pStyle w:val="TextBody"/>
        <w:bidi w:val="0"/>
        <w:spacing w:before="120" w:after="0"/>
        <w:jc w:val="left"/>
        <w:rPr>
          <w:rFonts w:ascii="Times New Roman" w:hAnsi="Times New Roman"/>
          <w:sz w:val="20"/>
        </w:rPr>
      </w:pP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without duplication and to the extent included in arriving at such Consolidated Net Income, the sum of the following amounts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extraordinary gains and unusual or non-recurring gains (other than gains arising from the receipt of business interruption insurance proceeds); </w:t>
      </w:r>
    </w:p>
    <w:p>
      <w:pPr>
        <w:pStyle w:val="TextBody"/>
        <w:bidi w:val="0"/>
        <w:spacing w:before="120" w:after="0"/>
        <w:jc w:val="left"/>
        <w:rPr>
          <w:rFonts w:ascii="Times New Roman" w:hAnsi="Times New Roman"/>
          <w:sz w:val="20"/>
        </w:rPr>
      </w:pPr>
      <w:r>
        <w:rPr>
          <w:rFonts w:ascii="Times New Roman" w:hAnsi="Times New Roman"/>
          <w:sz w:val="20"/>
        </w:rPr>
        <w:t xml:space="preserve">(ii) non-cash gains (excluding any non-cash gain to the extent it represents the reversal of an accrual or reserve for a potential cash item that reduced Consolidated Net Income or Consolidated EBITDA in any prior period); </w:t>
      </w:r>
    </w:p>
    <w:p>
      <w:pPr>
        <w:pStyle w:val="TextBody"/>
        <w:bidi w:val="0"/>
        <w:spacing w:before="120" w:after="0"/>
        <w:jc w:val="left"/>
        <w:rPr>
          <w:rFonts w:ascii="Times New Roman" w:hAnsi="Times New Roman"/>
          <w:sz w:val="20"/>
        </w:rPr>
      </w:pPr>
      <w:r>
        <w:rPr>
          <w:rFonts w:ascii="Times New Roman" w:hAnsi="Times New Roman"/>
          <w:sz w:val="20"/>
        </w:rPr>
        <w:t xml:space="preserve">(iii) gains on asset sales, disposals or abandonments (other than asset sales, disposals or abandonments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 </w:t>
      </w:r>
    </w:p>
    <w:p>
      <w:pPr>
        <w:pStyle w:val="TextBody"/>
        <w:bidi w:val="0"/>
        <w:spacing w:before="120" w:after="0"/>
        <w:jc w:val="left"/>
        <w:rPr>
          <w:rFonts w:ascii="Times New Roman" w:hAnsi="Times New Roman"/>
          <w:sz w:val="20"/>
        </w:rPr>
      </w:pPr>
      <w:r>
        <w:rPr>
          <w:rFonts w:ascii="Times New Roman" w:hAnsi="Times New Roman"/>
          <w:sz w:val="20"/>
        </w:rPr>
        <w:t xml:space="preserve">(v) any gain relating to amounts received in cash prior to the stated settlement date of any hedging obligation that has been reflected in Consolidated Net Income in such period; </w:t>
      </w:r>
    </w:p>
    <w:p>
      <w:pPr>
        <w:pStyle w:val="TextBody"/>
        <w:bidi w:val="0"/>
        <w:spacing w:before="120" w:after="0"/>
        <w:jc w:val="left"/>
        <w:rPr>
          <w:rFonts w:ascii="Times New Roman" w:hAnsi="Times New Roman"/>
          <w:sz w:val="20"/>
        </w:rPr>
      </w:pPr>
      <w:r>
        <w:rPr>
          <w:rFonts w:ascii="Times New Roman" w:hAnsi="Times New Roman"/>
          <w:sz w:val="20"/>
        </w:rPr>
        <w:t xml:space="preserve">(vi) any loss relating to hedging obligations associated with transactions realized in the current period that has been reflected in Consolidated Net Income in prior periods and excluded from Consolidated EBITDA pursuant to clauses (a)(xii) and (a)(xiii) above;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the amount of any non-controlling interest consisting of loss attributable to non-controlling interests of third parties in any Non-Wholly Owned Subsidiary added (and not deducted in such period) to Consolidated Net Income;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Times New Roman" w:hAnsi="Times New Roman"/>
          <w:sz w:val="20"/>
          <w:u w:val="single"/>
        </w:rPr>
        <w:t xml:space="preserve">minus </w:t>
      </w:r>
    </w:p>
    <w:p>
      <w:pPr>
        <w:pStyle w:val="TextBody"/>
        <w:bidi w:val="0"/>
        <w:spacing w:before="120" w:after="0"/>
        <w:jc w:val="left"/>
        <w:rPr>
          <w:rFonts w:ascii="Times New Roman" w:hAnsi="Times New Roman"/>
          <w:sz w:val="20"/>
        </w:rPr>
      </w:pPr>
      <w:r>
        <w:rPr>
          <w:rFonts w:ascii="Times New Roman" w:hAnsi="Times New Roman"/>
          <w:sz w:val="20"/>
        </w:rPr>
        <w:t xml:space="preserve">(e)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 </w:t>
      </w:r>
    </w:p>
    <w:p>
      <w:pPr>
        <w:pStyle w:val="TextBody"/>
        <w:bidi w:val="0"/>
        <w:spacing w:before="240" w:after="0"/>
        <w:jc w:val="left"/>
        <w:rPr>
          <w:rFonts w:ascii="Times New Roman" w:hAnsi="Times New Roman"/>
          <w:sz w:val="20"/>
        </w:rPr>
      </w:pPr>
      <w:r>
        <w:rPr>
          <w:rFonts w:ascii="Times New Roman" w:hAnsi="Times New Roman"/>
          <w:sz w:val="20"/>
        </w:rPr>
        <w:t>in each case, as determined on a consolidated basis for the Borrower and the Restricted Subsidiaries in accordance with GAAP;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included in Consolidated Net Income, there shall be excluded in determining Consolidated EBITDA for any period any adjustments resulting from the application of Financial Accounting Standards Codification No. 815Derivatives and Hedging, </w:t>
      </w:r>
    </w:p>
    <w:p>
      <w:pPr>
        <w:pStyle w:val="TextBody"/>
        <w:bidi w:val="0"/>
        <w:spacing w:before="120" w:after="0"/>
        <w:jc w:val="left"/>
        <w:rPr>
          <w:rFonts w:ascii="Times New Roman" w:hAnsi="Times New Roman"/>
          <w:sz w:val="20"/>
        </w:rPr>
      </w:pPr>
      <w:r>
        <w:rPr>
          <w:rFonts w:ascii="Times New Roman" w:hAnsi="Times New Roman"/>
          <w:sz w:val="20"/>
        </w:rPr>
        <w:t>(III) 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hAnsi="Times New Roman"/>
          <w:sz w:val="20"/>
          <w:u w:val="single"/>
        </w:rPr>
        <w:t>Acquired Entity or Business</w:t>
      </w:r>
      <w:r>
        <w:rPr>
          <w:rFonts w:ascii="Times New Roman" w:hAnsi="Times New Roman"/>
          <w:sz w:val="20"/>
        </w:rPr>
        <w:t>), and the Acquired EBITDA of any Unrestricted Subsidiary that is converted into a Restricted Subsidiary during such period (each, a </w:t>
      </w:r>
      <w:r>
        <w:rPr>
          <w:rFonts w:ascii="Times New Roman" w:hAnsi="Times New Roman"/>
          <w:sz w:val="20"/>
          <w:u w:val="single"/>
        </w:rPr>
        <w:t>Converted Restricted Subsidiary</w:t>
      </w:r>
      <w:r>
        <w:rPr>
          <w:rFonts w:ascii="Times New Roman" w:hAnsi="Times New Roman"/>
          <w:sz w:val="20"/>
        </w:rPr>
        <w:t xml:space="preserve">),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Times New Roman" w:hAnsi="Times New Roman"/>
          <w:sz w:val="20"/>
          <w:u w:val="single"/>
        </w:rPr>
        <w:t>Sold Entity or Business</w:t>
      </w:r>
      <w:r>
        <w:rPr>
          <w:rFonts w:ascii="Times New Roman" w:hAnsi="Times New Roman"/>
          <w:sz w:val="20"/>
        </w:rPr>
        <w:t>), and the Disposed EBITDA of any Restricted Subsidiary that is converted into an Unrestricted Subsidiary during such period (each, a </w:t>
      </w:r>
      <w:r>
        <w:rPr>
          <w:rFonts w:ascii="Times New Roman" w:hAnsi="Times New Roman"/>
          <w:sz w:val="20"/>
          <w:u w:val="single"/>
        </w:rPr>
        <w:t>Converted Unrestricted Subsidiary</w:t>
      </w:r>
      <w:r>
        <w:rPr>
          <w:rFonts w:ascii="Times New Roman" w:hAnsi="Times New Roman"/>
          <w:sz w:val="20"/>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Consolidated EBITDA shall be deemed to equal (a) $94,434,000 for the fiscal quarter ended September 30, 2019, (b) $89,137,000 for the fiscal quarter ended June 30, 2019, (c) $103,037,000 for the fiscal quarter ended March 31, 2019 and (d) $97,661,000 for the fiscal quarter ended December 31, 2018 (it being understood that such amounts are subject to adjustments, as and to the extent otherwise contemplated in this Agreement, in connection with any Pro Forma Adjustment or any calculation on a Pro Forma Basis); </w:t>
      </w:r>
      <w:r>
        <w:rPr>
          <w:rFonts w:ascii="Times New Roman" w:hAnsi="Times New Roman"/>
          <w:sz w:val="20"/>
          <w:u w:val="single"/>
        </w:rPr>
        <w:t>provided</w:t>
      </w:r>
      <w:r>
        <w:rPr>
          <w:rFonts w:ascii="Times New Roman" w:hAnsi="Times New Roman"/>
          <w:sz w:val="20"/>
        </w:rPr>
        <w:t xml:space="preserve"> that such amounts of Consolidated EBITDA for any such fiscal quarter may be further increased to include, without duplication, any adjustments that would otherwise be included pursuant to clause (b)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Interest Expense</w:t>
      </w:r>
      <w:r>
        <w:rPr>
          <w:rFonts w:ascii="Times New Roman" w:hAnsi="Times New Roman"/>
          <w:sz w:val="20"/>
        </w:rPr>
        <w:t xml:space="preserve">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Income</w:t>
      </w:r>
      <w:r>
        <w:rPr>
          <w:rFonts w:ascii="Times New Roman" w:hAnsi="Times New Roman"/>
          <w:sz w:val="20"/>
        </w:rPr>
        <w:t xml:space="preserve"> means, for any period, the net income (loss) of the Borrower and its Restricted Subsidiaries for such period determined on a consolidated basis in accordance with GAAP, excluding,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extraordinary items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(b) the cumulative effect of a change in accounting principles during such period, </w:t>
      </w:r>
    </w:p>
    <w:p>
      <w:pPr>
        <w:pStyle w:val="TextBody"/>
        <w:bidi w:val="0"/>
        <w:spacing w:before="120" w:after="0"/>
        <w:jc w:val="left"/>
        <w:rPr>
          <w:rFonts w:ascii="Times New Roman" w:hAnsi="Times New Roman"/>
          <w:sz w:val="20"/>
        </w:rPr>
      </w:pPr>
      <w:r>
        <w:rPr>
          <w:rFonts w:ascii="Times New Roman" w:hAnsi="Times New Roman"/>
          <w:sz w:val="20"/>
        </w:rPr>
        <w:t>(c) any Transaction Costs incurred during such period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 </w:t>
      </w:r>
    </w:p>
    <w:p>
      <w:pPr>
        <w:pStyle w:val="TextBody"/>
        <w:bidi w:val="0"/>
        <w:spacing w:before="120" w:after="0"/>
        <w:jc w:val="left"/>
        <w:rPr>
          <w:rFonts w:ascii="Times New Roman" w:hAnsi="Times New Roman"/>
          <w:sz w:val="20"/>
        </w:rPr>
      </w:pPr>
      <w:r>
        <w:rPr>
          <w:rFonts w:ascii="Times New Roman" w:hAnsi="Times New Roman"/>
          <w:sz w:val="20"/>
        </w:rPr>
        <w:t xml:space="preserve">(e) any income (loss) for such period attributable to the early extinguishment of Indebtedness, hedging agreements or other derivative instruments, </w:t>
      </w:r>
    </w:p>
    <w:p>
      <w:pPr>
        <w:pStyle w:val="TextBody"/>
        <w:bidi w:val="0"/>
        <w:spacing w:before="120" w:after="0"/>
        <w:jc w:val="left"/>
        <w:rPr>
          <w:rFonts w:ascii="Times New Roman" w:hAnsi="Times New Roman"/>
          <w:sz w:val="20"/>
        </w:rPr>
      </w:pPr>
      <w:r>
        <w:rPr>
          <w:rFonts w:ascii="Times New Roman" w:hAnsi="Times New Roman"/>
          <w:sz w:val="20"/>
        </w:rPr>
        <w:t xml:space="preserve">(f) 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(g) stock-based award compensation expenses, </w:t>
      </w:r>
    </w:p>
    <w:p>
      <w:pPr>
        <w:pStyle w:val="TextBody"/>
        <w:bidi w:val="0"/>
        <w:spacing w:before="120" w:after="0"/>
        <w:jc w:val="left"/>
        <w:rPr>
          <w:rFonts w:ascii="Times New Roman" w:hAnsi="Times New Roman"/>
          <w:sz w:val="20"/>
        </w:rPr>
      </w:pPr>
      <w:r>
        <w:rPr>
          <w:rFonts w:ascii="Times New Roman" w:hAnsi="Times New Roman"/>
          <w:sz w:val="20"/>
        </w:rPr>
        <w:t xml:space="preserve">(h) any income (loss) attributable to deferred compensation plans or trusts, </w:t>
      </w:r>
    </w:p>
    <w:p>
      <w:pPr>
        <w:pStyle w:val="TextBody"/>
        <w:bidi w:val="0"/>
        <w:spacing w:before="120" w:after="0"/>
        <w:jc w:val="left"/>
        <w:rPr>
          <w:rFonts w:ascii="Times New Roman" w:hAnsi="Times New Roman"/>
          <w:sz w:val="20"/>
        </w:rPr>
      </w:pPr>
      <w:r>
        <w:rPr>
          <w:rFonts w:ascii="Times New Roman" w:hAnsi="Times New Roman"/>
          <w:sz w:val="20"/>
        </w:rPr>
        <w:t xml:space="preserve">(i) any income (loss) from Investments recorded using the equity method, and </w:t>
      </w:r>
    </w:p>
    <w:p>
      <w:pPr>
        <w:pStyle w:val="TextBody"/>
        <w:bidi w:val="0"/>
        <w:spacing w:before="120" w:after="0"/>
        <w:jc w:val="left"/>
        <w:rPr>
          <w:rFonts w:ascii="Times New Roman" w:hAnsi="Times New Roman"/>
          <w:sz w:val="20"/>
        </w:rPr>
      </w:pPr>
      <w:r>
        <w:rPr>
          <w:rFonts w:ascii="Times New Roman" w:hAnsi="Times New Roman"/>
          <w:sz w:val="20"/>
        </w:rPr>
        <w:t xml:space="preserve">(j) the amount of any expense required to be recorded as compensation expense related to contingent transaction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Senior Secured First Lien Net Indebtedness</w:t>
      </w:r>
      <w:r>
        <w:rPr>
          <w:rFonts w:ascii="Times New Roman" w:hAnsi="Times New Roman"/>
          <w:sz w:val="20"/>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any asset of the Borrower or any of the Restricted Subsidiaries that is not expressly subordinated to Liens on any asset of the Borrower or any of the Restricted Subsidiaries securing the First Lien Loan Document Obligations (including, for the avoidance of doubt, the First Lien Loan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hAnsi="Times New Roman"/>
          <w:sz w:val="20"/>
          <w:u w:val="single"/>
        </w:rPr>
        <w:t>minus</w:t>
      </w:r>
      <w:r>
        <w:rPr>
          <w:rFonts w:ascii="Times New Roman" w:hAnsi="Times New Roman"/>
          <w:sz w:val="20"/>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hAnsi="Times New Roman"/>
          <w:sz w:val="20"/>
          <w:u w:val="single"/>
        </w:rPr>
        <w:t>pari passu</w:t>
      </w:r>
      <w:r>
        <w:rPr>
          <w:rFonts w:ascii="Times New Roman" w:hAnsi="Times New Roman"/>
          <w:sz w:val="20"/>
        </w:rPr>
        <w:t xml:space="preserve"> or junior lien on the Collateral along with the Secured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Senior Secured Indebtedness</w:t>
      </w:r>
      <w:r>
        <w:rPr>
          <w:rFonts w:ascii="Times New Roman" w:hAnsi="Times New Roman"/>
          <w:sz w:val="20"/>
        </w:rPr>
        <w:t xml:space="preserve"> means, as of any date of determination, the aggregate amount of Indebtedness of the Borrower and its Restricted Subsidiaries outstanding on such date that is not subordinated in right of payment to the First Lien Loan Document Obligations and that is not subordinated in right of payment to the Second Lien Debt Document Obligations and that is secured by a Lien on any asset of the Borrower or any of the Restricted Subsidiaries (including, for the avoidance of doubt, the First Lien Loan Document Obligations and the Second Lien Debt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hAnsi="Times New Roman"/>
          <w:sz w:val="20"/>
          <w:u w:val="single"/>
        </w:rPr>
        <w:t>minus</w:t>
      </w:r>
      <w:r>
        <w:rPr>
          <w:rFonts w:ascii="Times New Roman" w:hAnsi="Times New Roman"/>
          <w:sz w:val="20"/>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Times New Roman" w:hAnsi="Times New Roman"/>
          <w:sz w:val="20"/>
          <w:u w:val="single"/>
        </w:rPr>
        <w:t>pari passu</w:t>
      </w:r>
      <w:r>
        <w:rPr>
          <w:rFonts w:ascii="Times New Roman" w:hAnsi="Times New Roman"/>
          <w:sz w:val="20"/>
        </w:rPr>
        <w:t xml:space="preserve"> basis with, or a junior lien basis to, the Secured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Total Net Indebtedness</w:t>
      </w:r>
      <w:r>
        <w:rPr>
          <w:rFonts w:ascii="Times New Roman" w:hAnsi="Times New Roman"/>
          <w:sz w:val="20"/>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hAnsi="Times New Roman"/>
          <w:sz w:val="20"/>
          <w:u w:val="single"/>
        </w:rPr>
        <w:t>minus</w:t>
      </w:r>
      <w:r>
        <w:rPr>
          <w:rFonts w:ascii="Times New Roman" w:hAnsi="Times New Roman"/>
          <w:sz w:val="20"/>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hAnsi="Times New Roman"/>
          <w:sz w:val="20"/>
          <w:u w:val="single"/>
        </w:rPr>
        <w:t>pari passu</w:t>
      </w:r>
      <w:r>
        <w:rPr>
          <w:rFonts w:ascii="Times New Roman" w:hAnsi="Times New Roman"/>
          <w:sz w:val="20"/>
        </w:rPr>
        <w:t xml:space="preserve"> or junior lien on the Collateral along with the Secured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Working Capital</w:t>
      </w:r>
      <w:r>
        <w:rPr>
          <w:rFonts w:ascii="Times New Roman" w:hAnsi="Times New Roman"/>
          <w:sz w:val="20"/>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Times New Roman" w:hAnsi="Times New Roman"/>
          <w:sz w:val="20"/>
          <w:u w:val="single"/>
        </w:rPr>
        <w:t>over</w:t>
      </w:r>
      <w:r>
        <w:rPr>
          <w:rFonts w:ascii="Times New Roman" w:hAnsi="Times New Roman"/>
          <w:sz w:val="20"/>
        </w:rPr>
        <w:t xml:space="preserve"> (b) the sum of all amounts that would, in conformity with GAAP, be set forth opposite the caption total current liabilities (or any like caption)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 </w:t>
      </w:r>
      <w:r>
        <w:rPr>
          <w:rFonts w:ascii="Times New Roman" w:hAnsi="Times New Roman"/>
          <w:sz w:val="20"/>
          <w:u w:val="single"/>
        </w:rPr>
        <w:t>provided</w:t>
      </w:r>
      <w:r>
        <w:rPr>
          <w:rFonts w:ascii="Times New Roman" w:hAnsi="Times New Roman"/>
          <w:sz w:val="20"/>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 Consideration</w:t>
      </w:r>
      <w:r>
        <w:rPr>
          <w:rFonts w:ascii="Times New Roman" w:hAnsi="Times New Roman"/>
          <w:sz w:val="20"/>
        </w:rPr>
        <w:t xml:space="preserve"> has the meaning assigned to such term in the definition of Excess Cash Flow.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Converted Restricted Subsidiary</w:t>
      </w:r>
      <w:r>
        <w:rPr>
          <w:rFonts w:ascii="Times New Roman" w:hAnsi="Times New Roman"/>
          <w:sz w:val="20"/>
        </w:rPr>
        <w:t xml:space="preserve"> has the meaning given such term in the definition of Consolidated EBITDA.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Converted Unrestricted Subsidiary</w:t>
      </w:r>
      <w:r>
        <w:rPr>
          <w:rFonts w:ascii="Times New Roman" w:hAnsi="Times New Roman"/>
          <w:sz w:val="20"/>
        </w:rPr>
        <w:t xml:space="preserve"> has the meaning given such term in the definition of Consolidated EBITDA.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Copyright</w:t>
      </w:r>
      <w:r>
        <w:rPr>
          <w:rFonts w:ascii="Times New Roman" w:hAnsi="Times New Roman"/>
          <w:sz w:val="20"/>
        </w:rPr>
        <w:t xml:space="preserve"> has the meaning assigned to such term in the First Lien Collateral Agreement.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CORRA means the Canadian Overnight Repo Rate Average administered and published by the Bank of Canada (or any successor administrator of the Canadian Overnight Repo Rate Average).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Jurisdiction</w:t>
      </w:r>
      <w:r>
        <w:rPr>
          <w:rFonts w:ascii="Times New Roman" w:hAnsi="Times New Roman"/>
          <w:sz w:val="20"/>
        </w:rPr>
        <w:t xml:space="preserve"> means each of (a) the United States (or any state, commonwealth or territory thereof or the District of Columbia) and (b) any other jurisdiction as agreed in writing by the First Lien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Agreement Refinancing Indebtedness</w:t>
      </w:r>
      <w:r>
        <w:rPr>
          <w:rFonts w:ascii="Times New Roman" w:hAnsi="Times New Roman"/>
          <w:sz w:val="20"/>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Times New Roman" w:hAnsi="Times New Roman"/>
          <w:sz w:val="20"/>
          <w:u w:val="single"/>
        </w:rPr>
        <w:t>Refinanced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(i)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guaranteed by any entity that is not a Loan Party, (d) in the case of any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or (y) the Revolving Lenders or the Lenders under the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 (iii) only applicable after the Latest Maturity Date at the time of such refinancing);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 (y) such Credit Agreement Refinancing Indebtedness. Notwithstanding anything to the contrary, no Credit Agreement Refinancing Indebtedness shall be subject to any most favored nation pricing adjustments set forth in this Agreement. </w:t>
      </w:r>
    </w:p>
    <w:p>
      <w:pPr>
        <w:pStyle w:val="TextBody"/>
        <w:bidi w:val="0"/>
        <w:spacing w:before="240" w:after="0"/>
        <w:jc w:val="left"/>
        <w:rPr>
          <w:rFonts w:ascii="Times New Roman" w:hAnsi="Times New Roman"/>
          <w:sz w:val="20"/>
        </w:rPr>
      </w:pPr>
      <w:r>
        <w:rPr>
          <w:rFonts w:ascii="Times New Roman" w:hAnsi="Times New Roman"/>
          <w:strike/>
          <w:color w:val="FF0000"/>
          <w:sz w:val="20"/>
        </w:rPr>
        <w:t></w:t>
      </w:r>
      <w:r>
        <w:rPr>
          <w:rFonts w:ascii="Times New Roman" w:hAnsi="Times New Roman"/>
          <w:strike/>
          <w:color w:val="FF0000"/>
          <w:sz w:val="20"/>
          <w:u w:val="single"/>
        </w:rPr>
        <w:t>Credit Suisse Letter of Credit Sublimit</w:t>
      </w:r>
      <w:r>
        <w:rPr>
          <w:rFonts w:ascii="Times New Roman" w:hAnsi="Times New Roman"/>
          <w:strike/>
          <w:color w:val="FF0000"/>
          <w:sz w:val="20"/>
        </w:rPr>
        <w:t> means an amount equal to the amount listed on Schedule 2.01 as amended by Amendment No. 2. Letters of Credit issued pursuant to the Credit Suisse Letter of Credit Sublimit will be issued by Credit Suisse AG, New York Branch in its capacity as an Issuing Bank.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Cure Amount</w:t>
      </w:r>
      <w:r>
        <w:rPr>
          <w:rFonts w:ascii="Times New Roman" w:hAnsi="Times New Roman"/>
          <w:sz w:val="20"/>
        </w:rPr>
        <w:t xml:space="preserve"> has the meaning assigned to such term in Section 7.02(a).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Cure Right</w:t>
      </w:r>
      <w:r>
        <w:rPr>
          <w:rFonts w:ascii="Times New Roman" w:hAnsi="Times New Roman"/>
          <w:sz w:val="20"/>
        </w:rPr>
        <w:t xml:space="preserve"> has the meaning assigned to such term in Section 7.02(a).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Customary Intercreditor Agreement</w:t>
      </w:r>
      <w:r>
        <w:rPr>
          <w:rFonts w:ascii="Times New Roman" w:hAnsi="Times New Roman"/>
          <w:sz w:val="20"/>
        </w:rPr>
        <w:t xml:space="preserve">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RFR</w:t>
      </w:r>
      <w:r>
        <w:rPr>
          <w:rFonts w:ascii="Times New Roman" w:hAnsi="Times New Roman"/>
          <w:sz w:val="20"/>
        </w:rPr>
        <w:t> means, for any day (an </w:t>
      </w:r>
      <w:r>
        <w:rPr>
          <w:rFonts w:ascii="Times New Roman" w:hAnsi="Times New Roman"/>
          <w:sz w:val="20"/>
          <w:u w:val="single"/>
        </w:rPr>
        <w:t>RFR Interest Day</w:t>
      </w:r>
      <w:r>
        <w:rPr>
          <w:rFonts w:ascii="Times New Roman" w:hAnsi="Times New Roman"/>
          <w:sz w:val="20"/>
        </w:rPr>
        <w:t xml:space="preserve">), an interest rate per annum equal to, for any RFR Loan denominated in (i) Sterling, Adjusted Daily Simple SONIA for the day that is 5 RFR Business Days prior to (A) if such RFR Interest Day is an RFR Business Day, such RFR Interest Day or (B) if such RFR Interest Day is not an RFR Business Day, the RFR Business Day immediately preceding such RFR, and (ii) Dollars, Adjusted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xml:space="preserve">), a rate per annum equal to SOFR for the day that is five (5) 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SONIA</w:t>
      </w:r>
      <w:r>
        <w:rPr>
          <w:rFonts w:ascii="Times New Roman" w:hAnsi="Times New Roman"/>
          <w:sz w:val="20"/>
        </w:rPr>
        <w:t> means, for any day (a </w:t>
      </w:r>
      <w:r>
        <w:rPr>
          <w:rFonts w:ascii="Times New Roman" w:hAnsi="Times New Roman"/>
          <w:sz w:val="20"/>
          <w:u w:val="single"/>
        </w:rPr>
        <w:t>SONIA Interest Day</w:t>
      </w:r>
      <w:r>
        <w:rPr>
          <w:rFonts w:ascii="Times New Roman" w:hAnsi="Times New Roman"/>
          <w:sz w:val="20"/>
        </w:rPr>
        <w:t xml:space="preserve">),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upon notice, lapse of time or both would, unless cured or waived, become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Defaulting Lender</w:t>
      </w:r>
      <w:r>
        <w:rPr>
          <w:rFonts w:ascii="Times New Roman" w:hAnsi="Times New Roman"/>
          <w:sz w:val="20"/>
        </w:rPr>
        <w:t xml:space="preserve">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Defaulting Lender Fronting Exposure</w:t>
      </w:r>
      <w:r>
        <w:rPr>
          <w:rFonts w:ascii="Times New Roman" w:hAnsi="Times New Roman"/>
          <w:sz w:val="20"/>
        </w:rPr>
        <w:t xml:space="preserve">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Prepayment Accepting Lender</w:t>
      </w:r>
      <w:r>
        <w:rPr>
          <w:rFonts w:ascii="Times New Roman" w:hAnsi="Times New Roman"/>
          <w:sz w:val="20"/>
        </w:rPr>
        <w:t xml:space="preserve"> has the meaning assigned to such term in Section 2.11(a)(ii)(B)(2).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Range</w:t>
      </w:r>
      <w:r>
        <w:rPr>
          <w:rFonts w:ascii="Times New Roman" w:hAnsi="Times New Roman"/>
          <w:sz w:val="20"/>
        </w:rPr>
        <w:t xml:space="preserve"> has the meaning assigned to such term in Section 2.11(a)(ii)(C)(1).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Range Prepayment Amount</w:t>
      </w:r>
      <w:r>
        <w:rPr>
          <w:rFonts w:ascii="Times New Roman" w:hAnsi="Times New Roman"/>
          <w:sz w:val="20"/>
        </w:rPr>
        <w:t xml:space="preserve"> has the meaning assigned to such term in Section 2.11(a)(ii)(C)(1).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Range Prepayment Notice</w:t>
      </w:r>
      <w:r>
        <w:rPr>
          <w:rFonts w:ascii="Times New Roman" w:hAnsi="Times New Roman"/>
          <w:sz w:val="20"/>
        </w:rPr>
        <w:t xml:space="preserve"> means a written notice of a Borrower Solicitation of Discount Range Prepayment Offers made pursuant to Section 2.11(a)(ii)(C) substantially in the form of Exhibit 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Range Prepayment Offer</w:t>
      </w:r>
      <w:r>
        <w:rPr>
          <w:rFonts w:ascii="Times New Roman" w:hAnsi="Times New Roman"/>
          <w:sz w:val="20"/>
        </w:rPr>
        <w:t xml:space="preserve"> means the irrevocable written offer by a Term Lender, substantially in the form of Exhibit J, submitted in response to an invitation to submit offers following the Auction Agents receipt of a Discount Range Prepayment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Range Prepayment Response Date</w:t>
      </w:r>
      <w:r>
        <w:rPr>
          <w:rFonts w:ascii="Times New Roman" w:hAnsi="Times New Roman"/>
          <w:sz w:val="20"/>
        </w:rPr>
        <w:t xml:space="preserve"> has the meaning assigned to such term in Section 2.11(a)(ii)(C)(1).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 Range Proration</w:t>
      </w:r>
      <w:r>
        <w:rPr>
          <w:rFonts w:ascii="Times New Roman" w:hAnsi="Times New Roman"/>
          <w:sz w:val="20"/>
        </w:rPr>
        <w:t xml:space="preserve"> has the meaning assigned to such term in Section 2.11(a)(ii)(C)(3).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Discounted Prepayment Determination Date</w:t>
      </w:r>
      <w:r>
        <w:rPr>
          <w:rFonts w:ascii="Times New Roman" w:hAnsi="Times New Roman"/>
          <w:sz w:val="20"/>
        </w:rPr>
        <w:t xml:space="preserve"> has the meaning assigned to such term in Section 2.11(a)(ii)(D)(3).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Discounted Prepayment Effective Date</w:t>
      </w:r>
      <w:r>
        <w:rPr>
          <w:rFonts w:ascii="Times New Roman" w:hAnsi="Times New Roman"/>
          <w:sz w:val="20"/>
        </w:rPr>
        <w:t xml:space="preserve">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Discounted Term Loan Prepayment</w:t>
      </w:r>
      <w:r>
        <w:rPr>
          <w:rFonts w:ascii="Times New Roman" w:hAnsi="Times New Roman"/>
          <w:sz w:val="20"/>
        </w:rPr>
        <w:t xml:space="preserve"> has the meaning assigned to such term in Section 2.11(a)(ii)(A).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Dispose</w:t>
      </w:r>
      <w:r>
        <w:rPr>
          <w:rFonts w:ascii="Times New Roman" w:hAnsi="Times New Roman"/>
          <w:sz w:val="20"/>
        </w:rPr>
        <w:t> and </w:t>
      </w:r>
      <w:r>
        <w:rPr>
          <w:rFonts w:ascii="Times New Roman" w:hAnsi="Times New Roman"/>
          <w:sz w:val="20"/>
          <w:u w:val="single"/>
        </w:rPr>
        <w:t>Disposition</w:t>
      </w:r>
      <w:r>
        <w:rPr>
          <w:rFonts w:ascii="Times New Roman" w:hAnsi="Times New Roman"/>
          <w:sz w:val="20"/>
        </w:rPr>
        <w:t xml:space="preserve"> each has the meaning assigned to such term in Section 6.05.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Disposed EBITDA</w:t>
      </w:r>
      <w:r>
        <w:rPr>
          <w:rFonts w:ascii="Times New Roman" w:hAnsi="Times New Roman"/>
          <w:sz w:val="20"/>
        </w:rPr>
        <w:t xml:space="preserve">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Equity Interest</w:t>
      </w:r>
      <w:r>
        <w:rPr>
          <w:rFonts w:ascii="Times New Roman" w:hAnsi="Times New Roman"/>
          <w:sz w:val="20"/>
        </w:rPr>
        <w:t xml:space="preserve">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(a) matures or is mandatorily redeemable (other than solely for Equity Interests in such Person that do not constitute Disqualified Equity Interests and cash in lieu of fractional shares of such Equity Interests), whether pursuant to a sinking fund obligation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 </w:t>
      </w:r>
    </w:p>
    <w:p>
      <w:pPr>
        <w:pStyle w:val="TextBody"/>
        <w:bidi w:val="0"/>
        <w:spacing w:before="120" w:after="0"/>
        <w:jc w:val="left"/>
        <w:rPr>
          <w:rFonts w:ascii="Times New Roman" w:hAnsi="Times New Roman"/>
          <w:sz w:val="20"/>
        </w:rPr>
      </w:pPr>
      <w:r>
        <w:rPr>
          <w:rFonts w:ascii="Times New Roman" w:hAnsi="Times New Roman"/>
          <w:sz w:val="20"/>
        </w:rPr>
        <w:t xml:space="preserve">(c) 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in each case, on or prior to the date ninety-one (91) days after the Latest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Lenders</w:t>
      </w:r>
      <w:r>
        <w:rPr>
          <w:rFonts w:ascii="Times New Roman" w:hAnsi="Times New Roman"/>
          <w:sz w:val="20"/>
        </w:rPr>
        <w:t> means</w:t>
      </w:r>
      <w:r>
        <w:rPr>
          <w:rFonts w:ascii="Times New Roman" w:hAnsi="Times New Roman"/>
          <w:color w:val="0000FF"/>
          <w:sz w:val="20"/>
          <w:u w:val="single"/>
          <w:bdr w:val="double" w:sz="2" w:space="1" w:color="000000"/>
        </w:rPr>
        <w:t>,</w:t>
      </w:r>
      <w:r>
        <w:rPr>
          <w:rFonts w:ascii="Times New Roman" w:hAnsi="Times New Roman"/>
          <w:sz w:val="20"/>
        </w:rPr>
        <w:t xml:space="preserve"> (i) those Persons identified by the Borrower to the First Lien Administrative Agent in writing </w:t>
      </w:r>
      <w:r>
        <w:rPr>
          <w:rFonts w:ascii="Times New Roman" w:hAnsi="Times New Roman"/>
          <w:color w:val="0000FF"/>
          <w:sz w:val="20"/>
          <w:u w:val="single"/>
          <w:bdr w:val="double" w:sz="2" w:space="1" w:color="000000"/>
        </w:rPr>
        <w:t xml:space="preserve">(x) with respect to the Term Loans, </w:t>
      </w:r>
      <w:r>
        <w:rPr>
          <w:rFonts w:ascii="Times New Roman" w:hAnsi="Times New Roman"/>
          <w:sz w:val="20"/>
        </w:rPr>
        <w:t>prior to November 21, 2019 as being Disqualified Lenders</w:t>
      </w:r>
      <w:r>
        <w:rPr>
          <w:rFonts w:ascii="Times New Roman" w:hAnsi="Times New Roman"/>
          <w:color w:val="0000FF"/>
          <w:sz w:val="20"/>
          <w:u w:val="single"/>
          <w:bdr w:val="double" w:sz="2" w:space="1" w:color="000000"/>
        </w:rPr>
        <w:t xml:space="preserve"> and (y) with respect to the Revolving Loans, (I) prior to the Amendment No. 3 Effective Date as being Disqualified Lenders or (II) in writing on or after the Amendment No. 3 Effective Date with the consent of the First Lien Administrative Agent (such consent not to be unreasonably withheld, conditioned or delayed) as being Disqualified Lenders,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or Commitment prior to such second Business Day after such written designation</w:t>
      </w:r>
      <w:r>
        <w:rPr>
          <w:rFonts w:ascii="Times New Roman" w:hAnsi="Times New Roman"/>
          <w:sz w:val="20"/>
        </w:rPr>
        <w:t>,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(v) any Lender that has made an incorrect representation or warranty or deemed representation or warranty with respect to not being a Net Short Lender, in each case as provided in the final sentence of Section 9.02(h)</w:t>
      </w:r>
      <w:r>
        <w:rPr>
          <w:rFonts w:ascii="Times New Roman" w:hAnsi="Times New Roman"/>
          <w:color w:val="0000FF"/>
          <w:sz w:val="20"/>
          <w:u w:val="single"/>
          <w:bdr w:val="double" w:sz="2" w:space="1" w:color="000000"/>
        </w:rPr>
        <w:t xml:space="preserve"> or (vi) solely with respect to the Revolving Loans, any Lender that informs the First Lien Administrative Agent that it is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Net Short Lender</w:t>
      </w:r>
      <w:r>
        <w:rPr>
          <w:rFonts w:ascii="Times New Roman" w:hAnsi="Times New Roman"/>
          <w:sz w:val="20"/>
        </w:rPr>
        <w:t xml:space="preserve">.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 Amount</w:t>
      </w:r>
      <w:r>
        <w:rPr>
          <w:rFonts w:ascii="Times New Roman" w:hAnsi="Times New Roman"/>
          <w:sz w:val="20"/>
        </w:rPr>
        <w:t xml:space="preserve"> means, at any time: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 amount denominated in Dollars, such amount;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 Foreign Holdco</w:t>
      </w:r>
      <w:r>
        <w:rPr>
          <w:rFonts w:ascii="Times New Roman" w:hAnsi="Times New Roman"/>
          <w:sz w:val="20"/>
        </w:rPr>
        <w:t xml:space="preserve"> means any Subsidiary substantially all of whose assets (directly and/or indirectly through one or more Subsidiaries) are capital stock (and, if applicable, debt) of one or more Subsidiaries that are CFCs.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ECF Percentage</w:t>
      </w:r>
      <w:r>
        <w:rPr>
          <w:rFonts w:ascii="Times New Roman" w:hAnsi="Times New Roman"/>
          <w:sz w:val="20"/>
        </w:rPr>
        <w:t xml:space="preserve">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Financial Institution</w:t>
      </w:r>
      <w:r>
        <w:rPr>
          <w:rFonts w:ascii="Times New Roman" w:hAnsi="Times New Roman"/>
          <w:sz w:val="20"/>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Member Country</w:t>
      </w:r>
      <w:r>
        <w:rPr>
          <w:rFonts w:ascii="Times New Roman" w:hAnsi="Times New Roman"/>
          <w:sz w:val="20"/>
        </w:rPr>
        <w:t xml:space="preserve"> shall mean any of the member states of the European Union, Iceland, Liechtenstein, Norway and the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Resolution Authority</w:t>
      </w:r>
      <w:r>
        <w:rPr>
          <w:rFonts w:ascii="Times New Roman" w:hAnsi="Times New Roman"/>
          <w:sz w:val="20"/>
        </w:rPr>
        <w:t xml:space="preserve"> shall mean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means December 13, 2019.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Yield</w:t>
      </w:r>
      <w:r>
        <w:rPr>
          <w:rFonts w:ascii="Times New Roman" w:hAnsi="Times New Roman"/>
          <w:sz w:val="20"/>
        </w:rPr>
        <w:t xml:space="preserve">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Section 3(d) of Refinancing Amendment No. 1, any original issue discount, upfront fees or other fees payable in connection with the Refinancing Amendment No. 1 Term Loans issued on the Refinancing Amendment No. 1 Effective Date; </w:t>
      </w:r>
      <w:r>
        <w:rPr>
          <w:rFonts w:ascii="Times New Roman" w:hAnsi="Times New Roman"/>
          <w:sz w:val="20"/>
          <w:u w:val="single"/>
        </w:rPr>
        <w:t>provided</w:t>
      </w:r>
      <w:r>
        <w:rPr>
          <w:rFonts w:ascii="Times New Roman" w:hAnsi="Times New Roman"/>
          <w:sz w:val="20"/>
        </w:rPr>
        <w:t xml:space="preserve"> that with respect to any Indebtedness that includes a SOFR floor or Base Rate floor, (i) to the extent that the Term SOFR Reference Rate (with an Interest Period of three months), SOFR,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Term SOFR Reference Rate (with an Interest Period of three months), SOFR or the Alternate Base Rate (without giving effect to any floors in such definitions), as applicable, on the date that the Effective Yield is being calculated is greater than such floor, then the floor shall be disregarded in calculating the Effective Yield.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Assignee</w:t>
      </w:r>
      <w:r>
        <w:rPr>
          <w:rFonts w:ascii="Times New Roman" w:hAnsi="Times New Roman"/>
          <w:sz w:val="20"/>
        </w:rPr>
        <w:t xml:space="preserve"> means (a) a Lender, (b) an Affiliate of a Lender, (c) an Approved Fund and (d) any other Person (other than Holdings, any Intermediate Parent, the Borrower or any of their respective Affiliates), other than, in each case, (i) a natural person, (ii) a Defaulting Lender or (iii) 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EMU Legislation</w:t>
      </w:r>
      <w:r>
        <w:rPr>
          <w:rFonts w:ascii="Times New Roman" w:hAnsi="Times New Roman"/>
          <w:sz w:val="20"/>
        </w:rPr>
        <w:t xml:space="preserve"> means the legislative measures of the European Council for the introduction of, changeover to or operation of a single or unified European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Liability</w:t>
      </w:r>
      <w:r>
        <w:rPr>
          <w:rFonts w:ascii="Times New Roman" w:hAnsi="Times New Roman"/>
          <w:sz w:val="20"/>
        </w:rPr>
        <w:t xml:space="preserve">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Event</w:t>
      </w:r>
      <w:r>
        <w:rPr>
          <w:rFonts w:ascii="Times New Roman" w:hAnsi="Times New Roman"/>
          <w:sz w:val="20"/>
        </w:rPr>
        <w:t xml:space="preserve">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shall mean the EU Bail-In Legislation Schedule published by the Loan Market Association (or any successor person),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EURIBOR Interpolated Rate</w:t>
      </w:r>
      <w:r>
        <w:rPr>
          <w:rFonts w:ascii="Times New Roman" w:hAnsi="Times New Roman"/>
          <w:sz w:val="20"/>
        </w:rPr>
        <w:t xml:space="preserve"> 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EURIBOR</w:t>
      </w:r>
      <w:r>
        <w:rPr>
          <w:rFonts w:ascii="Times New Roman" w:hAnsi="Times New Roman"/>
          <w:sz w:val="20"/>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 w:hAnsi="Times New Roman"/>
          <w:sz w:val="20"/>
          <w:u w:val="single"/>
        </w:rPr>
        <w:t>Impacted EURIBOR Rate Interest Period</w:t>
      </w:r>
      <w:r>
        <w:rPr>
          <w:rFonts w:ascii="Times New Roman" w:hAnsi="Times New Roman"/>
          <w:sz w:val="20"/>
        </w:rPr>
        <w:t xml:space="preserve">) with respect to Euros then EURIBOR shall be the EURIBOR Interpolated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EURIBOR Screen Rate</w:t>
      </w:r>
      <w:r>
        <w:rPr>
          <w:rFonts w:ascii="Times New Roman" w:hAnsi="Times New Roman"/>
          <w:sz w:val="20"/>
        </w:rPr>
        <w:t xml:space="preserve"> 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w:t>
      </w:r>
      <w:r>
        <w:rPr>
          <w:rFonts w:ascii="Times New Roman" w:hAnsi="Times New Roman"/>
          <w:sz w:val="20"/>
        </w:rPr>
        <w:t xml:space="preserve"> means the lawful single currency of the European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assigned to such term in Section 7.01.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Excess Cash Flow</w:t>
      </w:r>
      <w:r>
        <w:rPr>
          <w:rFonts w:ascii="Times New Roman" w:hAnsi="Times New Roman"/>
          <w:sz w:val="20"/>
        </w:rPr>
        <w:t xml:space="preserve"> means, for any period, an amount equal to the excess of: </w:t>
      </w:r>
    </w:p>
    <w:p>
      <w:pPr>
        <w:pStyle w:val="TextBody"/>
        <w:bidi w:val="0"/>
        <w:spacing w:before="120" w:after="0"/>
        <w:jc w:val="left"/>
        <w:rPr>
          <w:rFonts w:ascii="Times New Roman" w:hAnsi="Times New Roman"/>
          <w:sz w:val="20"/>
        </w:rPr>
      </w:pPr>
      <w:r>
        <w:rPr>
          <w:rFonts w:ascii="Times New Roman" w:hAnsi="Times New Roman"/>
          <w:sz w:val="20"/>
        </w:rPr>
        <w:t xml:space="preserve">(a)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(ii) an amount equal to the amount of all Non-Cash Charges to the extent deducted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(iii) decreases in Consolidated Working Capital and long-term account receivables for such period (other than decreases relating to Dispositions permitted pursuant to Section 6.05(h) or Section 6.05(o))</w:t>
      </w:r>
      <w:r>
        <w:rPr>
          <w:rFonts w:ascii="Times New Roman" w:hAnsi="Times New Roman"/>
          <w:b/>
          <w:sz w:val="20"/>
        </w:rPr>
        <w:t>,</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Times New Roman" w:hAnsi="Times New Roman"/>
          <w:sz w:val="20"/>
          <w:u w:val="single"/>
        </w:rPr>
        <w:t>less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an amount equal to the aggregate net non-cash gain on dispositions by the Borrower and its Restricted Subsidiaries during such period (other than dispositions in the ordinary course of business) to the extent included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(iv) increases in Consolidated Working Capital and long-term account receivables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cash payments by the Borrower and its Restricted Subsidiaries during such period in respect of long-term liabilities of the Borrower and its Restricted Subsidiaries other than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 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(vii) cash payments by the Borrower and its Restricted Subsidiaries during such period in respect of Non-Cash Charges included in the calculation of Consolidated Net Income in any prior period, </w:t>
      </w:r>
    </w:p>
    <w:p>
      <w:pPr>
        <w:pStyle w:val="TextBody"/>
        <w:bidi w:val="0"/>
        <w:spacing w:before="120" w:after="0"/>
        <w:jc w:val="left"/>
        <w:rPr>
          <w:rFonts w:ascii="Times New Roman" w:hAnsi="Times New Roman"/>
          <w:sz w:val="20"/>
        </w:rPr>
      </w:pPr>
      <w:r>
        <w:rPr>
          <w:rFonts w:ascii="Times New Roman" w:hAnsi="Times New Roman"/>
          <w:sz w:val="20"/>
        </w:rPr>
        <w:t xml:space="preserve">(viii) the aggregate amount of any premium, make-whole or penalty payments actually paid in cash by the Borrower and its Restricted Subsidiaries during such period that are required to be made in connection with any prepayment of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(ix) the amount of taxes (including penalties and interest) paid in cash and/or tax reserves set aside or payable (without duplication) in such period to the extent they exceed the amount of tax expense deducted in determining Consolidated Net Income for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Affiliates</w:t>
      </w:r>
      <w:r>
        <w:rPr>
          <w:rFonts w:ascii="Times New Roman" w:hAnsi="Times New Roman"/>
          <w:sz w:val="20"/>
        </w:rPr>
        <w:t xml:space="preserve">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Assets</w:t>
      </w:r>
      <w:r>
        <w:rPr>
          <w:rFonts w:ascii="Times New Roman" w:hAnsi="Times New Roman"/>
          <w:sz w:val="20"/>
        </w:rPr>
        <w:t xml:space="preserve">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Equity Interests</w:t>
      </w:r>
      <w:r>
        <w:rPr>
          <w:rFonts w:ascii="Times New Roman" w:hAnsi="Times New Roman"/>
          <w:sz w:val="20"/>
        </w:rPr>
        <w:t xml:space="preserve">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Information</w:t>
      </w:r>
      <w:r>
        <w:rPr>
          <w:rFonts w:ascii="Times New Roman" w:hAnsi="Times New Roman"/>
          <w:sz w:val="20"/>
        </w:rPr>
        <w:t xml:space="preserve"> has the meaning assigned to such term in Section 2.11(a)(ii)(A).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Subsidiary</w:t>
      </w:r>
      <w:r>
        <w:rPr>
          <w:rFonts w:ascii="Times New Roman" w:hAnsi="Times New Roman"/>
          <w:sz w:val="20"/>
        </w:rPr>
        <w:t xml:space="preserve">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Times New Roman" w:hAnsi="Times New Roman"/>
          <w:sz w:val="20"/>
          <w:u w:val="single"/>
        </w:rPr>
        <w:t>Section 6.01</w:t>
      </w:r>
      <w:r>
        <w:rPr>
          <w:rFonts w:ascii="Times New Roman" w:hAnsi="Times New Roman"/>
          <w:sz w:val="20"/>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Times New Roman" w:hAnsi="Times New Roman"/>
          <w:sz w:val="20"/>
          <w:u w:val="single"/>
        </w:rPr>
        <w:t>provided</w:t>
      </w:r>
      <w:r>
        <w:rPr>
          <w:rFonts w:ascii="Times New Roman" w:hAnsi="Times New Roman"/>
          <w:sz w:val="20"/>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Times New Roman" w:hAnsi="Times New Roman"/>
          <w:sz w:val="20"/>
          <w:u w:val="single"/>
        </w:rPr>
        <w:t>provided further</w:t>
      </w:r>
      <w:r>
        <w:rPr>
          <w:rFonts w:ascii="Times New Roman" w:hAnsi="Times New Roman"/>
          <w:sz w:val="20"/>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Swap Obligation</w:t>
      </w:r>
      <w:r>
        <w:rPr>
          <w:rFonts w:ascii="Times New Roman" w:hAnsi="Times New Roman"/>
          <w:sz w:val="20"/>
        </w:rPr>
        <w:t xml:space="preserve">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Letters of Credit</w:t>
      </w:r>
      <w:r>
        <w:rPr>
          <w:rFonts w:ascii="Times New Roman" w:hAnsi="Times New Roman"/>
          <w:sz w:val="20"/>
        </w:rPr>
        <w:t xml:space="preserve"> means each of the letters of credit described by customer, letter of credit number, outstanding amount, and expiration date on Schedule 2.05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Notes</w:t>
      </w:r>
      <w:r>
        <w:rPr>
          <w:rFonts w:ascii="Times New Roman" w:hAnsi="Times New Roman"/>
          <w:sz w:val="20"/>
        </w:rPr>
        <w:t xml:space="preserve"> means the PIK Toggle Notes and the Senior Notes.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Existing Term Loan Credit Agreement means that certain Credit Agreement dated as of February 23, 2023, by and among Holdings, the Borrower, J.P. Morgan Chase Bank, N.A., as administrative agent and the other parties thereto from time to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Extended Revolving Commitment</w:t>
      </w:r>
      <w:r>
        <w:rPr>
          <w:rFonts w:ascii="Times New Roman" w:hAnsi="Times New Roman"/>
          <w:sz w:val="20"/>
        </w:rPr>
        <w:t xml:space="preserve"> means the Revolving Commitments extended on the Revolving Facilities Amendment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Extended Revolving Loan</w:t>
      </w:r>
      <w:r>
        <w:rPr>
          <w:rFonts w:ascii="Times New Roman" w:hAnsi="Times New Roman"/>
          <w:sz w:val="20"/>
        </w:rPr>
        <w:t xml:space="preserve"> means a Revolving Loan made with respect to an Extended Revolving Commitment.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Extending Revolving Lender</w:t>
      </w:r>
      <w:r>
        <w:rPr>
          <w:rFonts w:ascii="Times New Roman" w:hAnsi="Times New Roman"/>
          <w:sz w:val="20"/>
        </w:rPr>
        <w:t xml:space="preserve"> means each Revolving Lender that voted in favor of the Revolving Facilities Amendment by delivering an executed counterpart thereof to the First Lien Administrative Agent on or prior to March 26, 2021.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Fair Market Value</w:t>
      </w:r>
      <w:r>
        <w:rPr>
          <w:rFonts w:ascii="Times New Roman" w:hAnsi="Times New Roman"/>
          <w:sz w:val="20"/>
        </w:rPr>
        <w:t> or </w:t>
      </w:r>
      <w:r>
        <w:rPr>
          <w:rFonts w:ascii="Times New Roman" w:hAnsi="Times New Roman"/>
          <w:sz w:val="20"/>
          <w:u w:val="single"/>
        </w:rPr>
        <w:t>fair market value</w:t>
      </w:r>
      <w:r>
        <w:rPr>
          <w:rFonts w:ascii="Times New Roman" w:hAnsi="Times New Roman"/>
          <w:sz w:val="20"/>
        </w:rPr>
        <w:t xml:space="preserv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FCPA</w:t>
      </w:r>
      <w:r>
        <w:rPr>
          <w:rFonts w:ascii="Times New Roman" w:hAnsi="Times New Roman"/>
          <w:sz w:val="20"/>
        </w:rPr>
        <w:t xml:space="preserve"> has the meaning specified in Section 3.17(b).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Funds Effective Rate</w:t>
      </w:r>
      <w:r>
        <w:rPr>
          <w:rFonts w:ascii="Times New Roman" w:hAnsi="Times New Roman"/>
          <w:sz w:val="20"/>
        </w:rPr>
        <w:t xml:space="preserve"> means, for any day, the weighted average of the rates on overnight Federal funds transactions with members of the Federal Reserve System, as published on the next succeeding Business Day by the Federal Reserve Bank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corporate controller of Holdings or the Borrower,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Performance Covenant</w:t>
      </w:r>
      <w:r>
        <w:rPr>
          <w:rFonts w:ascii="Times New Roman" w:hAnsi="Times New Roman"/>
          <w:sz w:val="20"/>
        </w:rPr>
        <w:t xml:space="preserve"> means the covenant set forth in Section 6.11.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FIRREA</w:t>
      </w:r>
      <w:r>
        <w:rPr>
          <w:rFonts w:ascii="Times New Roman" w:hAnsi="Times New Roman"/>
          <w:sz w:val="20"/>
        </w:rPr>
        <w:t xml:space="preserve"> means the Financial Institutions Reform, Recovery and Enforcement Act of 1989,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Administrative Agent</w:t>
      </w:r>
      <w:r>
        <w:rPr>
          <w:rFonts w:ascii="Times New Roman" w:hAnsi="Times New Roman"/>
          <w:sz w:val="20"/>
        </w:rPr>
        <w:t xml:space="preserve"> means JPMorgan (formerly Jefferies Finance LLC), in its capacity as first lien administrative agent hereunder and under the other First Lien Loan Documents, and its successors in such capacity as provided in Article VIII.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Administrative Agents Office</w:t>
      </w:r>
      <w:r>
        <w:rPr>
          <w:rFonts w:ascii="Times New Roman" w:hAnsi="Times New Roman"/>
          <w:sz w:val="20"/>
        </w:rPr>
        <w:t xml:space="preserve"> means the First Lien Administrative Agents address and, as appropriate, account as set forth on Schedule 9.01, or such other address or account as the First Lien Administrative Agent may from time to time notify the Borrower and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Collateral Agent</w:t>
      </w:r>
      <w:r>
        <w:rPr>
          <w:rFonts w:ascii="Times New Roman" w:hAnsi="Times New Roman"/>
          <w:sz w:val="20"/>
        </w:rPr>
        <w:t xml:space="preserve"> has the meaning given to such term in Section 8.01(b) and its successors in such capacity as provided in Article VIII.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Collateral Agreement</w:t>
      </w:r>
      <w:r>
        <w:rPr>
          <w:rFonts w:ascii="Times New Roman" w:hAnsi="Times New Roman"/>
          <w:sz w:val="20"/>
        </w:rPr>
        <w:t xml:space="preserve"> means the First Lien Collateral Agreement among the Loan Parties party thereto and the First Lien Collateral Agent, substantially in the form of Exhibit 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Financing Transactions</w:t>
      </w:r>
      <w:r>
        <w:rPr>
          <w:rFonts w:ascii="Times New Roman" w:hAnsi="Times New Roman"/>
          <w:sz w:val="20"/>
        </w:rPr>
        <w:t xml:space="preserve">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Guarantee Agreement</w:t>
      </w:r>
      <w:r>
        <w:rPr>
          <w:rFonts w:ascii="Times New Roman" w:hAnsi="Times New Roman"/>
          <w:sz w:val="20"/>
        </w:rPr>
        <w:t xml:space="preserve"> means the First Lien Guarantee Agreement among the Loan Parties and the First Lien Collateral Agent, substantially in the form of Exhibit 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Incremental Equivalent Debt</w:t>
      </w:r>
      <w:r>
        <w:rPr>
          <w:rFonts w:ascii="Times New Roman" w:hAnsi="Times New Roman"/>
          <w:sz w:val="20"/>
        </w:rPr>
        <w:t xml:space="preserve"> has the meaning assigned to such term in Section 6.01(a)(xx).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Incremental Facilities</w:t>
      </w:r>
      <w:r>
        <w:rPr>
          <w:rFonts w:ascii="Times New Roman" w:hAnsi="Times New Roman"/>
          <w:sz w:val="20"/>
        </w:rPr>
        <w:t xml:space="preserve"> has the meaning assigned to such term in Section 2.20(a).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Incremental Term Facility</w:t>
      </w:r>
      <w:r>
        <w:rPr>
          <w:rFonts w:ascii="Times New Roman" w:hAnsi="Times New Roman"/>
          <w:sz w:val="20"/>
        </w:rPr>
        <w:t xml:space="preserve"> has the meaning assigned to such term in Section 2.20(a).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Incremental Term Increase</w:t>
      </w:r>
      <w:r>
        <w:rPr>
          <w:rFonts w:ascii="Times New Roman" w:hAnsi="Times New Roman"/>
          <w:sz w:val="20"/>
        </w:rPr>
        <w:t xml:space="preserve"> has the meaning assigned to such term in Section 2.20(a).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Incremental Term Loan</w:t>
      </w:r>
      <w:r>
        <w:rPr>
          <w:rFonts w:ascii="Times New Roman" w:hAnsi="Times New Roman"/>
          <w:sz w:val="20"/>
        </w:rPr>
        <w:t xml:space="preserve"> means any Term Loan provided under any First Lien Incremental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Loan Document Obligations</w:t>
      </w:r>
      <w:r>
        <w:rPr>
          <w:rFonts w:ascii="Times New Roman" w:hAnsi="Times New Roman"/>
          <w:sz w:val="20"/>
        </w:rPr>
        <w:t xml:space="preserve">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Loan Documents</w:t>
      </w:r>
      <w:r>
        <w:rPr>
          <w:rFonts w:ascii="Times New Roman" w:hAnsi="Times New Roman"/>
          <w:sz w:val="20"/>
        </w:rPr>
        <w:t xml:space="preserve"> means this Agreement, any Refinancing Amendment, any Loan Modification Agreement, any Incremental Facility Amendment, the First Lien Guarantee Agreement, the First Lien Collateral Agreement, the First/Second Lien Intercreditor Agreement, the other Security Documents, any Customary Intercreditor Agreement and any Note delivered pursuant to Section 2.09(e).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 Lien Pari Passu Intercreditor Agreement</w:t>
      </w:r>
      <w:r>
        <w:rPr>
          <w:rFonts w:ascii="Times New Roman" w:hAnsi="Times New Roman"/>
          <w:sz w:val="20"/>
        </w:rPr>
        <w:t xml:space="preserve"> means the First Lien Intercreditor Agreement substantially in the form of Exhibit E-1 among the First Lien Administrative Agent and one or more Senior Representatives for holders of Indebtedness permitted by this Agreement to be secured by the Collateral on a </w:t>
      </w:r>
      <w:r>
        <w:rPr>
          <w:rFonts w:ascii="Times New Roman" w:hAnsi="Times New Roman"/>
          <w:sz w:val="20"/>
          <w:u w:val="single"/>
        </w:rPr>
        <w:t>pari passu</w:t>
      </w:r>
      <w:r>
        <w:rPr>
          <w:rFonts w:ascii="Times New Roman" w:hAnsi="Times New Roman"/>
          <w:sz w:val="20"/>
        </w:rPr>
        <w:t xml:space="preserve"> basis, with such modifications thereto as the First Lien Administrative Agent and the Borrower may reasonably agree.2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First Lien Pari Passu Intercreditor Agreement was entered into on February 23, 2023, between the First Lien Administrative Agent and JPMorgan Chase Bank, N.A., as administrative agent and collateral agent under that certain Credit Agreement dated as of February 23, 2023, by and among Holdings, the Borrower and the other parties thereto from time to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First/Second Lien Intercreditor Agreement</w:t>
      </w:r>
      <w:r>
        <w:rPr>
          <w:rFonts w:ascii="Times New Roman" w:hAnsi="Times New Roman"/>
          <w:sz w:val="20"/>
        </w:rPr>
        <w:t xml:space="preserve"> means the First/Second Lien Intercreditor Agreement substantially in the form of Exhibit E-2 among the First Lien Administrative Agent and one or more Senior Representatives for holders of Indebtedness permitted by this Agreement to be secured by the Collateral. On the Effective Date, the First Lien Administrative Agent entered into a First/Second Lien Intercreditor Agreement with the Second Lien Trustee and the other parties party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Fixed Amounts</w:t>
      </w:r>
      <w:r>
        <w:rPr>
          <w:rFonts w:ascii="Times New Roman" w:hAnsi="Times New Roman"/>
          <w:sz w:val="20"/>
        </w:rPr>
        <w:t xml:space="preserve"> has the meaning assigned to such term in 1.07.(b).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Flood Insurance Laws</w:t>
      </w:r>
      <w:r>
        <w:rPr>
          <w:rFonts w:ascii="Times New Roman" w:hAnsi="Times New Roman"/>
          <w:sz w:val="20"/>
        </w:rPr>
        <w:t xml:space="preserve">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Floor</w:t>
      </w:r>
      <w:r>
        <w:rPr>
          <w:rFonts w:ascii="Times New Roman" w:hAnsi="Times New Roman"/>
          <w:sz w:val="20"/>
        </w:rPr>
        <w:t> means the benchmark rate floor, if any, provided in this Agreement initially (as of the execution of this Agreement, the modification, amendment or renewal of this Agreement or otherwise) with respect to the EURIBOR, Adjusted Daily Simple SONIA, Adjusted Term SOFR Rate</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Adjusted Daily Simple SOFR </w:t>
      </w:r>
      <w:r>
        <w:rPr>
          <w:rFonts w:ascii="Times New Roman" w:hAnsi="Times New Roman"/>
          <w:color w:val="0000FF"/>
          <w:sz w:val="20"/>
          <w:u w:val="single"/>
          <w:bdr w:val="double" w:sz="2" w:space="1" w:color="000000"/>
        </w:rPr>
        <w:t xml:space="preserve">or Adjusted Term CORRA </w:t>
      </w:r>
      <w:r>
        <w:rPr>
          <w:rFonts w:ascii="Times New Roman" w:hAnsi="Times New Roman"/>
          <w:sz w:val="20"/>
        </w:rPr>
        <w:t>as applicable. The initial Floor for each of the Adjusted Term SOFR Rate</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Adjusted Daily Simple SOFR </w:t>
      </w:r>
      <w:r>
        <w:rPr>
          <w:rFonts w:ascii="Times New Roman" w:hAnsi="Times New Roman"/>
          <w:color w:val="0000FF"/>
          <w:sz w:val="20"/>
          <w:u w:val="single"/>
          <w:bdr w:val="double" w:sz="2" w:space="1" w:color="000000"/>
        </w:rPr>
        <w:t xml:space="preserve">and Adjusted Term CORRA </w:t>
      </w:r>
      <w:r>
        <w:rPr>
          <w:rFonts w:ascii="Times New Roman" w:hAnsi="Times New Roman"/>
          <w:sz w:val="20"/>
        </w:rPr>
        <w:t xml:space="preserve">(i) with respect to Revolving Loans only, shall be 0% and (ii) with respect to Term Loans only, shall be 0.50%.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Lender</w:t>
      </w:r>
      <w:r>
        <w:rPr>
          <w:rFonts w:ascii="Times New Roman" w:hAnsi="Times New Roman"/>
          <w:sz w:val="20"/>
        </w:rPr>
        <w:t xml:space="preserve"> means a Lender that is not a United States Person (as defined in Section 7701(a)(30)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Form Intercreditor Agreements</w:t>
      </w:r>
      <w:r>
        <w:rPr>
          <w:rFonts w:ascii="Times New Roman" w:hAnsi="Times New Roman"/>
          <w:sz w:val="20"/>
        </w:rPr>
        <w:t xml:space="preserve">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Funded Debt</w:t>
      </w:r>
      <w:r>
        <w:rPr>
          <w:rFonts w:ascii="Times New Roman" w:hAnsi="Times New Roman"/>
          <w:sz w:val="20"/>
        </w:rPr>
        <w:t xml:space="preserve">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as in effect from time to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General Restricted Payment Reallocated Amount</w:t>
      </w:r>
      <w:r>
        <w:rPr>
          <w:rFonts w:ascii="Times New Roman" w:hAnsi="Times New Roman"/>
          <w:sz w:val="20"/>
        </w:rPr>
        <w:t xml:space="preserve"> means any amount that, at the option of Holdings or the Borrower, has been reallocated from Section 6.07(a)(viii) to clause (C) of the proviso in Section 6.04(m), which shall be deemed to be a utilization of the basket set forth in Section 6.07(a)(viii).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Goldman Sachs Letter of Credit Sublimit</w:t>
      </w:r>
      <w:r>
        <w:rPr>
          <w:rFonts w:ascii="Times New Roman" w:hAnsi="Times New Roman"/>
          <w:sz w:val="20"/>
        </w:rPr>
        <w:t xml:space="preserve">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Goldman Sachs Letter of Credit Sublimit will be issued by Goldman Sachs Bank USA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Approvals</w:t>
      </w:r>
      <w:r>
        <w:rPr>
          <w:rFonts w:ascii="Times New Roman" w:hAnsi="Times New Roman"/>
          <w:sz w:val="20"/>
        </w:rPr>
        <w:t xml:space="preserve"> means all authorizations, consents, approvals, permits, licenses and exemptions of, registrations and filings with, and reports to, Governmental Authorities.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Holdings</w:t>
      </w:r>
      <w:r>
        <w:rPr>
          <w:rFonts w:ascii="Times New Roman" w:hAnsi="Times New Roman"/>
          <w:sz w:val="20"/>
        </w:rPr>
        <w:t xml:space="preserve"> means (a) prior to any IPO, Initial Holdings and (b) upon and after an IPO, (i) if the IPO Entity is Initial Holdings or any Person of which Initial Holdings is a Subsidiary, Initial Holdings or (ii) if the IPO Entity is an Intermediate Parent, the IPO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Identified Participating Lenders</w:t>
      </w:r>
      <w:r>
        <w:rPr>
          <w:rFonts w:ascii="Times New Roman" w:hAnsi="Times New Roman"/>
          <w:sz w:val="20"/>
        </w:rPr>
        <w:t xml:space="preserve"> has the meaning assigned to such term in Section 2.11(a)(ii)(C)(3).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Identified Qualifying Lenders</w:t>
      </w:r>
      <w:r>
        <w:rPr>
          <w:rFonts w:ascii="Times New Roman" w:hAnsi="Times New Roman"/>
          <w:sz w:val="20"/>
        </w:rPr>
        <w:t xml:space="preserve"> has the meaning specified in Section 2.11(a)(ii)(D)(3).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Immaterial Subsidiary</w:t>
      </w:r>
      <w:r>
        <w:rPr>
          <w:rFonts w:ascii="Times New Roman" w:hAnsi="Times New Roman"/>
          <w:sz w:val="20"/>
        </w:rPr>
        <w:t xml:space="preserve"> means any Subsidiary other than a Material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Impacted EURIBOR Rate Interest Period</w:t>
      </w:r>
      <w:r>
        <w:rPr>
          <w:rFonts w:ascii="Times New Roman" w:hAnsi="Times New Roman"/>
          <w:sz w:val="20"/>
        </w:rPr>
        <w:t xml:space="preserve"> has the meaning assigned to such term in the definition of EURIBOR.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Impacted Loans</w:t>
      </w:r>
      <w:r>
        <w:rPr>
          <w:rFonts w:ascii="Times New Roman" w:hAnsi="Times New Roman"/>
          <w:sz w:val="20"/>
        </w:rPr>
        <w:t xml:space="preserve"> has the meaning assigned to such term in Section 2.14(b).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Cap</w:t>
      </w:r>
      <w:r>
        <w:rPr>
          <w:rFonts w:ascii="Times New Roman" w:hAnsi="Times New Roman"/>
          <w:sz w:val="20"/>
        </w:rPr>
        <w:t xml:space="preserve"> means, as of any date of determination, the sum of (I)(a) the greater of (i) $288,000,000 and (ii) 75% of Consolidated EBITDA for the most recently ended Test Period as of such date, calculated on a Pro Forma Basis; </w:t>
      </w:r>
      <w:r>
        <w:rPr>
          <w:rFonts w:ascii="Times New Roman" w:hAnsi="Times New Roman"/>
          <w:sz w:val="20"/>
          <w:u w:val="single"/>
        </w:rPr>
        <w:t>plus</w:t>
      </w:r>
      <w:r>
        <w:rPr>
          <w:rFonts w:ascii="Times New Roman" w:hAnsi="Times New Roman"/>
          <w:sz w:val="20"/>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 w:hAnsi="Times New Roman"/>
          <w:sz w:val="20"/>
          <w:u w:val="single"/>
        </w:rPr>
        <w:t>minus</w:t>
      </w:r>
      <w:r>
        <w:rPr>
          <w:rFonts w:ascii="Times New Roman" w:hAnsi="Times New Roman"/>
          <w:sz w:val="20"/>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 w:hAnsi="Times New Roman"/>
          <w:sz w:val="20"/>
          <w:u w:val="single"/>
        </w:rPr>
        <w:t>plus</w:t>
      </w:r>
      <w:r>
        <w:rPr>
          <w:rFonts w:ascii="Times New Roman" w:hAnsi="Times New Roman"/>
          <w:sz w:val="20"/>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Equivalent Debt</w:t>
      </w:r>
      <w:r>
        <w:rPr>
          <w:rFonts w:ascii="Times New Roman" w:hAnsi="Times New Roman"/>
          <w:sz w:val="20"/>
        </w:rPr>
        <w:t xml:space="preserve"> means First Lien Incremental Equivalent Debt and/or Second Lien Incremental Equivalent Debt.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Facility Amendment</w:t>
      </w:r>
      <w:r>
        <w:rPr>
          <w:rFonts w:ascii="Times New Roman" w:hAnsi="Times New Roman"/>
          <w:sz w:val="20"/>
        </w:rPr>
        <w:t xml:space="preserve"> has the meaning assigned to such term in Section 2.20(d).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Revolving Commitment Increase</w:t>
      </w:r>
      <w:r>
        <w:rPr>
          <w:rFonts w:ascii="Times New Roman" w:hAnsi="Times New Roman"/>
          <w:sz w:val="20"/>
        </w:rPr>
        <w:t xml:space="preserve"> has the meaning assigned to such term in Section 2.20(a), including Amendment No. 1 Revolving Commitment Increase and Amendment No. 2 Revolving Commitment Increase.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Incurrence Based Amounts</w:t>
      </w:r>
      <w:r>
        <w:rPr>
          <w:rFonts w:ascii="Times New Roman" w:hAnsi="Times New Roman"/>
          <w:sz w:val="20"/>
        </w:rPr>
        <w:t xml:space="preserve"> has the meaning assigned to such term in Section 1.07(b).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hAnsi="Times New Roman"/>
          <w:sz w:val="20"/>
          <w:u w:val="single"/>
        </w:rPr>
        <w:t>provided</w:t>
      </w:r>
      <w:r>
        <w:rPr>
          <w:rFonts w:ascii="Times New Roman" w:hAnsi="Times New Roman"/>
          <w:sz w:val="20"/>
        </w:rPr>
        <w:t xml:space="preserve"> that the term Indebtedness shall not include (i) deferred or prepaid revenue, (ii) 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Taxes</w:t>
      </w:r>
      <w:r>
        <w:rPr>
          <w:rFonts w:ascii="Times New Roman" w:hAnsi="Times New Roman"/>
          <w:sz w:val="20"/>
        </w:rPr>
        <w:t xml:space="preserve"> means all Taxes, other than Excluded Taxes and Other Taxes, in each case, imposed on or with respect to any payment made by or on account of any obligation of any Loan Party under any First Lien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Indemnitee</w:t>
      </w:r>
      <w:r>
        <w:rPr>
          <w:rFonts w:ascii="Times New Roman" w:hAnsi="Times New Roman"/>
          <w:sz w:val="20"/>
        </w:rPr>
        <w:t xml:space="preserve"> has the meaning assigned to such term in Section 9.03(b).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w:t>
      </w:r>
      <w:r>
        <w:rPr>
          <w:rFonts w:ascii="Times New Roman" w:hAnsi="Times New Roman"/>
          <w:sz w:val="20"/>
        </w:rPr>
        <w:t xml:space="preserve"> has the meaning assigned to such term in Section 9.12(a).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Holdings</w:t>
      </w:r>
      <w:r>
        <w:rPr>
          <w:rFonts w:ascii="Times New Roman" w:hAnsi="Times New Roman"/>
          <w:sz w:val="20"/>
        </w:rPr>
        <w:t xml:space="preserve"> has the meaning given to such term in the preliminary statements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Term Loans</w:t>
      </w:r>
      <w:r>
        <w:rPr>
          <w:rFonts w:ascii="Times New Roman" w:hAnsi="Times New Roman"/>
          <w:sz w:val="20"/>
        </w:rPr>
        <w:t xml:space="preserve"> means the Loans made pursuant to Section 2.01(a) on the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has the meaning assigned to such term in the First Lien Collateral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 Security Agreements</w:t>
      </w:r>
      <w:r>
        <w:rPr>
          <w:rFonts w:ascii="Times New Roman" w:hAnsi="Times New Roman"/>
          <w:sz w:val="20"/>
        </w:rPr>
        <w:t xml:space="preserve"> means, collectively, the First Lien Trademark Security Agreement, the First Lien Patent Security Agreement and the First Lien Copyright Security Agreement, in each case which has the meaning assigned to such term in the First Lien Collateral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Intercreditor Agreement</w:t>
      </w:r>
      <w:r>
        <w:rPr>
          <w:rFonts w:ascii="Times New Roman" w:hAnsi="Times New Roman"/>
          <w:sz w:val="20"/>
        </w:rPr>
        <w:t xml:space="preserve"> means the First Lien Pari Passu Intercreditor Agreement, the First/Second Lien Intercreditor Agreement and the ABL Intercreditor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Coverage Ratio</w:t>
      </w:r>
      <w:r>
        <w:rPr>
          <w:rFonts w:ascii="Times New Roman" w:hAnsi="Times New Roman"/>
          <w:sz w:val="20"/>
        </w:rPr>
        <w:t xml:space="preserve"> means, as of any date of determination, the ratio, on a Pro Forma Basis, of (a) Consolidated EBITDA for the most recently ended Test Period as of such date to (b) Consolidated Interest Expense for the most recently ended Test Period as of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Election Request</w:t>
      </w:r>
      <w:r>
        <w:rPr>
          <w:rFonts w:ascii="Times New Roman" w:hAnsi="Times New Roman"/>
          <w:sz w:val="20"/>
        </w:rPr>
        <w:t xml:space="preserve"> means a request by the Borrower to convert or continue a Revolving Borrowing or Term Borrowing in accordance with Section 2.07.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(a) with respect to any ABR Loan (including a Swingline Loan), the last Business Day of each March, June, September and December to occur during any period in which such Loan is outstanding and the maturity date applicable to such ABR Loan,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applicable to such RFR Loan, and (c) with respect to any 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(a) 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 months of the date of such Borrowing, as the Borrower may elect; </w:t>
      </w:r>
      <w:r>
        <w:rPr>
          <w:rFonts w:ascii="Times New Roman" w:hAnsi="Times New Roman"/>
          <w:sz w:val="20"/>
          <w:u w:val="single"/>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shall extend beyond (i) in the case of Term Loans, the Term Maturity Date and (ii) in the case of Revolving Loans, the Revolving Maturity Date and (d)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Intermediate Parent</w:t>
      </w:r>
      <w:r>
        <w:rPr>
          <w:rFonts w:ascii="Times New Roman" w:hAnsi="Times New Roman"/>
          <w:sz w:val="20"/>
        </w:rPr>
        <w:t xml:space="preserve"> means any Subsidiary of Holdings of which the Borrower is a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w:t>
      </w:r>
      <w:r>
        <w:rPr>
          <w:rFonts w:ascii="Times New Roman" w:hAnsi="Times New Roman"/>
          <w:sz w:val="20"/>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Times New Roman" w:hAnsi="Times New Roman"/>
          <w:sz w:val="20"/>
          <w:u w:val="single"/>
        </w:rPr>
        <w:t>minus</w:t>
      </w:r>
      <w:r>
        <w:rPr>
          <w:rFonts w:ascii="Times New Roman" w:hAnsi="Times New Roman"/>
          <w:sz w:val="20"/>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hAnsi="Times New Roman"/>
          <w:sz w:val="20"/>
          <w:u w:val="single"/>
        </w:rPr>
        <w:t>minus</w:t>
      </w:r>
      <w:r>
        <w:rPr>
          <w:rFonts w:ascii="Times New Roman" w:hAnsi="Times New Roman"/>
          <w:sz w:val="20"/>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hAnsi="Times New Roman"/>
          <w:sz w:val="20"/>
          <w:u w:val="single"/>
        </w:rPr>
        <w:t>plus</w:t>
      </w:r>
      <w:r>
        <w:rPr>
          <w:rFonts w:ascii="Times New Roman" w:hAnsi="Times New Roman"/>
          <w:sz w:val="20"/>
        </w:rPr>
        <w:t xml:space="preserve"> (i) the cost of all additions thereto and </w:t>
      </w:r>
      <w:r>
        <w:rPr>
          <w:rFonts w:ascii="Times New Roman" w:hAnsi="Times New Roman"/>
          <w:sz w:val="20"/>
          <w:u w:val="single"/>
        </w:rPr>
        <w:t>minus</w:t>
      </w:r>
      <w:r>
        <w:rPr>
          <w:rFonts w:ascii="Times New Roman" w:hAnsi="Times New Roman"/>
          <w:sz w:val="20"/>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Times New Roman" w:hAnsi="Times New Roman"/>
          <w:sz w:val="20"/>
          <w:u w:val="single"/>
        </w:rPr>
        <w:t>provided</w:t>
      </w:r>
      <w:r>
        <w:rPr>
          <w:rFonts w:ascii="Times New Roman" w:hAnsi="Times New Roman"/>
          <w:sz w:val="20"/>
        </w:rPr>
        <w:t xml:space="preserve"> that pending the final determination of the amounts to be so allocated in accordance with GAAP, such allocation shall be as reasonably determined by a Financial Officer.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Investor</w:t>
      </w:r>
      <w:r>
        <w:rPr>
          <w:rFonts w:ascii="Times New Roman" w:hAnsi="Times New Roman"/>
          <w:sz w:val="20"/>
        </w:rPr>
        <w:t xml:space="preserve"> means a holder of Equity Interests in Holdings (or any direct or indirect parent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IPO</w:t>
      </w:r>
      <w:r>
        <w:rPr>
          <w:rFonts w:ascii="Times New Roman" w:hAnsi="Times New Roman"/>
          <w:sz w:val="20"/>
        </w:rPr>
        <w:t xml:space="preserve">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IPO Entity</w:t>
      </w:r>
      <w:r>
        <w:rPr>
          <w:rFonts w:ascii="Times New Roman" w:hAnsi="Times New Roman"/>
          <w:sz w:val="20"/>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hAnsi="Times New Roman"/>
          <w:sz w:val="20"/>
          <w:u w:val="single"/>
        </w:rPr>
        <w:t>provided</w:t>
      </w:r>
      <w:r>
        <w:rPr>
          <w:rFonts w:ascii="Times New Roman" w:hAnsi="Times New Roman"/>
          <w:sz w:val="20"/>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ISDA Definition</w:t>
      </w:r>
      <w:r>
        <w:rPr>
          <w:rFonts w:ascii="Times New Roman" w:hAnsi="Times New Roman"/>
          <w:sz w:val="20"/>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ISP</w:t>
      </w:r>
      <w:r>
        <w:rPr>
          <w:rFonts w:ascii="Times New Roman" w:hAnsi="Times New Roman"/>
          <w:sz w:val="20"/>
        </w:rPr>
        <w:t xml:space="preserve">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Issuing Bank</w:t>
      </w:r>
      <w:r>
        <w:rPr>
          <w:rFonts w:ascii="Times New Roman" w:hAnsi="Times New Roman"/>
          <w:sz w:val="20"/>
        </w:rPr>
        <w:t> means each of (a) Citibank, N.A., (b) Citizens Bank, N.A., (c) </w:t>
      </w:r>
      <w:r>
        <w:rPr>
          <w:rFonts w:ascii="Times New Roman" w:hAnsi="Times New Roman"/>
          <w:strike/>
          <w:color w:val="FF0000"/>
          <w:sz w:val="20"/>
        </w:rPr>
        <w:t xml:space="preserve">Credit Suisse </w:t>
      </w:r>
      <w:r>
        <w:rPr>
          <w:rFonts w:ascii="Times New Roman" w:hAnsi="Times New Roman"/>
          <w:color w:val="0000FF"/>
          <w:sz w:val="20"/>
          <w:u w:val="single"/>
          <w:bdr w:val="double" w:sz="2" w:space="1" w:color="000000"/>
        </w:rPr>
        <w:t>Banco Santander, S.</w:t>
      </w:r>
      <w:r>
        <w:rPr>
          <w:rFonts w:ascii="Times New Roman" w:hAnsi="Times New Roman"/>
          <w:sz w:val="20"/>
        </w:rPr>
        <w:t>A</w:t>
      </w:r>
      <w:r>
        <w:rPr>
          <w:rFonts w:ascii="Times New Roman" w:hAnsi="Times New Roman"/>
          <w:strike/>
          <w:color w:val="FF0000"/>
          <w:sz w:val="20"/>
        </w:rPr>
        <w:t>G</w:t>
      </w:r>
      <w:r>
        <w:rPr>
          <w:rFonts w:ascii="Times New Roman" w:hAnsi="Times New Roman"/>
          <w:color w:val="0000FF"/>
          <w:sz w:val="20"/>
          <w:u w:val="single"/>
          <w:bdr w:val="double" w:sz="2" w:space="1" w:color="000000"/>
        </w:rPr>
        <w:t xml:space="preserve">. </w:t>
      </w:r>
      <w:r>
        <w:rPr>
          <w:rFonts w:ascii="Times New Roman" w:hAnsi="Times New Roman"/>
          <w:sz w:val="20"/>
        </w:rPr>
        <w:t>, New York Branch</w:t>
      </w:r>
      <w:r>
        <w:rPr>
          <w:rFonts w:ascii="Times New Roman" w:hAnsi="Times New Roman"/>
          <w:strike/>
          <w:color w:val="FF0000"/>
          <w:sz w:val="20"/>
        </w:rPr>
        <w:t xml:space="preserve"> (provided that Credit Suisse AG, New York Branch shall only be required to issue standby Letters of Credit)</w:t>
      </w:r>
      <w:r>
        <w:rPr>
          <w:rFonts w:ascii="Times New Roman" w:hAnsi="Times New Roman"/>
          <w:sz w:val="20"/>
        </w:rPr>
        <w:t xml:space="preserve">, (d) Goldman Sachs Bank USA (provided that Goldman Sachs Bank USA shall only be required to issue standby Letters of Credit), (e) Jefferies Finance LLC (provided that Jefferies Finance LLC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(provided that Royal Bank of Canada shall only be required to issue standby Letters of Credit), (i) Barclays Bank PLC (provided that Barclays Bank PLC shall only be required to issue standby Letters of Credit), (j) BNP Paribas and (k)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Jefferies Letter of Credit Sublimit</w:t>
      </w:r>
      <w:r>
        <w:rPr>
          <w:rFonts w:ascii="Times New Roman" w:hAnsi="Times New Roman"/>
          <w:sz w:val="20"/>
        </w:rPr>
        <w:t xml:space="preserve">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Jefferies Letter of Credit Sublimit will be issued by Jefferies Finance LLC in its capacity as </w:t>
      </w:r>
      <w:r>
        <w:rPr>
          <w:rFonts w:ascii="Times New Roman" w:hAnsi="Times New Roman"/>
          <w:strike/>
          <w:color w:val="FF0000"/>
          <w:sz w:val="20"/>
        </w:rPr>
        <w:t>na</w:t>
      </w:r>
      <w:r>
        <w:rPr>
          <w:rFonts w:ascii="Times New Roman" w:hAnsi="Times New Roman"/>
          <w:color w:val="0000FF"/>
          <w:sz w:val="20"/>
          <w:u w:val="single"/>
          <w:bdr w:val="double" w:sz="2" w:space="1" w:color="000000"/>
        </w:rPr>
        <w:t>an</w:t>
      </w:r>
      <w:r>
        <w:rPr>
          <w:rFonts w:ascii="Times New Roman" w:hAnsi="Times New Roman"/>
          <w:sz w:val="20"/>
        </w:rPr>
        <w:t xml:space="preserve">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Joint Lead Arranger</w:t>
      </w:r>
      <w:r>
        <w:rPr>
          <w:rFonts w:ascii="Times New Roman" w:hAnsi="Times New Roman"/>
          <w:sz w:val="20"/>
        </w:rPr>
        <w:t> means (x)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(y) in connection with Amendment No. 2, each of JPMorgan Chase Bank, N.A., Jefferies Finance LLC, Credit Suisse Loan Funding LLC, Goldman Sachs Bank USA, BNP Paribas Securities Corp., </w:t>
      </w:r>
      <w:r>
        <w:rPr>
          <w:rFonts w:ascii="Times New Roman" w:hAnsi="Times New Roman"/>
          <w:strike/>
          <w:color w:val="FF0000"/>
          <w:sz w:val="20"/>
        </w:rPr>
        <w:t>Citigroup Global Markets Inc</w:t>
      </w:r>
      <w:r>
        <w:rPr>
          <w:rFonts w:ascii="Times New Roman" w:hAnsi="Times New Roman"/>
          <w:color w:val="0000FF"/>
          <w:sz w:val="20"/>
          <w:u w:val="single"/>
          <w:bdr w:val="double" w:sz="2" w:space="1" w:color="000000"/>
        </w:rPr>
        <w:t>Citibank, N.A</w:t>
      </w:r>
      <w:r>
        <w:rPr>
          <w:rFonts w:ascii="Times New Roman" w:hAnsi="Times New Roman"/>
          <w:sz w:val="20"/>
        </w:rPr>
        <w:t>., RBC Capital Markets and Barclays Bank PLC, each in their capacity as joint lead arranger and joint bookrunner, and any permitted successors and assigns of the foregoing</w:t>
      </w:r>
      <w:r>
        <w:rPr>
          <w:rFonts w:ascii="Times New Roman" w:hAnsi="Times New Roman"/>
          <w:color w:val="0000FF"/>
          <w:sz w:val="20"/>
          <w:u w:val="single"/>
          <w:bdr w:val="double" w:sz="2" w:space="1" w:color="000000"/>
        </w:rPr>
        <w:t xml:space="preserve"> and (z) in connection with Amendment No. 3, the Amendment No. 3 Arrangers (as defined in Amendment No.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JPM Letter of Credit Sublimit</w:t>
      </w:r>
      <w:r>
        <w:rPr>
          <w:rFonts w:ascii="Times New Roman" w:hAnsi="Times New Roman"/>
          <w:sz w:val="20"/>
        </w:rPr>
        <w:t>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JPM Letter of Credit Sublimit will be issued by JPMorgan Chase Bank, N.A.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Judgment Currency</w:t>
      </w:r>
      <w:r>
        <w:rPr>
          <w:rFonts w:ascii="Times New Roman" w:hAnsi="Times New Roman"/>
          <w:sz w:val="20"/>
        </w:rPr>
        <w:t xml:space="preserve"> has the meaning assigned to such term in Section 9.17.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Debt Payment Reallocated Amount</w:t>
      </w:r>
      <w:r>
        <w:rPr>
          <w:rFonts w:ascii="Times New Roman" w:hAnsi="Times New Roman"/>
          <w:sz w:val="20"/>
        </w:rPr>
        <w:t xml:space="preserve"> means any amount that, at the option of Holdings or the Borrower, has been reallocated from Section 6.07(b)(iv) to clause (D) of the proviso in Section 6.04(m), which shall be deemed to be a utilization of the basket set forth in Section 6.07(b)(iv).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Financing</w:t>
      </w:r>
      <w:r>
        <w:rPr>
          <w:rFonts w:ascii="Times New Roman" w:hAnsi="Times New Roman"/>
          <w:sz w:val="20"/>
        </w:rPr>
        <w:t xml:space="preserve">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Keybank Letter of Credit Sublimit</w:t>
      </w:r>
      <w:r>
        <w:rPr>
          <w:rFonts w:ascii="Times New Roman" w:hAnsi="Times New Roman"/>
          <w:sz w:val="20"/>
        </w:rPr>
        <w:t xml:space="preserve">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Keybank Letter of Credit Sublimit will be issued by Keybank National Association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Latest Maturity Date</w:t>
      </w:r>
      <w:r>
        <w:rPr>
          <w:rFonts w:ascii="Times New Roman" w:hAnsi="Times New Roman"/>
          <w:sz w:val="20"/>
        </w:rPr>
        <w:t xml:space="preserve">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Disbursement</w:t>
      </w:r>
      <w:r>
        <w:rPr>
          <w:rFonts w:ascii="Times New Roman" w:hAnsi="Times New Roman"/>
          <w:sz w:val="20"/>
        </w:rPr>
        <w:t xml:space="preserve"> means an honoring of a drawing by an Issuing Bank pursuant to a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Exposure</w:t>
      </w:r>
      <w:r>
        <w:rPr>
          <w:rFonts w:ascii="Times New Roman" w:hAnsi="Times New Roman"/>
          <w:sz w:val="20"/>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hAnsi="Times New Roman"/>
          <w:sz w:val="20"/>
          <w:u w:val="single"/>
        </w:rPr>
        <w:t>provided</w:t>
      </w:r>
      <w:r>
        <w:rPr>
          <w:rFonts w:ascii="Times New Roman" w:hAnsi="Times New Roman"/>
          <w:sz w:val="20"/>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Revaluation Date</w:t>
      </w:r>
      <w:r>
        <w:rPr>
          <w:rFonts w:ascii="Times New Roman" w:hAnsi="Times New Roman"/>
          <w:sz w:val="20"/>
        </w:rPr>
        <w:t xml:space="preserve">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LCT Election</w:t>
      </w:r>
      <w:r>
        <w:rPr>
          <w:rFonts w:ascii="Times New Roman" w:hAnsi="Times New Roman"/>
          <w:sz w:val="20"/>
        </w:rPr>
        <w:t xml:space="preserve"> has the meaning assigned to such term in Section 1.06.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LCT Test Date</w:t>
      </w:r>
      <w:r>
        <w:rPr>
          <w:rFonts w:ascii="Times New Roman" w:hAnsi="Times New Roman"/>
          <w:sz w:val="20"/>
        </w:rPr>
        <w:t xml:space="preserve"> has the meaning assigned to such term in Section 1.06.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Lenders</w:t>
      </w:r>
      <w:r>
        <w:rPr>
          <w:rFonts w:ascii="Times New Roman" w:hAnsi="Times New Roman"/>
          <w:sz w:val="20"/>
        </w:rPr>
        <w:t xml:space="preserve">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w:t>
      </w:r>
      <w:r>
        <w:rPr>
          <w:rFonts w:ascii="Times New Roman" w:hAnsi="Times New Roman"/>
          <w:sz w:val="20"/>
        </w:rPr>
        <w:t xml:space="preserve">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Request</w:t>
      </w:r>
      <w:r>
        <w:rPr>
          <w:rFonts w:ascii="Times New Roman" w:hAnsi="Times New Roman"/>
          <w:sz w:val="20"/>
        </w:rPr>
        <w:t xml:space="preserve"> has the meaning assigned to such term in Section 2.05(b).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Sublimit</w:t>
      </w:r>
      <w:r>
        <w:rPr>
          <w:rFonts w:ascii="Times New Roman" w:hAnsi="Times New Roman"/>
          <w:sz w:val="20"/>
        </w:rPr>
        <w:t> means $</w:t>
      </w:r>
      <w:r>
        <w:rPr>
          <w:rFonts w:ascii="Times New Roman" w:hAnsi="Times New Roman"/>
          <w:strike/>
          <w:color w:val="FF0000"/>
          <w:sz w:val="20"/>
        </w:rPr>
        <w:t>361,250,000</w:t>
      </w:r>
      <w:r>
        <w:rPr>
          <w:rFonts w:ascii="Times New Roman" w:hAnsi="Times New Roman"/>
          <w:color w:val="0000FF"/>
          <w:sz w:val="20"/>
          <w:u w:val="single"/>
          <w:bdr w:val="double" w:sz="2" w:space="1" w:color="000000"/>
        </w:rPr>
        <w:t>398,750,000</w:t>
      </w:r>
      <w:r>
        <w:rPr>
          <w:rFonts w:ascii="Times New Roman" w:hAnsi="Times New Roman"/>
          <w:sz w:val="20"/>
        </w:rPr>
        <w:t xml:space="preserve"> , which is the sum of the Barclays Letter of Credit Sublimit, the BNP Paribas Letter of Credit Sublimit, the </w:t>
      </w:r>
      <w:r>
        <w:rPr>
          <w:rFonts w:ascii="Times New Roman" w:hAnsi="Times New Roman"/>
          <w:strike/>
          <w:color w:val="FF0000"/>
          <w:sz w:val="20"/>
        </w:rPr>
        <w:t>Citigroup</w:t>
      </w:r>
      <w:r>
        <w:rPr>
          <w:rFonts w:ascii="Times New Roman" w:hAnsi="Times New Roman"/>
          <w:color w:val="0000FF"/>
          <w:sz w:val="20"/>
          <w:u w:val="single"/>
          <w:bdr w:val="double" w:sz="2" w:space="1" w:color="000000"/>
        </w:rPr>
        <w:t xml:space="preserve">Citibank </w:t>
      </w:r>
      <w:r>
        <w:rPr>
          <w:rFonts w:ascii="Times New Roman" w:hAnsi="Times New Roman"/>
          <w:sz w:val="20"/>
        </w:rPr>
        <w:t xml:space="preserve">Letter of Credit Sublimit, the Citizens Letter of Credit Sublimit, </w:t>
      </w:r>
      <w:r>
        <w:rPr>
          <w:rFonts w:ascii="Times New Roman" w:hAnsi="Times New Roman"/>
          <w:strike/>
          <w:color w:val="FF0000"/>
          <w:sz w:val="20"/>
        </w:rPr>
        <w:t xml:space="preserve">the Credit Suisse Letter of Credit Sublimit, </w:t>
      </w:r>
      <w:r>
        <w:rPr>
          <w:rFonts w:ascii="Times New Roman" w:hAnsi="Times New Roman"/>
          <w:sz w:val="20"/>
        </w:rPr>
        <w:t>the Goldman Sachs Letter of Credit Sublimit, the Jefferies Letter of Credit Sublimit, the JPM Letter of Credit Sublimit, the KeyBank Letter of Credit Sublimit</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RBC </w:t>
      </w:r>
      <w:r>
        <w:rPr>
          <w:rFonts w:ascii="Times New Roman" w:hAnsi="Times New Roman"/>
          <w:color w:val="0000FF"/>
          <w:sz w:val="20"/>
          <w:u w:val="single"/>
          <w:bdr w:val="double" w:sz="2" w:space="1" w:color="000000"/>
        </w:rPr>
        <w:t xml:space="preserve">Letter of Credit Sublimit and the Santander </w:t>
      </w:r>
      <w:r>
        <w:rPr>
          <w:rFonts w:ascii="Times New Roman" w:hAnsi="Times New Roman"/>
          <w:sz w:val="20"/>
        </w:rPr>
        <w:t xml:space="preserve">Letter of Credit Sublimit. The Letter of Credit Sublimit is part of and not in addition to the aggregate Revolving Commitments.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Limited Condition Transaction</w:t>
      </w:r>
      <w:r>
        <w:rPr>
          <w:rFonts w:ascii="Times New Roman" w:hAnsi="Times New Roman"/>
          <w:sz w:val="20"/>
        </w:rPr>
        <w:t xml:space="preserve">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Guarantors</w:t>
      </w:r>
      <w:r>
        <w:rPr>
          <w:rFonts w:ascii="Times New Roman" w:hAnsi="Times New Roman"/>
          <w:sz w:val="20"/>
        </w:rPr>
        <w:t xml:space="preserve"> means Holdings, any Intermediate Parent and the Subsidiary Loan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Modification Agreement</w:t>
      </w:r>
      <w:r>
        <w:rPr>
          <w:rFonts w:ascii="Times New Roman" w:hAnsi="Times New Roman"/>
          <w:sz w:val="20"/>
        </w:rPr>
        <w:t xml:space="preserve">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Modification Offer</w:t>
      </w:r>
      <w:r>
        <w:rPr>
          <w:rFonts w:ascii="Times New Roman" w:hAnsi="Times New Roman"/>
          <w:sz w:val="20"/>
        </w:rPr>
        <w:t xml:space="preserve"> has the meaning specified in Section 2.24(a).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Parties</w:t>
      </w:r>
      <w:r>
        <w:rPr>
          <w:rFonts w:ascii="Times New Roman" w:hAnsi="Times New Roman"/>
          <w:sz w:val="20"/>
        </w:rPr>
        <w:t xml:space="preserve"> means Holdings, any Intermediate Parent, the Borrower and the Subsidiary Loan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Loans</w:t>
      </w:r>
      <w:r>
        <w:rPr>
          <w:rFonts w:ascii="Times New Roman" w:hAnsi="Times New Roman"/>
          <w:sz w:val="20"/>
        </w:rPr>
        <w:t xml:space="preserve"> means the loans made by the Lenders to the Borrower pursuant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Majority in Interest</w:t>
      </w:r>
      <w:r>
        <w:rPr>
          <w:rFonts w:ascii="Times New Roman" w:hAnsi="Times New Roman"/>
          <w:sz w:val="20"/>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hAnsi="Times New Roman"/>
          <w:sz w:val="20"/>
          <w:u w:val="single"/>
        </w:rPr>
        <w:t xml:space="preserve">provided </w:t>
      </w:r>
      <w:r>
        <w:rPr>
          <w:rFonts w:ascii="Times New Roman" w:hAnsi="Times New Roman"/>
          <w:sz w:val="20"/>
        </w:rPr>
        <w:t xml:space="preserve">that whenever there are one or more Defaulting Lenders, the total outstanding Term Loans and Revolving Exposures of, and the unused Revolving Commitments of, each Defaulting Lender shall be excluded for purposes of making a determination of the Majority in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Management Investors</w:t>
      </w:r>
      <w:r>
        <w:rPr>
          <w:rFonts w:ascii="Times New Roman" w:hAnsi="Times New Roman"/>
          <w:sz w:val="20"/>
        </w:rPr>
        <w:t xml:space="preserve"> means the members of the Board of Directors, officers and employees of Holdings, the Borrower and/or their respective Subsidiaries who are (directly or indirectly through one or more investment vehicles) investors in Holdings (or any direct or indirect parent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Master Agreement</w:t>
      </w:r>
      <w:r>
        <w:rPr>
          <w:rFonts w:ascii="Times New Roman" w:hAnsi="Times New Roman"/>
          <w:sz w:val="20"/>
        </w:rPr>
        <w:t xml:space="preserve"> has the meaning assigned to such term in the definition of Swap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Indebtedness</w:t>
      </w:r>
      <w:r>
        <w:rPr>
          <w:rFonts w:ascii="Times New Roman" w:hAnsi="Times New Roman"/>
          <w:sz w:val="20"/>
        </w:rPr>
        <w:t xml:space="preserve">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$100,000,000.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Non-Public Information</w:t>
      </w:r>
      <w:r>
        <w:rPr>
          <w:rFonts w:ascii="Times New Roman" w:hAnsi="Times New Roman"/>
          <w:sz w:val="20"/>
        </w:rPr>
        <w:t xml:space="preserve">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Real Property</w:t>
      </w:r>
      <w:r>
        <w:rPr>
          <w:rFonts w:ascii="Times New Roman" w:hAnsi="Times New Roman"/>
          <w:sz w:val="20"/>
        </w:rPr>
        <w:t xml:space="preserve"> means any real property with a Fair Market Value, as reasonably determined by the Borrower in good faith, greater than or equal to $30,000,000.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Subsidiary</w:t>
      </w:r>
      <w:r>
        <w:rPr>
          <w:rFonts w:ascii="Times New Roman" w:hAnsi="Times New Roman"/>
          <w:sz w:val="20"/>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Times New Roman" w:hAnsi="Times New Roman"/>
          <w:sz w:val="20"/>
          <w:u w:val="single"/>
        </w:rPr>
        <w:t>provided</w:t>
      </w:r>
      <w:r>
        <w:rPr>
          <w:rFonts w:ascii="Times New Roman" w:hAnsi="Times New Roman"/>
          <w:sz w:val="20"/>
        </w:rPr>
        <w:t xml:space="preserve"> that in the event that the Immaterial Subsidiaries, taken together, had as of the last day of the fiscal quarter of the Borrowers most recently ended net revenues or total assets in excess of 10.0 %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hAnsi="Times New Roman"/>
          <w:sz w:val="20"/>
          <w:u w:val="single"/>
        </w:rPr>
        <w:t>provided further</w:t>
      </w:r>
      <w:r>
        <w:rPr>
          <w:rFonts w:ascii="Times New Roman" w:hAnsi="Times New Roman"/>
          <w:sz w:val="20"/>
        </w:rPr>
        <w:t xml:space="preserve"> that the Borrower may re-designate Material Subsidiaries as Immaterial Subsidiaries so long as the Borrower is in compliance with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Rate</w:t>
      </w:r>
      <w:r>
        <w:rPr>
          <w:rFonts w:ascii="Times New Roman" w:hAnsi="Times New Roman"/>
          <w:sz w:val="20"/>
        </w:rPr>
        <w:t xml:space="preserve"> has the meaning assigned to such term in Section 2.16.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Model</w:t>
      </w:r>
      <w:r>
        <w:rPr>
          <w:rFonts w:ascii="Times New Roman" w:hAnsi="Times New Roman"/>
          <w:sz w:val="20"/>
        </w:rPr>
        <w:t xml:space="preserve"> means that certain financial model delivered by the Borrower to the First Lien Administrative Agent on November 7, 2019 (together with any updates or modifications thereto reasonably agreed between the Borrower and the First Lien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Mortgage</w:t>
      </w:r>
      <w:r>
        <w:rPr>
          <w:rFonts w:ascii="Times New Roman" w:hAnsi="Times New Roman"/>
          <w:sz w:val="20"/>
        </w:rPr>
        <w:t xml:space="preserve">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Mortgaged Property</w:t>
      </w:r>
      <w:r>
        <w:rPr>
          <w:rFonts w:ascii="Times New Roman" w:hAnsi="Times New Roman"/>
          <w:sz w:val="20"/>
        </w:rPr>
        <w:t xml:space="preserve"> means each parcel of Material Real Property with respect to which a Mortgage is granted pursuant to the Collateral and Guarantee Requirement, Section 5.11, Section 5.12 or Section 5.14 (if 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Proceeds</w:t>
      </w:r>
      <w:r>
        <w:rPr>
          <w:rFonts w:ascii="Times New Roman" w:hAnsi="Times New Roman"/>
          <w:sz w:val="20"/>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hAnsi="Times New Roman"/>
          <w:sz w:val="20"/>
          <w:u w:val="single"/>
        </w:rPr>
        <w:t>minus</w:t>
      </w:r>
      <w:r>
        <w:rPr>
          <w:rFonts w:ascii="Times New Roman" w:hAnsi="Times New Roman"/>
          <w:sz w:val="20"/>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Times New Roman" w:hAnsi="Times New Roman"/>
          <w:sz w:val="20"/>
          <w:u w:val="single"/>
        </w:rPr>
        <w:t>provided</w:t>
      </w:r>
      <w:r>
        <w:rPr>
          <w:rFonts w:ascii="Times New Roman" w:hAnsi="Times New Roman"/>
          <w:sz w:val="20"/>
        </w:rPr>
        <w:t xml:space="preserve"> that any reduction at any time in the amount of any such reserves (other than as a result of payments made in respect thereof) shall be deemed to constitute the receipt by the Borrower at such time of Net Proceeds in the amount of such reduction.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Project</w:t>
      </w:r>
      <w:r>
        <w:rPr>
          <w:rFonts w:ascii="Times New Roman" w:hAnsi="Times New Roman"/>
          <w:sz w:val="20"/>
        </w:rPr>
        <w:t xml:space="preserve"> shall mean (a) each facility which is either a new facility, branch or office or an expansion, relocation, remodeling or substantial modernization of an existing facility, branch or office owned by the Borrower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Short Lender</w:t>
      </w:r>
      <w:r>
        <w:rPr>
          <w:rFonts w:ascii="Times New Roman" w:hAnsi="Times New Roman"/>
          <w:sz w:val="20"/>
        </w:rPr>
        <w:t xml:space="preserve"> has the meaning assigned to such term in Section 9.02(h).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Non-Accepting Lender</w:t>
      </w:r>
      <w:r>
        <w:rPr>
          <w:rFonts w:ascii="Times New Roman" w:hAnsi="Times New Roman"/>
          <w:sz w:val="20"/>
        </w:rPr>
        <w:t xml:space="preserve"> has the meaning assigned to such term in Section 2.24(c).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Non-Cash Charges</w:t>
      </w:r>
      <w:r>
        <w:rPr>
          <w:rFonts w:ascii="Times New Roman" w:hAnsi="Times New Roman"/>
          <w:sz w:val="20"/>
        </w:rPr>
        <w:t> means (a) any impairment charge or asset write-off or write-down related to intangible assets (including goodwill), long-lived assets, and Investments in debt and equity securities pursuant to GAAP, (b) all losses from Investments recorded using the equity method, (c) 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hAnsi="Times New Roman"/>
          <w:sz w:val="20"/>
          <w:u w:val="single"/>
        </w:rPr>
        <w:t>provided</w:t>
      </w:r>
      <w:r>
        <w:rPr>
          <w:rFonts w:ascii="Times New Roman" w:hAnsi="Times New Roman"/>
          <w:sz w:val="20"/>
        </w:rPr>
        <w:t xml:space="preserve">,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Non-Cash Compensation Expense</w:t>
      </w:r>
      <w:r>
        <w:rPr>
          <w:rFonts w:ascii="Times New Roman" w:hAnsi="Times New Roman"/>
          <w:sz w:val="20"/>
        </w:rPr>
        <w:t xml:space="preserve"> means any non-cash expenses and costs that result from the issuance of stock-based awards, partnership interest-based awards and similar incentive based compensation awards or arrangements.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Non-Consenting Lender</w:t>
      </w:r>
      <w:r>
        <w:rPr>
          <w:rFonts w:ascii="Times New Roman" w:hAnsi="Times New Roman"/>
          <w:sz w:val="20"/>
        </w:rPr>
        <w:t xml:space="preserve"> has the meaning assigned to such term in Section 9.02(c).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Non-Wholly Owned Subsidiary</w:t>
      </w:r>
      <w:r>
        <w:rPr>
          <w:rFonts w:ascii="Times New Roman" w:hAnsi="Times New Roman"/>
          <w:sz w:val="20"/>
        </w:rPr>
        <w:t xml:space="preserve"> of any Person means any subsidiary of such Person other than a Wholly Owned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 Otherwise Applied</w:t>
      </w:r>
      <w:r>
        <w:rPr>
          <w:rFonts w:ascii="Times New Roman" w:hAnsi="Times New Roman"/>
          <w:sz w:val="20"/>
        </w:rPr>
        <w:t xml:space="preserve"> means, with reference to the Available Amount or the Available Equity Amount, as applicable, that such amount was not previously applied pursuant to Sections 6.04(m), 6.07(a)(viii) and 6.07(b)(iv).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w:t>
      </w:r>
      <w:r>
        <w:rPr>
          <w:rFonts w:ascii="Times New Roman" w:hAnsi="Times New Roman"/>
          <w:sz w:val="20"/>
        </w:rPr>
        <w:t xml:space="preserve"> means a promissory note of the Borrower, in substantially the form of Exhibit O, payable to a Lender in a principal amount equal to the principal amount of the Revolving Commitment or Term Loans, as applicable, of such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NYFRB</w:t>
      </w:r>
      <w:r>
        <w:rPr>
          <w:rFonts w:ascii="Times New Roman" w:hAnsi="Times New Roman"/>
          <w:sz w:val="20"/>
        </w:rPr>
        <w:t xml:space="preserve"> means the Federal Reserve Bank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NYFRB Rate</w:t>
      </w:r>
      <w:r>
        <w:rPr>
          <w:rFonts w:ascii="Times New Roman" w:hAnsi="Times New Roman"/>
          <w:sz w:val="20"/>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First Lien Administrative Agent from a federal funds broker of recognized standing selected by it; provided, further, that if any of the aforesaid rates as so determined would be less than 0%, then such rate shall be deemed to be 0%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NYFRBs Website</w:t>
      </w:r>
      <w:r>
        <w:rPr>
          <w:rFonts w:ascii="Times New Roman" w:hAnsi="Times New Roman"/>
          <w:sz w:val="20"/>
        </w:rPr>
        <w:t xml:space="preserve"> means the website of the NYFRB at http://www.newyorkfed.org, or any successor source.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OFAC</w:t>
      </w:r>
      <w:r>
        <w:rPr>
          <w:rFonts w:ascii="Times New Roman" w:hAnsi="Times New Roman"/>
          <w:sz w:val="20"/>
        </w:rPr>
        <w:t xml:space="preserve"> has the meaning specified in Section 3.17(b).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Offered Amount</w:t>
      </w:r>
      <w:r>
        <w:rPr>
          <w:rFonts w:ascii="Times New Roman" w:hAnsi="Times New Roman"/>
          <w:sz w:val="20"/>
        </w:rPr>
        <w:t xml:space="preserve"> has the meaning assigned to such term in Section 2.11(a)(ii)(D)(1).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Offered Discount</w:t>
      </w:r>
      <w:r>
        <w:rPr>
          <w:rFonts w:ascii="Times New Roman" w:hAnsi="Times New Roman"/>
          <w:sz w:val="20"/>
        </w:rPr>
        <w:t xml:space="preserve"> has the meaning assigned to such term in Section 2.11(a)(ii)(D)(1).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with respect to any Person, the charter, articles or certificate of organization or incorporation and bylaws or other organizational or governing documents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First Lien Term Commitments</w:t>
      </w:r>
      <w:r>
        <w:rPr>
          <w:rFonts w:ascii="Times New Roman" w:hAnsi="Times New Roman"/>
          <w:sz w:val="20"/>
        </w:rPr>
        <w:t xml:space="preserve"> means one or more Classes of term loan commitments hereunder that result from a Refinancing Amendment or a Loan Modification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First Lien Term Loans</w:t>
      </w:r>
      <w:r>
        <w:rPr>
          <w:rFonts w:ascii="Times New Roman" w:hAnsi="Times New Roman"/>
          <w:sz w:val="20"/>
        </w:rPr>
        <w:t xml:space="preserve"> means one or more Classes of Term Loans that result from a Refinancing Amendment or a Loan Modification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Revolving Commitments</w:t>
      </w:r>
      <w:r>
        <w:rPr>
          <w:rFonts w:ascii="Times New Roman" w:hAnsi="Times New Roman"/>
          <w:sz w:val="20"/>
        </w:rPr>
        <w:t xml:space="preserve"> means one or more Classes of Revolving Commitments hereunder or extended Revolving Commitments that result from a Refinancing Amendment or a Loan Modification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Revolving Loans</w:t>
      </w:r>
      <w:r>
        <w:rPr>
          <w:rFonts w:ascii="Times New Roman" w:hAnsi="Times New Roman"/>
          <w:sz w:val="20"/>
        </w:rPr>
        <w:t xml:space="preserve"> means one or more classes of Revolving Loans made pursuant to any Other Revolving Commitment or a Loan Modification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Taxes</w:t>
      </w:r>
      <w:r>
        <w:rPr>
          <w:rFonts w:ascii="Times New Roman" w:hAnsi="Times New Roman"/>
          <w:sz w:val="20"/>
        </w:rPr>
        <w:t xml:space="preserve">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has the meaning assigned to such term in Section 9.04(c)(i).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 Register</w:t>
      </w:r>
      <w:r>
        <w:rPr>
          <w:rFonts w:ascii="Times New Roman" w:hAnsi="Times New Roman"/>
          <w:sz w:val="20"/>
        </w:rPr>
        <w:t xml:space="preserve"> has the meaning assigned to such term in Section 9.04(c)(ii).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Participating Lender</w:t>
      </w:r>
      <w:r>
        <w:rPr>
          <w:rFonts w:ascii="Times New Roman" w:hAnsi="Times New Roman"/>
          <w:sz w:val="20"/>
        </w:rPr>
        <w:t xml:space="preserve"> has the meaning assigned to such term in Section 2.11(a)(ii)(C)(2).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Patent</w:t>
      </w:r>
      <w:r>
        <w:rPr>
          <w:rFonts w:ascii="Times New Roman" w:hAnsi="Times New Roman"/>
          <w:sz w:val="20"/>
        </w:rPr>
        <w:t xml:space="preserve"> has the meaning assigned to such term in the First Lien Collateral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Perfection Certificate</w:t>
      </w:r>
      <w:r>
        <w:rPr>
          <w:rFonts w:ascii="Times New Roman" w:hAnsi="Times New Roman"/>
          <w:sz w:val="20"/>
        </w:rPr>
        <w:t xml:space="preserve"> means a certificate substantially in the form of Exhibit C.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Periodic Term CORRA Determination Day has the meaning assigned to such term in the definition of Term CORRA.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Acquisition</w:t>
      </w:r>
      <w:r>
        <w:rPr>
          <w:rFonts w:ascii="Times New Roman" w:hAnsi="Times New Roman"/>
          <w:sz w:val="20"/>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 w:hAnsi="Times New Roman"/>
          <w:sz w:val="20"/>
          <w:u w:val="single"/>
        </w:rPr>
        <w:t>provided</w:t>
      </w:r>
      <w:r>
        <w:rPr>
          <w:rFonts w:ascii="Times New Roman" w:hAnsi="Times New Roman"/>
          <w:sz w:val="20"/>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Amendment</w:t>
      </w:r>
      <w:r>
        <w:rPr>
          <w:rFonts w:ascii="Times New Roman" w:hAnsi="Times New Roman"/>
          <w:sz w:val="20"/>
        </w:rPr>
        <w:t xml:space="preserve">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(b) 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 </w:t>
      </w:r>
    </w:p>
    <w:p>
      <w:pPr>
        <w:pStyle w:val="TextBody"/>
        <w:bidi w:val="0"/>
        <w:spacing w:before="120" w:after="0"/>
        <w:jc w:val="left"/>
        <w:rPr>
          <w:rFonts w:ascii="Times New Roman" w:hAnsi="Times New Roman"/>
          <w:sz w:val="20"/>
        </w:rPr>
      </w:pPr>
      <w:r>
        <w:rPr>
          <w:rFonts w:ascii="Times New Roman" w:hAnsi="Times New Roman"/>
          <w:sz w:val="20"/>
        </w:rPr>
        <w:t xml:space="preserve">(d) 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 </w:t>
      </w:r>
    </w:p>
    <w:p>
      <w:pPr>
        <w:pStyle w:val="TextBody"/>
        <w:bidi w:val="0"/>
        <w:spacing w:before="120" w:after="0"/>
        <w:jc w:val="left"/>
        <w:rPr>
          <w:rFonts w:ascii="Times New Roman" w:hAnsi="Times New Roman"/>
          <w:sz w:val="20"/>
        </w:rPr>
      </w:pPr>
      <w:r>
        <w:rPr>
          <w:rFonts w:ascii="Times New Roman" w:hAnsi="Times New Roman"/>
          <w:sz w:val="20"/>
        </w:rPr>
        <w:t xml:space="preserve">(e) 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(f) Liens securing, or otherwise arising from, judgments not constituting an Event of Default under Section 7.01(j); </w:t>
      </w:r>
    </w:p>
    <w:p>
      <w:pPr>
        <w:pStyle w:val="TextBody"/>
        <w:bidi w:val="0"/>
        <w:spacing w:before="120" w:after="0"/>
        <w:jc w:val="left"/>
        <w:rPr>
          <w:rFonts w:ascii="Times New Roman" w:hAnsi="Times New Roman"/>
          <w:sz w:val="20"/>
        </w:rPr>
      </w:pPr>
      <w:r>
        <w:rPr>
          <w:rFonts w:ascii="Times New Roman" w:hAnsi="Times New Roman"/>
          <w:sz w:val="20"/>
        </w:rPr>
        <w:t xml:space="preserve">(g) 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hAnsi="Times New Roman"/>
          <w:sz w:val="20"/>
          <w:u w:val="single"/>
        </w:rPr>
        <w:t>provided</w:t>
      </w:r>
      <w:r>
        <w:rPr>
          <w:rFonts w:ascii="Times New Roman" w:hAnsi="Times New Roman"/>
          <w:sz w:val="20"/>
        </w:rPr>
        <w:t xml:space="preserve"> that such Lien secures only the obligations of the Borrower or such Subsidiaries in respect of such letter of credit to the extent such obligations are permitted by Section 6.01; </w:t>
      </w:r>
    </w:p>
    <w:p>
      <w:pPr>
        <w:pStyle w:val="TextBody"/>
        <w:bidi w:val="0"/>
        <w:spacing w:before="120" w:after="0"/>
        <w:jc w:val="left"/>
        <w:rPr>
          <w:rFonts w:ascii="Times New Roman" w:hAnsi="Times New Roman"/>
          <w:sz w:val="20"/>
        </w:rPr>
      </w:pPr>
      <w:r>
        <w:rPr>
          <w:rFonts w:ascii="Times New Roman" w:hAnsi="Times New Roman"/>
          <w:sz w:val="20"/>
        </w:rPr>
        <w:t xml:space="preserve">(h) Liens arising from precautionary Uniform Commercial Code financing statements or similar filings made in respect of operating leases entered into by the Borrower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 rights of recapture of unused real property (other than any Mortgaged Property) in favor of the seller of such property set forth in customary purchase agreements and related arrangements with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(j) Liens in favor of deposit banks or securities intermediaries securing customary fees, expenses or charges in connection with the establishment, operation or maintenance of deposit accounts or securities accounts; </w:t>
      </w:r>
    </w:p>
    <w:p>
      <w:pPr>
        <w:pStyle w:val="TextBody"/>
        <w:bidi w:val="0"/>
        <w:spacing w:before="120" w:after="0"/>
        <w:jc w:val="left"/>
        <w:rPr>
          <w:rFonts w:ascii="Times New Roman" w:hAnsi="Times New Roman"/>
          <w:sz w:val="20"/>
        </w:rPr>
      </w:pPr>
      <w:r>
        <w:rPr>
          <w:rFonts w:ascii="Times New Roman" w:hAnsi="Times New Roman"/>
          <w:sz w:val="20"/>
        </w:rPr>
        <w:t xml:space="preserve">(k) 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(l) Liens arising from grants of non-exclusive licenses or sublicenses of Intellectual Property made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(m) 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Liens arising from the right of distress enjoyed by landlords or Liens otherwise granted to landlords, in either case, to secure the payment of arrears of rent or performance of other tenant obligations in respect of leased properties, so long as such Liens are not exercised; </w:t>
      </w:r>
    </w:p>
    <w:p>
      <w:pPr>
        <w:pStyle w:val="TextBody"/>
        <w:bidi w:val="0"/>
        <w:spacing w:before="120" w:after="0"/>
        <w:jc w:val="left"/>
        <w:rPr>
          <w:rFonts w:ascii="Times New Roman" w:hAnsi="Times New Roman"/>
          <w:sz w:val="20"/>
        </w:rPr>
      </w:pPr>
      <w:r>
        <w:rPr>
          <w:rFonts w:ascii="Times New Roman" w:hAnsi="Times New Roman"/>
          <w:sz w:val="20"/>
        </w:rPr>
        <w:t xml:space="preserve">(o) securities to public utilities or to any Governmental Authority when required by the utility or other authority in connection with the supply of services or utilities to the Borrower and any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(p) 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(q) operating leases of vehicles or equipment which are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(r) Liens securing Priority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(s) receipt of progress payments and advances from customers in the ordinary course of business to the extent the same creates a Lien on the related inventory and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(t) any zoning, building or similar law or right reserved to or vested in any Governmental Authority to control or regulate the use of any real property; and </w:t>
      </w:r>
    </w:p>
    <w:p>
      <w:pPr>
        <w:pStyle w:val="TextBody"/>
        <w:bidi w:val="0"/>
        <w:spacing w:before="120" w:after="0"/>
        <w:jc w:val="left"/>
        <w:rPr>
          <w:rFonts w:ascii="Times New Roman" w:hAnsi="Times New Roman"/>
          <w:sz w:val="20"/>
        </w:rPr>
      </w:pPr>
      <w:r>
        <w:rPr>
          <w:rFonts w:ascii="Times New Roman" w:hAnsi="Times New Roman"/>
          <w:sz w:val="20"/>
        </w:rPr>
        <w:t xml:space="preserve">(u) leases, licenses, subleases or sublicenses granted to others that do not (A) interfere in any material respect with the business of the Borrower and its Restricted Subsidiaries, taken as a whole, or (B) secure any Indebtedness;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First Priority Refinancing Debt</w:t>
      </w:r>
      <w:r>
        <w:rPr>
          <w:rFonts w:ascii="Times New Roman" w:hAnsi="Times New Roman"/>
          <w:sz w:val="20"/>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Times New Roman" w:hAnsi="Times New Roman"/>
          <w:sz w:val="20"/>
          <w:u w:val="single"/>
        </w:rPr>
        <w:t>provided</w:t>
      </w:r>
      <w:r>
        <w:rPr>
          <w:rFonts w:ascii="Times New Roman" w:hAnsi="Times New Roman"/>
          <w:sz w:val="20"/>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Holders</w:t>
      </w:r>
      <w:r>
        <w:rPr>
          <w:rFonts w:ascii="Times New Roman" w:hAnsi="Times New Roman"/>
          <w:sz w:val="20"/>
        </w:rPr>
        <w:t xml:space="preserve"> 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Investments</w:t>
      </w:r>
      <w:r>
        <w:rPr>
          <w:rFonts w:ascii="Times New Roman" w:hAnsi="Times New Roman"/>
          <w:sz w:val="20"/>
        </w:rPr>
        <w:t xml:space="preserve"> means any of the following, to the extent owned by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(a) Dollars, Euros, Canadian Dollars, pounds sterling or such other currencies held by it from time to time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readily marketable obligations issued or directly and fully guaranteed or insured by the government or any agency or instrumentality of (i) 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 w:hAnsi="Times New Roman"/>
          <w:sz w:val="20"/>
          <w:u w:val="single"/>
        </w:rPr>
        <w:t>provided</w:t>
      </w:r>
      <w:r>
        <w:rPr>
          <w:rFonts w:ascii="Times New Roman" w:hAnsi="Times New Roman"/>
          <w:sz w:val="20"/>
        </w:rPr>
        <w:t xml:space="preserve"> that the full faith and credit of such country or such member nation of the European Union is pledged in support thereof; </w:t>
      </w:r>
    </w:p>
    <w:p>
      <w:pPr>
        <w:pStyle w:val="TextBody"/>
        <w:bidi w:val="0"/>
        <w:spacing w:before="120" w:after="0"/>
        <w:jc w:val="left"/>
        <w:rPr>
          <w:rFonts w:ascii="Times New Roman" w:hAnsi="Times New Roman"/>
          <w:sz w:val="20"/>
        </w:rPr>
      </w:pPr>
      <w:r>
        <w:rPr>
          <w:rFonts w:ascii="Times New Roman" w:hAnsi="Times New Roman"/>
          <w:sz w:val="20"/>
        </w:rPr>
        <w:t>(c) 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Times New Roman" w:hAnsi="Times New Roman"/>
          <w:sz w:val="20"/>
          <w:u w:val="single"/>
        </w:rPr>
        <w:t>Approved Bank</w:t>
      </w:r>
      <w:r>
        <w:rPr>
          <w:rFonts w:ascii="Times New Roman" w:hAnsi="Times New Roman"/>
          <w:sz w:val="20"/>
        </w:rPr>
        <w:t xml:space="preserve">), in each case with average maturities of not more than 12 months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(d) 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(e) 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(f) 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 </w:t>
      </w:r>
    </w:p>
    <w:p>
      <w:pPr>
        <w:pStyle w:val="TextBody"/>
        <w:bidi w:val="0"/>
        <w:spacing w:before="120" w:after="0"/>
        <w:jc w:val="left"/>
        <w:rPr>
          <w:rFonts w:ascii="Times New Roman" w:hAnsi="Times New Roman"/>
          <w:sz w:val="20"/>
        </w:rPr>
      </w:pPr>
      <w:r>
        <w:rPr>
          <w:rFonts w:ascii="Times New Roman" w:hAnsi="Times New Roman"/>
          <w:sz w:val="20"/>
        </w:rPr>
        <w:t xml:space="preserve">(g) 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 </w:t>
      </w:r>
    </w:p>
    <w:p>
      <w:pPr>
        <w:pStyle w:val="TextBody"/>
        <w:bidi w:val="0"/>
        <w:spacing w:before="120" w:after="0"/>
        <w:jc w:val="left"/>
        <w:rPr>
          <w:rFonts w:ascii="Times New Roman" w:hAnsi="Times New Roman"/>
          <w:sz w:val="20"/>
        </w:rPr>
      </w:pPr>
      <w:r>
        <w:rPr>
          <w:rFonts w:ascii="Times New Roman" w:hAnsi="Times New Roman"/>
          <w:sz w:val="20"/>
        </w:rPr>
        <w:t xml:space="preserve">(h) investments with average maturities of 12 months or less from the date of acquisition in mutual funds rated AAA- (or the equivalent thereof) or better by S&amp;P or Aaa3 (or the equivalent thereof) or better by Moodys; </w:t>
      </w:r>
    </w:p>
    <w:p>
      <w:pPr>
        <w:pStyle w:val="TextBody"/>
        <w:bidi w:val="0"/>
        <w:spacing w:before="120" w:after="0"/>
        <w:jc w:val="left"/>
        <w:rPr>
          <w:rFonts w:ascii="Times New Roman" w:hAnsi="Times New Roman"/>
          <w:sz w:val="20"/>
        </w:rPr>
      </w:pPr>
      <w:r>
        <w:rPr>
          <w:rFonts w:ascii="Times New Roman" w:hAnsi="Times New Roman"/>
          <w:sz w:val="20"/>
        </w:rPr>
        <w:t xml:space="preserve">(i) 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(k) 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hAnsi="Times New Roman"/>
          <w:sz w:val="20"/>
          <w:u w:val="single"/>
        </w:rPr>
        <w:t>provided</w:t>
      </w:r>
      <w:r>
        <w:rPr>
          <w:rFonts w:ascii="Times New Roman" w:hAnsi="Times New Roman"/>
          <w:sz w:val="20"/>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hAnsi="Times New Roman"/>
          <w:sz w:val="20"/>
          <w:u w:val="single"/>
        </w:rPr>
        <w:t>Approved Foreign Bank</w:t>
      </w:r>
      <w:r>
        <w:rPr>
          <w:rFonts w:ascii="Times New Roman" w:hAnsi="Times New Roman"/>
          <w:sz w:val="20"/>
        </w:rPr>
        <w:t xml:space="preserve">), and in each case with maturities of not more than 24 months from the date of acquisition and (iii) the equivalent of demand deposit accounts which are maintained with an Approved Foreign Bank; and </w:t>
      </w:r>
    </w:p>
    <w:p>
      <w:pPr>
        <w:pStyle w:val="TextBody"/>
        <w:bidi w:val="0"/>
        <w:spacing w:before="120" w:after="0"/>
        <w:jc w:val="left"/>
        <w:rPr>
          <w:rFonts w:ascii="Times New Roman" w:hAnsi="Times New Roman"/>
          <w:sz w:val="20"/>
        </w:rPr>
      </w:pPr>
      <w:r>
        <w:rPr>
          <w:rFonts w:ascii="Times New Roman" w:hAnsi="Times New Roman"/>
          <w:sz w:val="20"/>
        </w:rPr>
        <w:t xml:space="preserve">(l) investment funds investing at least 90% of their assets in securities of the types described in clauses (a) through (k)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Refinancing</w:t>
      </w:r>
      <w:r>
        <w:rPr>
          <w:rFonts w:ascii="Times New Roman" w:hAnsi="Times New Roman"/>
          <w:sz w:val="20"/>
        </w:rPr>
        <w:t xml:space="preserve"> means, with respect to any Person, any modification, refinancing, refunding, renewal or extension of any Indebtedness of such Person; </w:t>
      </w:r>
      <w:r>
        <w:rPr>
          <w:rFonts w:ascii="Times New Roman" w:hAnsi="Times New Roman"/>
          <w:sz w:val="20"/>
          <w:u w:val="single"/>
        </w:rPr>
        <w:t>provided</w:t>
      </w:r>
      <w:r>
        <w:rPr>
          <w:rFonts w:ascii="Times New Roman" w:hAnsi="Times New Roman"/>
          <w:sz w:val="20"/>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hAnsi="Times New Roman"/>
          <w:sz w:val="20"/>
          <w:u w:val="single"/>
        </w:rPr>
        <w:t>provided</w:t>
      </w:r>
      <w:r>
        <w:rPr>
          <w:rFonts w:ascii="Times New Roman" w:hAnsi="Times New Roman"/>
          <w:sz w:val="20"/>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to the First Lien Loan Document Obligations, Indebtedness resulting from such modification, refinancing, refunding, renewal or extension is subordinated in right of payment to the First Lien Loan Document Obligations on terms at least as favorable to the Lenders as those contained in the documentation governing the Indebtedness being modified, refinanced, refunded, renewed or extended, (e) if the Indebtedness being modified, refinanced, refunded, renewed or extended is permitted pursuant to Section 6.01(a)(xxi)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Times New Roman" w:hAnsi="Times New Roman"/>
          <w:sz w:val="20"/>
          <w:u w:val="single"/>
        </w:rPr>
        <w:t>provided</w:t>
      </w:r>
      <w:r>
        <w:rPr>
          <w:rFonts w:ascii="Times New Roman" w:hAnsi="Times New Roman"/>
          <w:sz w:val="20"/>
        </w:rPr>
        <w:t xml:space="preserve"> that a certificate of a Responsible Officer of the Borrower delivered to the First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 w:hAnsi="Times New Roman"/>
          <w:sz w:val="20"/>
          <w:u w:val="single"/>
        </w:rPr>
        <w:t>provided</w:t>
      </w:r>
      <w:r>
        <w:rPr>
          <w:rFonts w:ascii="Times New Roman" w:hAnsi="Times New Roman"/>
          <w:sz w:val="20"/>
        </w:rPr>
        <w:t xml:space="preserve"> that such excess includes successive Permitted Refinancings of the same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Second Priority Debt</w:t>
      </w:r>
      <w:r>
        <w:rPr>
          <w:rFonts w:ascii="Times New Roman" w:hAnsi="Times New Roman"/>
          <w:sz w:val="20"/>
        </w:rPr>
        <w:t xml:space="preserve"> means (a) the Second Lien Facilities and (b) any Second Lien Incremental Equivalent Debt, in each case, permitted to be incurred pursuant to the terms of the Second Lien Indenture as in effect on the Effective Date (as it may be amended in accordance with the express terms of the First/Second Lien Intercreditor Agreement) and any Permitted Refinancing thereof. For the avoidance of doubt, the aggregate principal amount of Second Lien Facilities on the Effective Date shall not exceed $770,000,000.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Second Priority Refinancing Debt</w:t>
      </w:r>
      <w:r>
        <w:rPr>
          <w:rFonts w:ascii="Times New Roman" w:hAnsi="Times New Roman"/>
          <w:sz w:val="20"/>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Times New Roman" w:hAnsi="Times New Roman"/>
          <w:sz w:val="20"/>
          <w:u w:val="single"/>
        </w:rPr>
        <w:t>provided</w:t>
      </w:r>
      <w:r>
        <w:rPr>
          <w:rFonts w:ascii="Times New Roman" w:hAnsi="Times New Roman"/>
          <w:sz w:val="20"/>
        </w:rPr>
        <w:t xml:space="preserve"> that (i) such Indebtedness is secured by the Collateral on a junior lien, subordinated basis to the Secured Obligations and the obligations in respect of any Permitted First Priority Refinancing Debt,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 (vi) 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Unsecured Refinancing Debt</w:t>
      </w:r>
      <w:r>
        <w:rPr>
          <w:rFonts w:ascii="Times New Roman" w:hAnsi="Times New Roman"/>
          <w:sz w:val="20"/>
        </w:rPr>
        <w:t xml:space="preserve"> means any unsecured Indebtedness incurred by the Borrower and/or any Loan Party in the form of one or more series of senior unsecured notes or senior unsecured loans; </w:t>
      </w:r>
      <w:r>
        <w:rPr>
          <w:rFonts w:ascii="Times New Roman" w:hAnsi="Times New Roman"/>
          <w:sz w:val="20"/>
          <w:u w:val="single"/>
        </w:rPr>
        <w:t>provided</w:t>
      </w:r>
      <w:r>
        <w:rPr>
          <w:rFonts w:ascii="Times New Roman" w:hAnsi="Times New Roman"/>
          <w:sz w:val="20"/>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PIK Toggle Notes</w:t>
      </w:r>
      <w:r>
        <w:rPr>
          <w:rFonts w:ascii="Times New Roman" w:hAnsi="Times New Roman"/>
          <w:sz w:val="20"/>
        </w:rPr>
        <w:t xml:space="preserve"> means the $425,000,000 aggregate principal amount of 8.125% / 8.875% Senior PIK Toggle Notes due 2021 issued by Sotera Health Topco, Inc. (formerly Sterigenics-Nordion Topco, LLC) (Topco) pursuant to the indenture dated as of November 1, 2016, as supplemented by the first supplemental indenture dated as of November 24, 2017, between Topco and Wilmington Trust, National Association, as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w:t>
      </w:r>
      <w:r>
        <w:rPr>
          <w:rFonts w:ascii="Times New Roman" w:hAnsi="Times New Roman"/>
          <w:sz w:val="20"/>
        </w:rPr>
        <w:t xml:space="preserve">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Planned Expenditures</w:t>
      </w:r>
      <w:r>
        <w:rPr>
          <w:rFonts w:ascii="Times New Roman" w:hAnsi="Times New Roman"/>
          <w:sz w:val="20"/>
        </w:rPr>
        <w:t xml:space="preserve"> has the meaning assigned to such term in Section 2.11(d)(v).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Platform</w:t>
      </w:r>
      <w:r>
        <w:rPr>
          <w:rFonts w:ascii="Times New Roman" w:hAnsi="Times New Roman"/>
          <w:sz w:val="20"/>
        </w:rPr>
        <w:t xml:space="preserve"> has the meaning assigned to such term in Section 5.01.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Post-Transaction Period</w:t>
      </w:r>
      <w:r>
        <w:rPr>
          <w:rFonts w:ascii="Times New Roman" w:hAnsi="Times New Roman"/>
          <w:sz w:val="20"/>
        </w:rPr>
        <w:t xml:space="preserve"> means, with respect to any Specified Transaction, the period beginning on the date such Specified Transaction is consummated and ending on the last day of the eighth full consecutive fiscal quarter immediately following the date on which such Specified Transaction is consummated.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non-ordinary course sale, transfer or other disposition of any property or asset of the Borrower or any of its Restricted Subsidiaries permitted by Section 6.05(k) other than dispositions resulting in aggregate Net Proceeds not exceeding (A) $25,000,000 in the case of any single transaction or series of related transactions and (B) $50,000,000 for all such transactions during any fiscal year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(b) 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Prime Rate</w:t>
      </w:r>
      <w:r>
        <w:rPr>
          <w:rFonts w:ascii="Times New Roman" w:hAnsi="Times New Roman"/>
          <w:sz w:val="20"/>
        </w:rPr>
        <w:t xml:space="preserve"> means the rate of interest per annum announced from time to time by JPMorgan (or any successor to JPMorgan in its capacity as First Lien Administrative Agent) as its prime commercial lending rate in effect at its principal office in New York City and notified to the Borrower. The Prime Rate is a reference rate and does not necessarily represent the lowest or best rate actually charged to any customer.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Priority Obligation</w:t>
      </w:r>
      <w:r>
        <w:rPr>
          <w:rFonts w:ascii="Times New Roman" w:hAnsi="Times New Roman"/>
          <w:sz w:val="20"/>
        </w:rPr>
        <w:t xml:space="preserve"> means any obligation that is secured by a Lien on any Collateral in favor of a Governmental Authority, which Lien ranks or is capable of ranking prior to or </w:t>
      </w:r>
      <w:r>
        <w:rPr>
          <w:rFonts w:ascii="Times New Roman" w:hAnsi="Times New Roman"/>
          <w:sz w:val="20"/>
          <w:u w:val="single"/>
        </w:rPr>
        <w:t>pari passu</w:t>
      </w:r>
      <w:r>
        <w:rPr>
          <w:rFonts w:ascii="Times New Roman" w:hAnsi="Times New Roman"/>
          <w:sz w:val="20"/>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Adjustment</w:t>
      </w:r>
      <w:r>
        <w:rPr>
          <w:rFonts w:ascii="Times New Roman" w:hAnsi="Times New Roman"/>
          <w:sz w:val="20"/>
        </w:rPr>
        <w:t>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Times New Roman" w:hAnsi="Times New Roman"/>
          <w:sz w:val="20"/>
          <w:u w:val="single"/>
        </w:rPr>
        <w:t>provided</w:t>
      </w:r>
      <w:r>
        <w:rPr>
          <w:rFonts w:ascii="Times New Roman" w:hAnsi="Times New Roman"/>
          <w:sz w:val="20"/>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Basis</w:t>
      </w:r>
      <w:r>
        <w:rPr>
          <w:rFonts w:ascii="Times New Roman" w:hAnsi="Times New Roman"/>
          <w:sz w:val="20"/>
        </w:rPr>
        <w:t>, </w:t>
      </w:r>
      <w:r>
        <w:rPr>
          <w:rFonts w:ascii="Times New Roman" w:hAnsi="Times New Roman"/>
          <w:sz w:val="20"/>
          <w:u w:val="single"/>
        </w:rPr>
        <w:t>Pro Forma Compliance</w:t>
      </w:r>
      <w:r>
        <w:rPr>
          <w:rFonts w:ascii="Times New Roman" w:hAnsi="Times New Roman"/>
          <w:sz w:val="20"/>
        </w:rPr>
        <w:t> and </w:t>
      </w:r>
      <w:r>
        <w:rPr>
          <w:rFonts w:ascii="Times New Roman" w:hAnsi="Times New Roman"/>
          <w:sz w:val="20"/>
          <w:u w:val="single"/>
        </w:rPr>
        <w:t>Pro Forma Effect</w:t>
      </w:r>
      <w:r>
        <w:rPr>
          <w:rFonts w:ascii="Times New Roman" w:hAnsi="Times New Roman"/>
          <w:sz w:val="20"/>
        </w:rPr>
        <w:t xml:space="preserve">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hAnsi="Times New Roman"/>
          <w:sz w:val="20"/>
          <w:u w:val="single"/>
        </w:rPr>
        <w:t>provided</w:t>
      </w:r>
      <w:r>
        <w:rPr>
          <w:rFonts w:ascii="Times New Roman" w:hAnsi="Times New Roman"/>
          <w:sz w:val="20"/>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Disposal Adjustment</w:t>
      </w:r>
      <w:r>
        <w:rPr>
          <w:rFonts w:ascii="Times New Roman" w:hAnsi="Times New Roman"/>
          <w:sz w:val="20"/>
        </w:rPr>
        <w:t xml:space="preserve">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Entity</w:t>
      </w:r>
      <w:r>
        <w:rPr>
          <w:rFonts w:ascii="Times New Roman" w:hAnsi="Times New Roman"/>
          <w:sz w:val="20"/>
        </w:rPr>
        <w:t xml:space="preserve"> has the meaning given to such term in the definition of Acquired EBITDA.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Proposed Change</w:t>
      </w:r>
      <w:r>
        <w:rPr>
          <w:rFonts w:ascii="Times New Roman" w:hAnsi="Times New Roman"/>
          <w:sz w:val="20"/>
        </w:rPr>
        <w:t xml:space="preserve"> has the meaning assigned to such term in Section 9.02(c).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PSP</w:t>
      </w:r>
      <w:r>
        <w:rPr>
          <w:rFonts w:ascii="Times New Roman" w:hAnsi="Times New Roman"/>
          <w:sz w:val="20"/>
        </w:rPr>
        <w:t xml:space="preserve"> means PSP Investments Credit USA LLC and any of its Affiliates who are from time to time a Lender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Company Costs</w:t>
      </w:r>
      <w:r>
        <w:rPr>
          <w:rFonts w:ascii="Times New Roman" w:hAnsi="Times New Roman"/>
          <w:sz w:val="20"/>
        </w:rPr>
        <w:t xml:space="preserve">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Lender</w:t>
      </w:r>
      <w:r>
        <w:rPr>
          <w:rFonts w:ascii="Times New Roman" w:hAnsi="Times New Roman"/>
          <w:sz w:val="20"/>
        </w:rPr>
        <w:t xml:space="preserve"> has the meaning assigned to such term in Section 5.01.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Equity Interests</w:t>
      </w:r>
      <w:r>
        <w:rPr>
          <w:rFonts w:ascii="Times New Roman" w:hAnsi="Times New Roman"/>
          <w:sz w:val="20"/>
        </w:rPr>
        <w:t xml:space="preserve"> means Equity Interests of Holdings or the Borrower other than Disqualified Equity Interests.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Securitization Facility</w:t>
      </w:r>
      <w:r>
        <w:rPr>
          <w:rFonts w:ascii="Times New Roman" w:hAnsi="Times New Roman"/>
          <w:sz w:val="20"/>
        </w:rPr>
        <w:t xml:space="preserve">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Qualifying Lender</w:t>
      </w:r>
      <w:r>
        <w:rPr>
          <w:rFonts w:ascii="Times New Roman" w:hAnsi="Times New Roman"/>
          <w:sz w:val="20"/>
        </w:rPr>
        <w:t xml:space="preserve"> has the meaning assigned to such term in Section 2.11(a)(ii)(D)(3).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RBC Letter of Credit Sublimit</w:t>
      </w:r>
      <w:r>
        <w:rPr>
          <w:rFonts w:ascii="Times New Roman" w:hAnsi="Times New Roman"/>
          <w:sz w:val="20"/>
        </w:rPr>
        <w:t> means an amount equal to the amount listed on Schedule 2.01 as amended by Amendment No.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Letters of Credit issued pursuant to the RBC Letter of Credit Sublimit will be issued by Royal Bank of Canada in its capacity as an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(i) if such Benchmark is SONIA, 11:00 a.m. (London time) on the day that is four Business Days prior to such setting, (ii) if such Benchmark is the Term SOFR Rate, 5:00 a.m., Chicago time, on the day that is two (2) U.S. Government Securities Business Days preceding the date of such setting, (iii) if such Benchmark is Daily Simple SOFR, then four (4) RFR Business Days prior to such setting and (iv) if such Benchmark is none of the SONIA Rate, Term SOFR Rate, or Daily Simple SOFR, the time determined by the First Lien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Refinanced Debt</w:t>
      </w:r>
      <w:r>
        <w:rPr>
          <w:rFonts w:ascii="Times New Roman" w:hAnsi="Times New Roman"/>
          <w:sz w:val="20"/>
        </w:rPr>
        <w:t xml:space="preserve"> has the meaning assigned to such term in the definition of Credit Agreement Refinancing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w:t>
      </w:r>
      <w:r>
        <w:rPr>
          <w:rFonts w:ascii="Times New Roman" w:hAnsi="Times New Roman"/>
          <w:sz w:val="20"/>
        </w:rPr>
        <w:t xml:space="preserve"> means (a) the refinancing of all indebtedness of the Borrower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 (c) redemption of the Existing Notes; it being agreed that the delivery of customary duly executed payoff and release letters to the First Lien Administrative Agent shall be satisfactory evidence.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Amendment</w:t>
      </w:r>
      <w:r>
        <w:rPr>
          <w:rFonts w:ascii="Times New Roman" w:hAnsi="Times New Roman"/>
          <w:sz w:val="20"/>
        </w:rPr>
        <w:t xml:space="preserve">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Amendment No. 1</w:t>
      </w:r>
      <w:r>
        <w:rPr>
          <w:rFonts w:ascii="Times New Roman" w:hAnsi="Times New Roman"/>
          <w:sz w:val="20"/>
        </w:rPr>
        <w:t xml:space="preserve"> means the Refinancing Amendment to First Lien Credit Agreement dated as of January 20, 2021.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Amendment No. 1 Effective Date</w:t>
      </w:r>
      <w:r>
        <w:rPr>
          <w:rFonts w:ascii="Times New Roman" w:hAnsi="Times New Roman"/>
          <w:sz w:val="20"/>
        </w:rPr>
        <w:t xml:space="preserve"> means January 20, 2021, the date of effectiveness of Refinancing Amendment No.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Amendment No. 1 Term Loans</w:t>
      </w:r>
      <w:r>
        <w:rPr>
          <w:rFonts w:ascii="Times New Roman" w:hAnsi="Times New Roman"/>
          <w:sz w:val="20"/>
        </w:rPr>
        <w:t xml:space="preserve"> means the Refinancing Loans as defined in Refinancing Amendment No. 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assigned to such term in Section 9.04(b)(iv).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Equivalent Notes</w:t>
      </w:r>
      <w:r>
        <w:rPr>
          <w:rFonts w:ascii="Times New Roman" w:hAnsi="Times New Roman"/>
          <w:sz w:val="20"/>
        </w:rPr>
        <w:t xml:space="preserve">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Regulated Bank</w:t>
      </w:r>
      <w:r>
        <w:rPr>
          <w:rFonts w:ascii="Times New Roman" w:hAnsi="Times New Roman"/>
          <w:sz w:val="20"/>
        </w:rPr>
        <w:t xml:space="preserve">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Reimbursement Date</w:t>
      </w:r>
      <w:r>
        <w:rPr>
          <w:rFonts w:ascii="Times New Roman" w:hAnsi="Times New Roman"/>
          <w:sz w:val="20"/>
        </w:rPr>
        <w:t xml:space="preserve"> has the meaning assigned to such term in Section 2.05(f).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Funds</w:t>
      </w:r>
      <w:r>
        <w:rPr>
          <w:rFonts w:ascii="Times New Roman" w:hAnsi="Times New Roman"/>
          <w:sz w:val="20"/>
        </w:rPr>
        <w:t xml:space="preserve"> means with respect to any Lender that is an Approved Fund, any other Approved Fund that is managed by the same investment advisor as such Lender or by an Affiliate of such investment advisor.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Governmental Body</w:t>
      </w:r>
      <w:r>
        <w:rPr>
          <w:rFonts w:ascii="Times New Roman" w:hAnsi="Times New Roman"/>
          <w:sz w:val="20"/>
        </w:rPr>
        <w:t xml:space="preserve">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Rate</w:t>
      </w:r>
      <w:r>
        <w:rPr>
          <w:rFonts w:ascii="Times New Roman" w:hAnsi="Times New Roman"/>
          <w:sz w:val="20"/>
        </w:rPr>
        <w:t xml:space="preserve"> means (i) with respect to any Term Benchmark Revolving Borrowing denominated in Dollars, the Adjusted Term SOFR Rate, (ii) with respect to any Term Benchmark Revolving Borrowing denominated in Euros, EURIBOR, (iii) with respect to any Term Benchmark Revolving Borrowing denominated in Canadian Dollars, the </w:t>
      </w:r>
      <w:r>
        <w:rPr>
          <w:rFonts w:ascii="Times New Roman" w:hAnsi="Times New Roman"/>
          <w:strike/>
          <w:color w:val="FF0000"/>
          <w:sz w:val="20"/>
        </w:rPr>
        <w:t>BA</w:t>
      </w:r>
      <w:r>
        <w:rPr>
          <w:rFonts w:ascii="Times New Roman" w:hAnsi="Times New Roman"/>
          <w:color w:val="0000FF"/>
          <w:sz w:val="20"/>
          <w:u w:val="single"/>
          <w:bdr w:val="double" w:sz="2" w:space="1" w:color="000000"/>
        </w:rPr>
        <w:t>Adjusted Term CORRA</w:t>
      </w:r>
      <w:r>
        <w:rPr>
          <w:rFonts w:ascii="Times New Roman" w:hAnsi="Times New Roman"/>
          <w:sz w:val="20"/>
        </w:rPr>
        <w:t xml:space="preserve"> Rate, (iv) with respect to any RFR Revolving Borrowing denominated in Sterling, the Daily Simple SONIA and (v) with respect to any RFR Borrowing denominated in Dollars, Adjusted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Screen Rate</w:t>
      </w:r>
      <w:r>
        <w:rPr>
          <w:rFonts w:ascii="Times New Roman" w:hAnsi="Times New Roman"/>
          <w:sz w:val="20"/>
        </w:rPr>
        <w:t> means (i) with respect to any Term Benchmark Revolving Borrowing denominated in Dollars, the Term SOFR Reference Rate, (ii) with respect to any Term Benchmark Revolving Borrowing denominated in Euros, the EURIBOR Screen Rate and (iii) with respect to any Term Benchmark Revolving Borrowing denominated in Canadian Dollars, the C</w:t>
      </w:r>
      <w:r>
        <w:rPr>
          <w:rFonts w:ascii="Times New Roman" w:hAnsi="Times New Roman"/>
          <w:color w:val="0000FF"/>
          <w:sz w:val="20"/>
          <w:u w:val="single"/>
          <w:bdr w:val="double" w:sz="2" w:space="1" w:color="000000"/>
        </w:rPr>
        <w:t>A</w:t>
      </w:r>
      <w:r>
        <w:rPr>
          <w:rFonts w:ascii="Times New Roman" w:hAnsi="Times New Roman"/>
          <w:sz w:val="20"/>
        </w:rPr>
        <w:t>D</w:t>
      </w:r>
      <w:r>
        <w:rPr>
          <w:rFonts w:ascii="Times New Roman" w:hAnsi="Times New Roman"/>
          <w:strike/>
          <w:color w:val="FF0000"/>
          <w:sz w:val="20"/>
        </w:rPr>
        <w:t>OR</w:t>
      </w:r>
      <w:r>
        <w:rPr>
          <w:rFonts w:ascii="Times New Roman" w:hAnsi="Times New Roman"/>
          <w:sz w:val="20"/>
        </w:rPr>
        <w:t xml:space="preserve"> Screen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Removal Effective Date</w:t>
      </w:r>
      <w:r>
        <w:rPr>
          <w:rFonts w:ascii="Times New Roman" w:hAnsi="Times New Roman"/>
          <w:sz w:val="20"/>
        </w:rPr>
        <w:t xml:space="preserve"> has the meaning assigned to such term in Section 8.06.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Repricing Transaction</w:t>
      </w:r>
      <w:r>
        <w:rPr>
          <w:rFonts w:ascii="Times New Roman" w:hAnsi="Times New Roman"/>
          <w:sz w:val="20"/>
        </w:rPr>
        <w:t xml:space="preserve">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Refinancing Amendment No. 1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Refinancing Amendment No. 1 Term Loans or (b) any amendment of this Agreement for the primary purpose of reducing the Effective Yield for the Refinancing Amendment No. 1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Refinancing Amendment No. 1 Term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Additional Debt Terms</w:t>
      </w:r>
      <w:r>
        <w:rPr>
          <w:rFonts w:ascii="Times New Roman" w:hAnsi="Times New Roman"/>
          <w:sz w:val="20"/>
        </w:rPr>
        <w:t xml:space="preserve">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 </w:t>
      </w:r>
      <w:r>
        <w:rPr>
          <w:rFonts w:ascii="Times New Roman" w:hAnsi="Times New Roman"/>
          <w:sz w:val="20"/>
          <w:u w:val="single"/>
        </w:rPr>
        <w:t>provided</w:t>
      </w:r>
      <w:r>
        <w:rPr>
          <w:rFonts w:ascii="Times New Roman" w:hAnsi="Times New Roman"/>
          <w:sz w:val="20"/>
        </w:rPr>
        <w:t xml:space="preserve"> that the conditions in clauses (a), (b) and (e) shall not apply to an ABL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Lenders</w:t>
      </w:r>
      <w:r>
        <w:rPr>
          <w:rFonts w:ascii="Times New Roman" w:hAnsi="Times New Roman"/>
          <w:sz w:val="20"/>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Times New Roman" w:hAnsi="Times New Roman"/>
          <w:sz w:val="20"/>
          <w:u w:val="single"/>
        </w:rPr>
        <w:t>provided</w:t>
      </w:r>
      <w:r>
        <w:rPr>
          <w:rFonts w:ascii="Times New Roman" w:hAnsi="Times New Roman"/>
          <w:sz w:val="20"/>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Revolving Lenders</w:t>
      </w:r>
      <w:r>
        <w:rPr>
          <w:rFonts w:ascii="Times New Roman" w:hAnsi="Times New Roman"/>
          <w:sz w:val="20"/>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Times New Roman" w:hAnsi="Times New Roman"/>
          <w:sz w:val="20"/>
          <w:u w:val="single"/>
        </w:rPr>
        <w:t>provided</w:t>
      </w:r>
      <w:r>
        <w:rPr>
          <w:rFonts w:ascii="Times New Roman" w:hAnsi="Times New Roman"/>
          <w:sz w:val="20"/>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Requirements of Law</w:t>
      </w:r>
      <w:r>
        <w:rPr>
          <w:rFonts w:ascii="Times New Roman" w:hAnsi="Times New Roman"/>
          <w:sz w:val="20"/>
        </w:rPr>
        <w:t xml:space="preserve">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Resignation Effective Date</w:t>
      </w:r>
      <w:r>
        <w:rPr>
          <w:rFonts w:ascii="Times New Roman" w:hAnsi="Times New Roman"/>
          <w:sz w:val="20"/>
        </w:rPr>
        <w:t xml:space="preserve"> has the meaning assigned to such term in Section 8.06.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Payment</w:t>
      </w:r>
      <w:r>
        <w:rPr>
          <w:rFonts w:ascii="Times New Roman" w:hAnsi="Times New Roman"/>
          <w:sz w:val="20"/>
        </w:rPr>
        <w:t xml:space="preserve">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Prepayment Event</w:t>
      </w:r>
      <w:r>
        <w:rPr>
          <w:rFonts w:ascii="Times New Roman" w:hAnsi="Times New Roman"/>
          <w:sz w:val="20"/>
        </w:rPr>
        <w:t xml:space="preserve"> has the meaning assigned to such term in Section 2.11(g).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Subsidiary</w:t>
      </w:r>
      <w:r>
        <w:rPr>
          <w:rFonts w:ascii="Times New Roman" w:hAnsi="Times New Roman"/>
          <w:sz w:val="20"/>
        </w:rPr>
        <w:t xml:space="preserve"> means any Subsidiary of the Borrower other than an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Retained Declined Proceeds</w:t>
      </w:r>
      <w:r>
        <w:rPr>
          <w:rFonts w:ascii="Times New Roman" w:hAnsi="Times New Roman"/>
          <w:sz w:val="20"/>
        </w:rPr>
        <w:t xml:space="preserve"> has the meaning assigned to such term in Section 2.11(e).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w:t>
      </w:r>
      <w:r>
        <w:rPr>
          <w:rFonts w:ascii="Times New Roman" w:hAnsi="Times New Roman"/>
          <w:sz w:val="20"/>
        </w:rPr>
        <w:t xml:space="preserve"> when used in reference to any Loan or Borrowing, means that such Loan, or the Loans comprising such Borrowing, denominated in (a) Sterling, at a rate that bears reference to Adjusted Daily Simple SONIA and (b) Dollars, at a rate that bears reference to Adjusted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Borrowing</w:t>
      </w:r>
      <w:r>
        <w:rPr>
          <w:rFonts w:ascii="Times New Roman" w:hAnsi="Times New Roman"/>
          <w:sz w:val="20"/>
        </w:rPr>
        <w:t xml:space="preserve"> means, as to any Borrowing, the RFR Loans comprising such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Business Day</w:t>
      </w:r>
      <w:r>
        <w:rPr>
          <w:rFonts w:ascii="Times New Roman" w:hAnsi="Times New Roman"/>
          <w:sz w:val="20"/>
        </w:rPr>
        <w:t xml:space="preserve"> means, for any Loan denominated in Dollars, a U.S. Government Securities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RFR Loan</w:t>
      </w:r>
      <w:r>
        <w:rPr>
          <w:rFonts w:ascii="Times New Roman" w:hAnsi="Times New Roman"/>
          <w:sz w:val="20"/>
        </w:rPr>
        <w:t xml:space="preserve"> means a Loan that bears interest at a rate based on the Daily Simple RFR.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Availability Period</w:t>
      </w:r>
      <w:r>
        <w:rPr>
          <w:rFonts w:ascii="Times New Roman" w:hAnsi="Times New Roman"/>
          <w:sz w:val="20"/>
        </w:rPr>
        <w:t xml:space="preserve"> means the period from and including the Effective Date to but excluding the earlier of the Revolving Maturity Date and the date of termination of the Revolving Commitments.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Commitment</w:t>
      </w:r>
      <w:r>
        <w:rPr>
          <w:rFonts w:ascii="Times New Roman" w:hAnsi="Times New Roman"/>
          <w:sz w:val="20"/>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 (b) reduced or 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 Revolving Commitment Increase, (vi) without duplication of the following clause (vii), the Extended Revolving Commitments, (vii) a Loan Modification Agreement or (viii) an Additional/Replacement Revolving Commitment. The initial amount of each Lenders Revolving Commitment is set forth on Schedule 2.01(A), with respect to the Amendment No. 1 Revolving Commitment Increase, Schedule I of Amendment No. 1, with respect to the Amendment No. 2 Revolving Commitment Increase, Schedule I of Amendment No. 2, </w:t>
      </w:r>
      <w:r>
        <w:rPr>
          <w:rFonts w:ascii="Times New Roman" w:hAnsi="Times New Roman"/>
          <w:color w:val="0000FF"/>
          <w:sz w:val="20"/>
          <w:u w:val="single"/>
          <w:bdr w:val="double" w:sz="2" w:space="1" w:color="000000"/>
        </w:rPr>
        <w:t xml:space="preserve">with respect to the Revolving Commitments on and after the Amendment No. 3 Effective Date (including the Amendment No. 3 Refinancing Revolving Commitments), Schedule I of Amendment No. 3, </w:t>
      </w:r>
      <w:r>
        <w:rPr>
          <w:rFonts w:ascii="Times New Roman" w:hAnsi="Times New Roman"/>
          <w:sz w:val="20"/>
        </w:rPr>
        <w:t>or, in each case, in the Assignment and Assumption, Loan Modification Agreement or Refinancing Amendment pursuant to which such Lender shall have assumed its Revolving Commitment, as the case may be. As of the Amendment No. 1 Effective Date, the aggregate amount of the Lenders Revolving Commitments was $347,500,000</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as of the Amendment No. 2 Effective Date, the aggregate amount of the Lenders Revolving Commitments is $423,750,000</w:t>
      </w:r>
      <w:r>
        <w:rPr>
          <w:rFonts w:ascii="Times New Roman" w:hAnsi="Times New Roman"/>
          <w:color w:val="0000FF"/>
          <w:sz w:val="20"/>
          <w:u w:val="single"/>
          <w:bdr w:val="double" w:sz="2" w:space="1" w:color="000000"/>
        </w:rPr>
        <w:t xml:space="preserve"> and as of the Amendment No. 3 Effective Date, the aggregate amount of the Lenders Revolving Commitments is $423,750,000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Exposure</w:t>
      </w:r>
      <w:r>
        <w:rPr>
          <w:rFonts w:ascii="Times New Roman" w:hAnsi="Times New Roman"/>
          <w:sz w:val="20"/>
        </w:rPr>
        <w:t xml:space="preserve"> means, with respect to any Revolving Lender at any time, the sum of the outstanding principal amount of such Revolving Lenders Revolving Loans and its LC Exposure and its Swingline Exposure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Facilities Amendment</w:t>
      </w:r>
      <w:r>
        <w:rPr>
          <w:rFonts w:ascii="Times New Roman" w:hAnsi="Times New Roman"/>
          <w:sz w:val="20"/>
        </w:rPr>
        <w:t xml:space="preserve"> means the Revolving Facilities Amendment to this Agreement, dated as of March 26, 2021 among the Borrower, the Extending Revolving Lenders party thereto, the Consenting Issuing Banks party thereto, the Administrative Agent and the other parties thereto.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Facilities Amendment Effective Date</w:t>
      </w:r>
      <w:r>
        <w:rPr>
          <w:rFonts w:ascii="Times New Roman" w:hAnsi="Times New Roman"/>
          <w:sz w:val="20"/>
        </w:rPr>
        <w:t xml:space="preserve"> means the date set forth in the definition of Revolving Facilities Amendment.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Facility</w:t>
      </w:r>
      <w:r>
        <w:rPr>
          <w:rFonts w:ascii="Times New Roman" w:hAnsi="Times New Roman"/>
          <w:sz w:val="20"/>
        </w:rPr>
        <w:t xml:space="preserve"> means at any time, the aggregate amount of Revolving Commitments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Lender</w:t>
      </w:r>
      <w:r>
        <w:rPr>
          <w:rFonts w:ascii="Times New Roman" w:hAnsi="Times New Roman"/>
          <w:sz w:val="20"/>
        </w:rPr>
        <w:t xml:space="preserve"> means a Lender with a Revolving Commitment or, if the Revolving Commitments have terminated or expired, a Lender with Revolving Exposure.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Loan</w:t>
      </w:r>
      <w:r>
        <w:rPr>
          <w:rFonts w:ascii="Times New Roman" w:hAnsi="Times New Roman"/>
          <w:sz w:val="20"/>
        </w:rPr>
        <w:t xml:space="preserve"> means a Loan made by a Revolving Lender pursuant to clause (b) of Section 2.01.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Maturity Date</w:t>
      </w:r>
      <w:r>
        <w:rPr>
          <w:rFonts w:ascii="Times New Roman" w:hAnsi="Times New Roman"/>
          <w:sz w:val="20"/>
        </w:rPr>
        <w:t> means (i) </w:t>
      </w:r>
      <w:r>
        <w:rPr>
          <w:rFonts w:ascii="Times New Roman" w:hAnsi="Times New Roman"/>
          <w:strike/>
          <w:color w:val="FF0000"/>
          <w:sz w:val="20"/>
        </w:rPr>
        <w:t>June 13, 2026</w:t>
      </w:r>
      <w:r>
        <w:rPr>
          <w:rFonts w:ascii="Times New Roman" w:hAnsi="Times New Roman"/>
          <w:color w:val="0000FF"/>
          <w:sz w:val="20"/>
          <w:u w:val="single"/>
          <w:bdr w:val="double" w:sz="2" w:space="1" w:color="000000"/>
        </w:rPr>
        <w:t xml:space="preserve">March 1, 2029 (or if such day is not a Business Day, the immediately preceding Business Day);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that if as of the date that is 91 days prior to (x) the Term Maturity Date, any Term Loans with a Term Maturity Date prior to March 1, 2029 remain outstanding, the Revolving Maturity Date shall instead be the date that is 91 days prior to the Term Maturity Date (or if such day is not a Business Day, the immediately preceding Business Day) or (y) the Term Maturity Date (as defined in the Existing Term Loan Credit Agreement), any Term Loans (as defined in the Existing Term Loan Credit Agreement) with a Term Maturity Date (as defined in the Existing Term Loan Credit Agreement) prior to March 1, 2029 remain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outstanding, the Revolving Maturity Date shall instead be the date that is 91 days prior to such Term Maturity Date (as defined in the Existing Term Loan Credit Agreement)</w:t>
      </w:r>
      <w:r>
        <w:rPr>
          <w:rFonts w:ascii="Times New Roman" w:hAnsi="Times New Roman"/>
          <w:sz w:val="20"/>
        </w:rPr>
        <w:t xml:space="preserve">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and any successor to its rating agency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economic sanctions administered or enforced by the United States Government (including without limitation, sanctions enforced by OFAC).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Country</w:t>
      </w:r>
      <w:r>
        <w:rPr>
          <w:rFonts w:ascii="Times New Roman" w:hAnsi="Times New Roman"/>
          <w:sz w:val="20"/>
        </w:rPr>
        <w:t xml:space="preserve"> means, at any time, a country or territory which is the target of any comprehensive Sanctions (as of the date of this Agreement, the Crimea region of Ukraine, Cuba, Iran, North Korea and Syria).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Santander Letter of Credit Sublimit means an amount equal to the amount listed on Schedule 2.01 as amended by Amendment No. 3. Letters of Credit issued pursuant to the Santander Letter of Credit Sublimit will be issued by Banco Santander, S.A., New York Branch in its capacity as an Issuing Bank.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Debt Documents</w:t>
      </w:r>
      <w:r>
        <w:rPr>
          <w:rFonts w:ascii="Times New Roman" w:hAnsi="Times New Roman"/>
          <w:sz w:val="20"/>
        </w:rPr>
        <w:t xml:space="preserve"> means the Notes Documents as such term is defined in the Second Lien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Debt Document Obligations</w:t>
      </w:r>
      <w:r>
        <w:rPr>
          <w:rFonts w:ascii="Times New Roman" w:hAnsi="Times New Roman"/>
          <w:sz w:val="20"/>
        </w:rPr>
        <w:t xml:space="preserve"> means the Notes Obligations as such term is defined in the Second Lien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Facilities</w:t>
      </w:r>
      <w:r>
        <w:rPr>
          <w:rFonts w:ascii="Times New Roman" w:hAnsi="Times New Roman"/>
          <w:sz w:val="20"/>
        </w:rPr>
        <w:t xml:space="preserve"> means the notes under the Second Lien Indenture on the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Financing Transactions</w:t>
      </w:r>
      <w:r>
        <w:rPr>
          <w:rFonts w:ascii="Times New Roman" w:hAnsi="Times New Roman"/>
          <w:sz w:val="20"/>
        </w:rPr>
        <w:t xml:space="preserve"> means (a) the execution, delivery and performance by each Loan Party of the Second Lien Debt Documents to which it is to be a party and (b) the issuance of the Second Lien Notes thereunder and the use of proceeds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Incremental Equivalent Debt</w:t>
      </w:r>
      <w:r>
        <w:rPr>
          <w:rFonts w:ascii="Times New Roman" w:hAnsi="Times New Roman"/>
          <w:sz w:val="20"/>
        </w:rPr>
        <w:t xml:space="preserve"> means the Second Lien Incremental Equivalent Debt as such term is defined in the Second Lien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Indenture</w:t>
      </w:r>
      <w:r>
        <w:rPr>
          <w:rFonts w:ascii="Times New Roman" w:hAnsi="Times New Roman"/>
          <w:sz w:val="20"/>
        </w:rPr>
        <w:t xml:space="preserve"> means the Indenture dated as of the Effective Date, by and among Holdings, the Borrower, each other Loan Party and the Second Lien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Notes</w:t>
      </w:r>
      <w:r>
        <w:rPr>
          <w:rFonts w:ascii="Times New Roman" w:hAnsi="Times New Roman"/>
          <w:sz w:val="20"/>
        </w:rPr>
        <w:t xml:space="preserve"> means the Notes as such term is defined in the Second Lien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Trustee</w:t>
      </w:r>
      <w:r>
        <w:rPr>
          <w:rFonts w:ascii="Times New Roman" w:hAnsi="Times New Roman"/>
          <w:sz w:val="20"/>
        </w:rPr>
        <w:t xml:space="preserve"> means Wilmington Trust, National Association, in its capacity as trustee under the Second Lien Indenture and the other Second Lien Debt Documents, and its successors in such capacity as provided in the Second Lien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Lien Security Documents</w:t>
      </w:r>
      <w:r>
        <w:rPr>
          <w:rFonts w:ascii="Times New Roman" w:hAnsi="Times New Roman"/>
          <w:sz w:val="20"/>
        </w:rPr>
        <w:t xml:space="preserve"> means the Security Documents as such term is defined in the Second Lien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Cash Management Obligations</w:t>
      </w:r>
      <w:r>
        <w:rPr>
          <w:rFonts w:ascii="Times New Roman" w:hAnsi="Times New Roman"/>
          <w:sz w:val="20"/>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hAnsi="Times New Roman"/>
          <w:sz w:val="20"/>
          <w:u w:val="single"/>
        </w:rPr>
        <w:t>Cash Management Services</w:t>
      </w:r>
      <w:r>
        <w:rPr>
          <w:rFonts w:ascii="Times New Roman" w:hAnsi="Times New Roman"/>
          <w:sz w:val="20"/>
        </w:rPr>
        <w:t xml:space="preserve">) provided to Holdings, the Borrower or any Subsidiary (whether absolute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contingent and howsoever and whenever created, arising, evidenced or acquired (including all renewals, extensions and modifications thereof and substitutions therefor)) that are (a) 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Obligations</w:t>
      </w:r>
      <w:r>
        <w:rPr>
          <w:rFonts w:ascii="Times New Roman" w:hAnsi="Times New Roman"/>
          <w:sz w:val="20"/>
        </w:rPr>
        <w:t xml:space="preserve"> means (a) the First Lien Loan Document Obligations, (b) the Secured Cash Management Obligations and (c) the Secured Swap Obligations (excluding with respect to any Loan Guarantor, Excluded Swap Obligations of such Loan Guarantor).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Parties</w:t>
      </w:r>
      <w:r>
        <w:rPr>
          <w:rFonts w:ascii="Times New Roman" w:hAnsi="Times New Roman"/>
          <w:sz w:val="20"/>
        </w:rPr>
        <w:t xml:space="preserve">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Swap Obligations</w:t>
      </w:r>
      <w:r>
        <w:rPr>
          <w:rFonts w:ascii="Times New Roman" w:hAnsi="Times New Roman"/>
          <w:sz w:val="20"/>
        </w:rPr>
        <w:t xml:space="preserve">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Assets</w:t>
      </w:r>
      <w:r>
        <w:rPr>
          <w:rFonts w:ascii="Times New Roman" w:hAnsi="Times New Roman"/>
          <w:sz w:val="20"/>
        </w:rPr>
        <w:t xml:space="preserve"> means the accounts receivable, royalty and other similar rights to payment and any other assets related thereto subject to a Qualified Securitization Facility that are customarily sold or pledged in connection with securitization transactions and the proceeds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Facility</w:t>
      </w:r>
      <w:r>
        <w:rPr>
          <w:rFonts w:ascii="Times New Roman" w:hAnsi="Times New Roman"/>
          <w:sz w:val="20"/>
        </w:rPr>
        <w:t xml:space="preserve">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Fees</w:t>
      </w:r>
      <w:r>
        <w:rPr>
          <w:rFonts w:ascii="Times New Roman" w:hAnsi="Times New Roman"/>
          <w:sz w:val="20"/>
        </w:rPr>
        <w:t xml:space="preserve"> means distributions or payments made directly or by means of discounts with respect to any participation interest issued or sold in connection with, and other fees paid to a Person that is not a Securitization Subsidiary in connection with, any Qualified Securitization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Subsidiary</w:t>
      </w:r>
      <w:r>
        <w:rPr>
          <w:rFonts w:ascii="Times New Roman" w:hAnsi="Times New Roman"/>
          <w:sz w:val="20"/>
        </w:rPr>
        <w:t xml:space="preserve"> means any Subsidiary formed for the purpose of, and that solely engages only in one or more Qualified Securitization Facilities and other activities reasonably related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Documents</w:t>
      </w:r>
      <w:r>
        <w:rPr>
          <w:rFonts w:ascii="Times New Roman" w:hAnsi="Times New Roman"/>
          <w:sz w:val="20"/>
        </w:rPr>
        <w:t xml:space="preserve"> means the First Lien Collateral Agreement, the Mortgages and each other security agreement or pledge agreement executed and delivered pursuant to the Collateral and Guarantee Requirement or Sections 5.11, 5.12 or 5.14 to secure any of the Secured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Notes</w:t>
      </w:r>
      <w:r>
        <w:rPr>
          <w:rFonts w:ascii="Times New Roman" w:hAnsi="Times New Roman"/>
          <w:sz w:val="20"/>
        </w:rPr>
        <w:t xml:space="preserve"> means the $450,000,000 aggregate principal amount of 6.500% Senior Notes due 2023 issued by the Borrower (formerly Sterigenics-Nordion Holdings, LLC) pursuant to the indenture dated as of May 15, 2015 among the Borrower, the guarantors named on the signature pages thereto and Wilmington Trust, National Association, as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Representative</w:t>
      </w:r>
      <w:r>
        <w:rPr>
          <w:rFonts w:ascii="Times New Roman" w:hAnsi="Times New Roman"/>
          <w:sz w:val="20"/>
        </w:rPr>
        <w:t xml:space="preserve"> means, with respect to any series of Indebtedness permitted by this Agreement to be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Secured First Lien Net Leverage Ratio</w:t>
      </w:r>
      <w:r>
        <w:rPr>
          <w:rFonts w:ascii="Times New Roman" w:hAnsi="Times New Roman"/>
          <w:sz w:val="20"/>
        </w:rPr>
        <w:t xml:space="preserve"> means, as of any date of determination, the ratio, on a Pro Forma Basis, of (a) Consolidated Senior Secured First Lien Net Indebtedness as of such date to (b) Consolidated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Secured Net Leverage Ratio</w:t>
      </w:r>
      <w:r>
        <w:rPr>
          <w:rFonts w:ascii="Times New Roman" w:hAnsi="Times New Roman"/>
          <w:sz w:val="20"/>
        </w:rPr>
        <w:t xml:space="preserve"> means, as of any date of determination, the ratio, on a Pro Forma Basis, of (a) Consolidated Senior Secured Indebtedness as of such date to (b) Consolidated EBITDA for the most recently completed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w:t>
      </w:r>
      <w:r>
        <w:rPr>
          <w:rFonts w:ascii="Times New Roman" w:hAnsi="Times New Roman"/>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 Asset</w:t>
      </w:r>
      <w:r>
        <w:rPr>
          <w:rFonts w:ascii="Times New Roman" w:hAnsi="Times New Roman"/>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 Indebtedness</w:t>
      </w:r>
      <w:r>
        <w:rPr>
          <w:rFonts w:ascii="Times New Roman" w:hAnsi="Times New Roman"/>
          <w:sz w:val="20"/>
        </w:rPr>
        <w:t xml:space="preserve"> means any payment or reimbursement obligation in respect of a Settlement Payment.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 Lien</w:t>
      </w:r>
      <w:r>
        <w:rPr>
          <w:rFonts w:ascii="Times New Roman" w:hAnsi="Times New Roman"/>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 Payment</w:t>
      </w:r>
      <w:r>
        <w:rPr>
          <w:rFonts w:ascii="Times New Roman" w:hAnsi="Times New Roman"/>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Settlement Receivable</w:t>
      </w:r>
      <w:r>
        <w:rPr>
          <w:rFonts w:ascii="Times New Roman" w:hAnsi="Times New Roman"/>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w:t>
      </w:r>
      <w:r>
        <w:rPr>
          <w:rFonts w:ascii="Times New Roman" w:hAnsi="Times New Roman"/>
          <w:sz w:val="20"/>
        </w:rPr>
        <w:t xml:space="preserve"> means the NYFRB (or a successor administrator of the secured overnight financing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Amendment</w:t>
      </w:r>
      <w:r>
        <w:rPr>
          <w:rFonts w:ascii="Times New Roman" w:hAnsi="Times New Roman"/>
          <w:sz w:val="20"/>
        </w:rPr>
        <w:t xml:space="preserve"> means that certain Amendment to this Agreement dated as of June 22,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Amendment Effective Date</w:t>
      </w:r>
      <w:r>
        <w:rPr>
          <w:rFonts w:ascii="Times New Roman" w:hAnsi="Times New Roman"/>
          <w:sz w:val="20"/>
        </w:rPr>
        <w:t xml:space="preserve"> means Amendment Effective Date as defined in the SOFR Amendment.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Rate Day</w:t>
      </w:r>
      <w:r>
        <w:rPr>
          <w:rFonts w:ascii="Times New Roman" w:hAnsi="Times New Roman"/>
          <w:sz w:val="20"/>
        </w:rPr>
        <w:t xml:space="preserve"> has the meaning specified in the definition of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Sold Entity or Business</w:t>
      </w:r>
      <w:r>
        <w:rPr>
          <w:rFonts w:ascii="Times New Roman" w:hAnsi="Times New Roman"/>
          <w:sz w:val="20"/>
        </w:rPr>
        <w:t xml:space="preserve"> has the meaning assigned to such term in the definition of the term Consolidated EBITDA.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Solicited Discount Proration</w:t>
      </w:r>
      <w:r>
        <w:rPr>
          <w:rFonts w:ascii="Times New Roman" w:hAnsi="Times New Roman"/>
          <w:sz w:val="20"/>
        </w:rPr>
        <w:t xml:space="preserve"> has the meaning assigned to such term in Section 2.11(a)(ii)(D)(3).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Solicited Discounted Prepayment Amount</w:t>
      </w:r>
      <w:r>
        <w:rPr>
          <w:rFonts w:ascii="Times New Roman" w:hAnsi="Times New Roman"/>
          <w:sz w:val="20"/>
        </w:rPr>
        <w:t xml:space="preserve"> has the meaning assigned to such term in Section 2.11(a)(ii)(D)(1).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Solicited Discounted Prepayment Notice</w:t>
      </w:r>
      <w:r>
        <w:rPr>
          <w:rFonts w:ascii="Times New Roman" w:hAnsi="Times New Roman"/>
          <w:sz w:val="20"/>
        </w:rPr>
        <w:t xml:space="preserve"> means an irrevocable written notice of a Borrower Solicitation of Discounted Prepayment Offers made pursuant to Section 2.11(a)(ii)(D) substantially in the form of Exhibit 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Solicited Discounted Prepayment Offer</w:t>
      </w:r>
      <w:r>
        <w:rPr>
          <w:rFonts w:ascii="Times New Roman" w:hAnsi="Times New Roman"/>
          <w:sz w:val="20"/>
        </w:rPr>
        <w:t xml:space="preserve"> means the irrevocable written offer by each Term Lender, substantially in the form of Exhibit L, submitted following the First Lien Administrative Agents receipt of a Solicited Discounted Prepayment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Solicited Discounted Prepayment Response Date</w:t>
      </w:r>
      <w:r>
        <w:rPr>
          <w:rFonts w:ascii="Times New Roman" w:hAnsi="Times New Roman"/>
          <w:sz w:val="20"/>
        </w:rPr>
        <w:t xml:space="preserve"> has the meaning assigned to such term in Section 2.11(a)(ii)(D)(1).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w:t>
      </w:r>
      <w:r>
        <w:rPr>
          <w:rFonts w:ascii="Times New Roman" w:hAnsi="Times New Roman"/>
          <w:sz w:val="20"/>
        </w:rPr>
        <w:t xml:space="preserve"> means, with respect to any Business Day, a rate per annum equal to the Sterling Overnight Index Average for such Business Day published by the SONIA Administrator on the SONIA Administrators Website on the immediately succeeding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Administrator</w:t>
      </w:r>
      <w:r>
        <w:rPr>
          <w:rFonts w:ascii="Times New Roman" w:hAnsi="Times New Roman"/>
          <w:sz w:val="20"/>
        </w:rPr>
        <w:t xml:space="preserve"> means the Bank of England (or any successor administrator of the Sterling Overnight Index Average).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Administrators Website</w:t>
      </w:r>
      <w:r>
        <w:rPr>
          <w:rFonts w:ascii="Times New Roman" w:hAnsi="Times New Roman"/>
          <w:sz w:val="20"/>
        </w:rPr>
        <w:t xml:space="preserve"> means the Bank of Englands website, currently at http://www.bankofengland.co.uk, or any successor source for the Sterling Overnight Index Average identified as such by the SONIA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Borrowing</w:t>
      </w:r>
      <w:r>
        <w:rPr>
          <w:rFonts w:ascii="Times New Roman" w:hAnsi="Times New Roman"/>
          <w:sz w:val="20"/>
        </w:rPr>
        <w:t xml:space="preserve"> means, for any as to any Borrowing, the SONIA Loans comprising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Business Day</w:t>
      </w:r>
      <w:r>
        <w:rPr>
          <w:rFonts w:ascii="Times New Roman" w:hAnsi="Times New Roman"/>
          <w:sz w:val="20"/>
        </w:rPr>
        <w:t xml:space="preserve"> means, for any Loan denominated in Sterling, any day except for (i) a Saturday, (ii) a Sunday or (iii) a day on which banks are closed for general business in London.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Interest Day</w:t>
      </w:r>
      <w:r>
        <w:rPr>
          <w:rFonts w:ascii="Times New Roman" w:hAnsi="Times New Roman"/>
          <w:sz w:val="20"/>
        </w:rPr>
        <w:t xml:space="preserve"> has the meaning specified in the definition of Daily Simple SONIA.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SONIA Loan</w:t>
      </w:r>
      <w:r>
        <w:rPr>
          <w:rFonts w:ascii="Times New Roman" w:hAnsi="Times New Roman"/>
          <w:sz w:val="20"/>
        </w:rPr>
        <w:t xml:space="preserve"> means any Loan denominated in Sterling, which shall bear interest at a rate based on the Adjusted Daily Simple SONIA.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Discount</w:t>
      </w:r>
      <w:r>
        <w:rPr>
          <w:rFonts w:ascii="Times New Roman" w:hAnsi="Times New Roman"/>
          <w:sz w:val="20"/>
        </w:rPr>
        <w:t xml:space="preserve"> has the meaning assigned to such term in Section 2.11(a)(ii)(B)(1).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Discount Prepayment Amount</w:t>
      </w:r>
      <w:r>
        <w:rPr>
          <w:rFonts w:ascii="Times New Roman" w:hAnsi="Times New Roman"/>
          <w:sz w:val="20"/>
        </w:rPr>
        <w:t xml:space="preserve"> has the meaning assigned to such term in Section 2.11(a)(ii)(B)(1).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Discount Prepayment Notice</w:t>
      </w:r>
      <w:r>
        <w:rPr>
          <w:rFonts w:ascii="Times New Roman" w:hAnsi="Times New Roman"/>
          <w:sz w:val="20"/>
        </w:rPr>
        <w:t xml:space="preserve"> means an irrevocable written notice of the Borrower of Specified Discount Prepayment Amount made pursuant to Section 2.11(a)(ii)(B) substantially in the form of Exhibit 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Discount Prepayment Response</w:t>
      </w:r>
      <w:r>
        <w:rPr>
          <w:rFonts w:ascii="Times New Roman" w:hAnsi="Times New Roman"/>
          <w:sz w:val="20"/>
        </w:rPr>
        <w:t xml:space="preserve"> means the irrevocable written response by each Term Lender, substantially in the form of Exhibit H, to a Specified Discount Prepayment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Discount Prepayment Response Date</w:t>
      </w:r>
      <w:r>
        <w:rPr>
          <w:rFonts w:ascii="Times New Roman" w:hAnsi="Times New Roman"/>
          <w:sz w:val="20"/>
        </w:rPr>
        <w:t xml:space="preserve"> has the meaning assigned to such term in Section 2.11(a)(ii)(B)(1).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Discount Proration</w:t>
      </w:r>
      <w:r>
        <w:rPr>
          <w:rFonts w:ascii="Times New Roman" w:hAnsi="Times New Roman"/>
          <w:sz w:val="20"/>
        </w:rPr>
        <w:t xml:space="preserve"> has the meaning assigned to such term in Section 2.11(a)(ii)(B)(3).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Event of Default</w:t>
      </w:r>
      <w:r>
        <w:rPr>
          <w:rFonts w:ascii="Times New Roman" w:hAnsi="Times New Roman"/>
          <w:sz w:val="20"/>
        </w:rPr>
        <w:t xml:space="preserve"> means an Event of Default under Section 7.01(a), (b), (h) or (i).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Transaction</w:t>
      </w:r>
      <w:r>
        <w:rPr>
          <w:rFonts w:ascii="Times New Roman" w:hAnsi="Times New Roman"/>
          <w:sz w:val="20"/>
        </w:rPr>
        <w:t xml:space="preserve">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Sponsor</w:t>
      </w:r>
      <w:r>
        <w:rPr>
          <w:rFonts w:ascii="Times New Roman" w:hAnsi="Times New Roman"/>
          <w:sz w:val="20"/>
        </w:rPr>
        <w:t xml:space="preserve"> means Warburg Pincus LLC, GTCR LLC and each of their respective Affiliates, but not including, however, any portfolio companies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Spot Rate</w:t>
      </w:r>
      <w:r>
        <w:rPr>
          <w:rFonts w:ascii="Times New Roman" w:hAnsi="Times New Roman"/>
          <w:sz w:val="20"/>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hAnsi="Times New Roman"/>
          <w:sz w:val="20"/>
          <w:u w:val="single"/>
        </w:rPr>
        <w:t>provided</w:t>
      </w:r>
      <w:r>
        <w:rPr>
          <w:rFonts w:ascii="Times New Roman" w:hAnsi="Times New Roman"/>
          <w:sz w:val="20"/>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Starter Basket</w:t>
      </w:r>
      <w:r>
        <w:rPr>
          <w:rFonts w:ascii="Times New Roman" w:hAnsi="Times New Roman"/>
          <w:sz w:val="20"/>
        </w:rPr>
        <w:t xml:space="preserve"> has the meaning assigned to such term in the definition of Available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Statutory Reserve Rate</w:t>
      </w:r>
      <w:r>
        <w:rPr>
          <w:rFonts w:ascii="Times New Roman" w:hAnsi="Times New Roman"/>
          <w:sz w:val="20"/>
        </w:rPr>
        <w:t xml:space="preserve"> means a fraction (expressed as a decimal), the numerator of which is the number one and the denominator of which is the number one </w:t>
      </w:r>
      <w:r>
        <w:rPr>
          <w:rFonts w:ascii="Times New Roman" w:hAnsi="Times New Roman"/>
          <w:sz w:val="20"/>
          <w:u w:val="single"/>
        </w:rPr>
        <w:t>minus</w:t>
      </w:r>
      <w:r>
        <w:rPr>
          <w:rFonts w:ascii="Times New Roman" w:hAnsi="Times New Roman"/>
          <w:sz w:val="20"/>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Term Benchmark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Sterling</w:t>
      </w:r>
      <w:r>
        <w:rPr>
          <w:rFonts w:ascii="Times New Roman" w:hAnsi="Times New Roman"/>
          <w:sz w:val="20"/>
        </w:rPr>
        <w:t xml:space="preserve"> and £ mean the lawful currency for the time being of the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Submitted Amount</w:t>
      </w:r>
      <w:r>
        <w:rPr>
          <w:rFonts w:ascii="Times New Roman" w:hAnsi="Times New Roman"/>
          <w:sz w:val="20"/>
        </w:rPr>
        <w:t xml:space="preserve"> has the meaning assigned to such term in Section 2.11(a)(ii)(C)(1).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Submitted Discount</w:t>
      </w:r>
      <w:r>
        <w:rPr>
          <w:rFonts w:ascii="Times New Roman" w:hAnsi="Times New Roman"/>
          <w:sz w:val="20"/>
        </w:rPr>
        <w:t xml:space="preserve"> has the meaning assigned to such term in Section 2.11(a)(ii)(C)(1).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any subsidiary of the Borrower (unless otherwise specified).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Loan Party</w:t>
      </w:r>
      <w:r>
        <w:rPr>
          <w:rFonts w:ascii="Times New Roman" w:hAnsi="Times New Roman"/>
          <w:sz w:val="20"/>
        </w:rPr>
        <w:t xml:space="preserve"> means each Subsidiary of the Borrower that is a party to the First Lien Guarantee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Successor Borrower</w:t>
      </w:r>
      <w:r>
        <w:rPr>
          <w:rFonts w:ascii="Times New Roman" w:hAnsi="Times New Roman"/>
          <w:sz w:val="20"/>
        </w:rPr>
        <w:t xml:space="preserve"> has the meaning assigned to such term in Section 6.03(a)(iv).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Agreement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Swingline Commitment</w:t>
      </w:r>
      <w:r>
        <w:rPr>
          <w:rFonts w:ascii="Times New Roman" w:hAnsi="Times New Roman"/>
          <w:sz w:val="20"/>
        </w:rPr>
        <w:t xml:space="preserve"> means the commitment of the Swingline Lender to make Swingline Loans up to an aggregate principal amount not to exceed $35,000,000.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be its Applicable Percentage of the aggregate Swingline Exposure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Swingline Lender</w:t>
      </w:r>
      <w:r>
        <w:rPr>
          <w:rFonts w:ascii="Times New Roman" w:hAnsi="Times New Roman"/>
          <w:sz w:val="20"/>
        </w:rPr>
        <w:t xml:space="preserve"> means (a) the First Lien Administrative Agent, (b) JPMorgan Chase Bank, N.A. and (c) each Revolving Lender that shall have become a Swingline Lender hereunder as provided in Section 2.04(d) (other than any Person that shall have ceased to be a Swingline Lender as provided in Section 2.04(e)), each in its capacity as a lender of Swingline Loans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Swingline Loan</w:t>
      </w:r>
      <w:r>
        <w:rPr>
          <w:rFonts w:ascii="Times New Roman" w:hAnsi="Times New Roman"/>
          <w:sz w:val="20"/>
        </w:rPr>
        <w:t xml:space="preserve"> means a Loan made pursuant to Section 2.04.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TARGET Day</w:t>
      </w:r>
      <w:r>
        <w:rPr>
          <w:rFonts w:ascii="Times New Roman" w:hAnsi="Times New Roman"/>
          <w:sz w:val="20"/>
        </w:rPr>
        <w:t xml:space="preserve">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Distributions</w:t>
      </w:r>
      <w:r>
        <w:rPr>
          <w:rFonts w:ascii="Times New Roman" w:hAnsi="Times New Roman"/>
          <w:sz w:val="20"/>
        </w:rPr>
        <w:t xml:space="preserve"> has the meaning assigned to such term in Section 6.07(a)(vii)(A).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Group</w:t>
      </w:r>
      <w:r>
        <w:rPr>
          <w:rFonts w:ascii="Times New Roman" w:hAnsi="Times New Roman"/>
          <w:sz w:val="20"/>
        </w:rPr>
        <w:t xml:space="preserve"> has the meaning assigned to such term in Section 6.07(a)(vii)(A).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charges or withholdings imposed by any Governmental Authority, including any interest, additions to tax or penalties applicable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Commitment</w:t>
      </w:r>
      <w:r>
        <w:rPr>
          <w:rFonts w:ascii="Times New Roman" w:hAnsi="Times New Roman"/>
          <w:sz w:val="20"/>
        </w:rPr>
        <w:t xml:space="preserve">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Schedule 2.01 or in the Assignment and Assumption pursuant to which such Lender shall have assumed its Term Commitment, Incremental Facility Amendment, Loan Modification Agreement or Refinancing Amendment, as the case may be. As of the Effective Date, the total Term Commitment is $2,120,000,000.00.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Term SOFR Rate, the Adjusted EURIBOR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and a Term Benchmark Loan or Term Benchmark Borrowing is a Loan or Borrowing that bears interest at a rate determined by reference to the Adjusted Term SOFR Rate, the Adjusted EURIBOR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Term CORRA means, with respect to any Term Benchmark Borrowing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and is displayed on a screen or other information service, as identified or selected by the Administrative Agent (the CAD Screen Rate); </w:t>
      </w:r>
      <w:r>
        <w:rPr>
          <w:rFonts w:ascii="Times New Roman" w:hAnsi="Times New Roman"/>
          <w:i/>
          <w:color w:val="0000FF"/>
          <w:sz w:val="20"/>
          <w:u w:val="single"/>
          <w:bdr w:val="double" w:sz="2" w:space="1" w:color="000000"/>
        </w:rPr>
        <w:t>provided</w:t>
      </w:r>
      <w:r>
        <w:rPr>
          <w:rFonts w:ascii="Times New Roman" w:hAnsi="Times New Roman"/>
          <w:color w:val="0000FF"/>
          <w:sz w:val="20"/>
          <w:u w:val="single"/>
          <w:bdr w:val="double" w:sz="2" w:space="1" w:color="000000"/>
        </w:rPr>
        <w:t xml:space="preserve">, </w:t>
      </w:r>
      <w:r>
        <w:rPr>
          <w:rFonts w:ascii="Times New Roman" w:hAnsi="Times New Roman"/>
          <w:i/>
          <w:color w:val="0000FF"/>
          <w:sz w:val="20"/>
          <w:u w:val="single"/>
          <w:bdr w:val="double" w:sz="2" w:space="1" w:color="000000"/>
        </w:rPr>
        <w:t>however</w:t>
      </w:r>
      <w:r>
        <w:rPr>
          <w:rFonts w:ascii="Times New Roman" w:hAnsi="Times New Roman"/>
          <w:color w:val="0000FF"/>
          <w:sz w:val="20"/>
          <w:u w:val="single"/>
          <w:bdr w:val="double" w:sz="2" w:space="1" w:color="000000"/>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Term CORRA Administrator means Candeal Benchmark Administration Services Inc., TSX Inc., or any successor administrator of the Term CORRA Reference Rate selected by the Administrative Agent in its reasonable discretion.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Term CORRA Reference Rate means the forward-looking term rate based on CORRA.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Lender</w:t>
      </w:r>
      <w:r>
        <w:rPr>
          <w:rFonts w:ascii="Times New Roman" w:hAnsi="Times New Roman"/>
          <w:sz w:val="20"/>
        </w:rPr>
        <w:t xml:space="preserve"> means a Lender with a Term Commitment or an outstanding Term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Loans</w:t>
      </w:r>
      <w:r>
        <w:rPr>
          <w:rFonts w:ascii="Times New Roman" w:hAnsi="Times New Roman"/>
          <w:sz w:val="20"/>
        </w:rPr>
        <w:t xml:space="preserve"> means Initial Term Loans, Other First Lien Term Loans and First Lien Incremental Term Loans, as the context requires.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Maturity Date</w:t>
      </w:r>
      <w:r>
        <w:rPr>
          <w:rFonts w:ascii="Times New Roman" w:hAnsi="Times New Roman"/>
          <w:sz w:val="20"/>
        </w:rPr>
        <w:t xml:space="preserve"> means (i) December 13, 2026 (or, if such day is not a Business Day, the immediately preceding Business Day) or (ii), with respect to any Term Lender that has the maturity date of its Term Loans pursuant to a Permitted Amendment, the extended maturity date set forth in any such Loan Modification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Rate</w:t>
      </w:r>
      <w:r>
        <w:rPr>
          <w:rFonts w:ascii="Times New Roman" w:hAnsi="Times New Roman"/>
          <w:sz w:val="20"/>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hAnsi="Times New Roman"/>
          <w:sz w:val="20"/>
          <w:u w:val="single"/>
        </w:rPr>
        <w:t>provided</w:t>
      </w:r>
      <w:r>
        <w:rPr>
          <w:rFonts w:ascii="Times New Roman" w:hAnsi="Times New Roman"/>
          <w:sz w:val="20"/>
        </w:rPr>
        <w:t xml:space="preserve"> that if the Term SOFR Rate as so determined would be less than the Floor, such rate shall be deemed to be equal to the Floor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Reference Rate</w:t>
      </w:r>
      <w:r>
        <w:rPr>
          <w:rFonts w:ascii="Times New Roman" w:hAnsi="Times New Roman"/>
          <w:sz w:val="20"/>
        </w:rPr>
        <w:t> means, for any day and time (such day, the </w:t>
      </w:r>
      <w:r>
        <w:rPr>
          <w:rFonts w:ascii="Times New Roman" w:hAnsi="Times New Roman"/>
          <w:sz w:val="20"/>
          <w:u w:val="single"/>
        </w:rPr>
        <w:t>Term SOFR Determination Day</w:t>
      </w:r>
      <w:r>
        <w:rPr>
          <w:rFonts w:ascii="Times New Roman" w:hAnsi="Times New Roman"/>
          <w:sz w:val="20"/>
        </w:rPr>
        <w:t xml:space="preserve">), with respect to any Term Benchmark Borrowing and for any tenor comparable to the applicable Interest Period, the rate per annum determined by the First Lien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w:t>
      </w:r>
      <w:r>
        <w:rPr>
          <w:rFonts w:ascii="Times New Roman" w:hAnsi="Times New Roman"/>
          <w:sz w:val="20"/>
        </w:rPr>
        <w:t xml:space="preserve"> means, for the applicable Corresponding Tenor as of the applicable Reference Time, the forward-looking term rate based on SOFR that has been selected or recommended by the Relevant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Test Period</w:t>
      </w:r>
      <w:r>
        <w:rPr>
          <w:rFonts w:ascii="Times New Roman" w:hAnsi="Times New Roman"/>
          <w:sz w:val="20"/>
        </w:rPr>
        <w:t xml:space="preserve">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Net Leverage Ratio</w:t>
      </w:r>
      <w:r>
        <w:rPr>
          <w:rFonts w:ascii="Times New Roman" w:hAnsi="Times New Roman"/>
          <w:sz w:val="20"/>
        </w:rPr>
        <w:t xml:space="preserve"> means, as of any date of determination, the ratio, on a Pro Forma Basis, of (a) Consolidated Total Net Indebtedness as of such date to (b) Consolidated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Trademark</w:t>
      </w:r>
      <w:r>
        <w:rPr>
          <w:rFonts w:ascii="Times New Roman" w:hAnsi="Times New Roman"/>
          <w:sz w:val="20"/>
        </w:rPr>
        <w:t xml:space="preserve"> has the meaning assigned to such term in the First Lien Collateral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Costs</w:t>
      </w:r>
      <w:r>
        <w:rPr>
          <w:rFonts w:ascii="Times New Roman" w:hAnsi="Times New Roman"/>
          <w:sz w:val="20"/>
        </w:rPr>
        <w:t xml:space="preserve"> means all fees, costs and expenses incurred or payable by Holdings, the Borrower or any other Subsidiary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(a) the First Lien Financing Transactions and the Second Lien Financing Transactions, (b) the Refinancing and (c) the payment of the Transaction Costs.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Adjusted Term SOFR Rate,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Adjusted EURIBOR, Alternate Base Rate, Canadian Base Rate, Adjusted Daily Simple SOFR, or Adjusted Daily Simple SONIA.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UCC</w:t>
      </w:r>
      <w:r>
        <w:rPr>
          <w:rFonts w:ascii="Times New Roman" w:hAnsi="Times New Roman"/>
          <w:sz w:val="20"/>
        </w:rPr>
        <w:t> or </w:t>
      </w:r>
      <w:r>
        <w:rPr>
          <w:rFonts w:ascii="Times New Roman" w:hAnsi="Times New Roman"/>
          <w:sz w:val="20"/>
          <w:u w:val="single"/>
        </w:rPr>
        <w:t>Uniform Commercial Code</w:t>
      </w:r>
      <w:r>
        <w:rPr>
          <w:rFonts w:ascii="Times New Roman" w:hAnsi="Times New Roman"/>
          <w:sz w:val="20"/>
        </w:rPr>
        <w:t xml:space="preserve"> means the Uniform Commercial Code as in effect from time to time in the State of New York; </w:t>
      </w:r>
      <w:r>
        <w:rPr>
          <w:rFonts w:ascii="Times New Roman" w:hAnsi="Times New Roman"/>
          <w:sz w:val="20"/>
          <w:u w:val="single"/>
        </w:rPr>
        <w:t>provided</w:t>
      </w:r>
      <w:r>
        <w:rPr>
          <w:rFonts w:ascii="Times New Roman" w:hAnsi="Times New Roman"/>
          <w:sz w:val="20"/>
        </w:rPr>
        <w:t xml:space="preserve">,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UCP</w:t>
      </w:r>
      <w:r>
        <w:rPr>
          <w:rFonts w:ascii="Times New Roman" w:hAnsi="Times New Roman"/>
          <w:sz w:val="20"/>
        </w:rPr>
        <w:t xml:space="preserve">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Undisclosed Administration</w:t>
      </w:r>
      <w:r>
        <w:rPr>
          <w:rFonts w:ascii="Times New Roman" w:hAnsi="Times New Roman"/>
          <w:sz w:val="20"/>
        </w:rPr>
        <w:t xml:space="preserve">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 Tax Compliance Certificate</w:t>
      </w:r>
      <w:r>
        <w:rPr>
          <w:rFonts w:ascii="Times New Roman" w:hAnsi="Times New Roman"/>
          <w:sz w:val="20"/>
        </w:rPr>
        <w:t xml:space="preserve"> has the meaning assigned to such term in Section 2.17(f)(ii)(C).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Subsidiary</w:t>
      </w:r>
      <w:r>
        <w:rPr>
          <w:rFonts w:ascii="Times New Roman" w:hAnsi="Times New Roman"/>
          <w:sz w:val="20"/>
        </w:rPr>
        <w:t xml:space="preserve"> means any Subsidiary designated by the Borrower as an Unrestricted Subsidiary pursuant to Section 5.13 subsequent to the Effective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 Owned Restricted Subsidiary</w:t>
      </w:r>
      <w:r>
        <w:rPr>
          <w:rFonts w:ascii="Times New Roman" w:hAnsi="Times New Roman"/>
          <w:sz w:val="20"/>
        </w:rPr>
        <w:t xml:space="preserve"> means any Restricted Subsidiary that is a Wholly Owned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 Owned Subsidiary</w:t>
      </w:r>
      <w:r>
        <w:rPr>
          <w:rFonts w:ascii="Times New Roman" w:hAnsi="Times New Roman"/>
          <w:sz w:val="20"/>
        </w:rPr>
        <w:t xml:space="preserve">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For purposes of this Agreement, Loans and Borrowings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Loan</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Term Benchmark Loan</w:t>
      </w:r>
      <w:r>
        <w:rPr>
          <w:rFonts w:ascii="Times New Roman" w:hAnsi="Times New Roman"/>
          <w:sz w:val="20"/>
        </w:rPr>
        <w:t>, </w:t>
      </w:r>
      <w:r>
        <w:rPr>
          <w:rFonts w:ascii="Times New Roman" w:hAnsi="Times New Roman"/>
          <w:sz w:val="20"/>
          <w:u w:val="single"/>
        </w:rPr>
        <w:t>RFR Loan</w:t>
      </w:r>
      <w:r>
        <w:rPr>
          <w:rFonts w:ascii="Times New Roman" w:hAnsi="Times New Roman"/>
          <w:sz w:val="20"/>
        </w:rPr>
        <w:t>, or </w:t>
      </w:r>
      <w:r>
        <w:rPr>
          <w:rFonts w:ascii="Times New Roman" w:hAnsi="Times New Roman"/>
          <w:sz w:val="20"/>
          <w:u w:val="single"/>
        </w:rPr>
        <w:t>ABR Loan</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Term Benchmark Revolving Loan</w:t>
      </w:r>
      <w:r>
        <w:rPr>
          <w:rFonts w:ascii="Times New Roman" w:hAnsi="Times New Roman"/>
          <w:sz w:val="20"/>
        </w:rPr>
        <w:t>, or </w:t>
      </w:r>
      <w:r>
        <w:rPr>
          <w:rFonts w:ascii="Times New Roman" w:hAnsi="Times New Roman"/>
          <w:sz w:val="20"/>
          <w:u w:val="single"/>
        </w:rPr>
        <w:t>RFR Revolving Loan</w:t>
      </w:r>
      <w:r>
        <w:rPr>
          <w:rFonts w:ascii="Times New Roman" w:hAnsi="Times New Roman"/>
          <w:sz w:val="20"/>
        </w:rPr>
        <w:t>). Borrowings also may be classified and referred to by Class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Revolving Borrowing</w:t>
      </w:r>
      <w:r>
        <w:rPr>
          <w:rFonts w:ascii="Times New Roman" w:hAnsi="Times New Roman"/>
          <w:sz w:val="20"/>
        </w:rPr>
        <w:t> or </w:t>
      </w:r>
      <w:r>
        <w:rPr>
          <w:rFonts w:ascii="Times New Roman" w:hAnsi="Times New Roman"/>
          <w:sz w:val="20"/>
          <w:u w:val="single"/>
        </w:rPr>
        <w:t>Term Borrowing</w:t>
      </w:r>
      <w:r>
        <w:rPr>
          <w:rFonts w:ascii="Times New Roman" w:hAnsi="Times New Roman"/>
          <w:sz w:val="20"/>
        </w:rPr>
        <w:t>) or by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Term Benchmark Borrowing</w:t>
      </w:r>
      <w:r>
        <w:rPr>
          <w:rFonts w:ascii="Times New Roman" w:hAnsi="Times New Roman"/>
          <w:sz w:val="20"/>
        </w:rPr>
        <w:t>, or </w:t>
      </w:r>
      <w:r>
        <w:rPr>
          <w:rFonts w:ascii="Times New Roman" w:hAnsi="Times New Roman"/>
          <w:sz w:val="20"/>
          <w:u w:val="single"/>
        </w:rPr>
        <w:t>RFR Borrowing</w:t>
      </w:r>
      <w:r>
        <w:rPr>
          <w:rFonts w:ascii="Times New Roman" w:hAnsi="Times New Roman"/>
          <w:sz w:val="20"/>
        </w:rPr>
        <w:t>) or by Class and Type (</w:t>
      </w:r>
      <w:r>
        <w:rPr>
          <w:rFonts w:ascii="Times New Roman" w:hAnsi="Times New Roman"/>
          <w:sz w:val="20"/>
          <w:u w:val="single"/>
        </w:rPr>
        <w:t>e.g</w:t>
      </w:r>
      <w:r>
        <w:rPr>
          <w:rFonts w:ascii="Times New Roman" w:hAnsi="Times New Roman"/>
          <w:sz w:val="20"/>
        </w:rPr>
        <w:t>., a </w:t>
      </w:r>
      <w:r>
        <w:rPr>
          <w:rFonts w:ascii="Times New Roman" w:hAnsi="Times New Roman"/>
          <w:sz w:val="20"/>
          <w:u w:val="single"/>
        </w:rPr>
        <w:t>Term Benchmark Term Loan Borrowing</w:t>
      </w:r>
      <w:r>
        <w:rPr>
          <w:rFonts w:ascii="Times New Roman" w:hAnsi="Times New Roman"/>
          <w:sz w:val="20"/>
        </w:rPr>
        <w:t> or a </w:t>
      </w:r>
      <w:r>
        <w:rPr>
          <w:rFonts w:ascii="Times New Roman" w:hAnsi="Times New Roman"/>
          <w:sz w:val="20"/>
          <w:u w:val="single"/>
        </w:rPr>
        <w:t>Term Benchmark Revolving Borrowing</w:t>
      </w:r>
      <w:r>
        <w:rPr>
          <w:rFonts w:ascii="Times New Roman" w:hAnsi="Times New Roman"/>
          <w:sz w:val="20"/>
        </w:rPr>
        <w:t>). Borrowings of Revolving Loans are sometimes referred to herein as </w:t>
      </w:r>
      <w:r>
        <w:rPr>
          <w:rFonts w:ascii="Times New Roman" w:hAnsi="Times New Roman"/>
          <w:sz w:val="20"/>
          <w:u w:val="single"/>
        </w:rPr>
        <w:t>Revolving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GAAP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Effectuation of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Limited Condition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Times New Roman" w:hAnsi="Times New Roman"/>
          <w:sz w:val="20"/>
          <w:u w:val="single"/>
        </w:rPr>
        <w:t>LCT Test Date</w:t>
      </w:r>
      <w:r>
        <w:rPr>
          <w:rFonts w:ascii="Times New Roman" w:hAnsi="Times New Roman"/>
          <w:sz w:val="20"/>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Times New Roman" w:hAnsi="Times New Roman"/>
          <w:sz w:val="20"/>
          <w:u w:val="single"/>
        </w:rPr>
        <w:t>provided</w:t>
      </w:r>
      <w:r>
        <w:rPr>
          <w:rFonts w:ascii="Times New Roman" w:hAnsi="Times New Roman"/>
          <w:sz w:val="20"/>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Certain Determinations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(including in connection with any First Lien Incremental Facility), the Borrower (i) shall in its sole discretion determine under which category such Lien (other than Liens securing the Secured Obligations and the Liens securing the Permitted Second Priority Debt incurred on the Effective Date), Investment, Indebtedness (other than Indebtedness incurred under the First Lien Loan Documents and the Permitted Second Priority Debt incurred under the Second Lien Loan Documents on the Effective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Additional Alternative Currencies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may from time to time request that Revolving Loans be made and/or Letters of Credit be issued in a currency other than Dollars or those specifically listed in the definition of Alternative Currency. In the case of any such request with respect to the making of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(b) Any such request shall be made to the First Lien Administrative Agent not later than 11:00 a.m. (New York City time), ten (10) 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Revolving Loans or the issuance of Letters of Credit, as the case may be, in such requested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failure by a Revolving Lender or an Issuing Bank, as the case may be, to respond to such request within the time period specified in the last sentence of clause (b) above shall be deemed to be a refusal by such Revolving Lender or such Issuing Bank, as the case may be, to permit Revolving Loans to be made or Letters of Credit to be issued in such requested currency. If the First Lien Administrative Agent and all the Revolving Lenders consent to making Revolving Loans in such requested currency, the First Lien Administrative Agent shall so notify the Borrower and (i) the First Lien Administrative Agent and the Revolving Lenders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Borrowings of Revolving Loans. If the First Lien Administrative Agent and each Issuing Bank consent to the issuance of Letters of Credit in such requested currency, the First Lien Administrative Agent shall so notify the Borrower and (i) the First Lien Administrative Agent and the Issuing Banks may amend this Agreement to the extent necessary to add the applicable interest rate for such currency and (ii) to the extent such amendments have been made to add the applicable interest rate for such currency,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Currency Equivalents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Change in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hAnsi="Times New Roman"/>
          <w:sz w:val="20"/>
          <w:u w:val="single"/>
        </w:rPr>
        <w:t>provided</w:t>
      </w:r>
      <w:r>
        <w:rPr>
          <w:rFonts w:ascii="Times New Roman" w:hAnsi="Times New Roman"/>
          <w:sz w:val="20"/>
        </w:rPr>
        <w:t xml:space="preserve"> that if any Revolving Borrowing in the currency of such member state is outstanding immediately prior to such date, such replacement shall take effect, with respect to such Borrowing, at the end of the then current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(b) 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 </w:t>
      </w:r>
    </w:p>
    <w:p>
      <w:pPr>
        <w:pStyle w:val="TextBody"/>
        <w:bidi w:val="0"/>
        <w:spacing w:before="120" w:after="0"/>
        <w:jc w:val="left"/>
        <w:rPr>
          <w:rFonts w:ascii="Times New Roman" w:hAnsi="Times New Roman"/>
          <w:sz w:val="20"/>
        </w:rPr>
      </w:pPr>
      <w:r>
        <w:rPr>
          <w:rFonts w:ascii="Times New Roman" w:hAnsi="Times New Roman"/>
          <w:sz w:val="20"/>
        </w:rPr>
        <w:t xml:space="preserve">(c) 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Divisions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hAnsi="Times New Roman"/>
          <w:sz w:val="20"/>
          <w:u w:val="single"/>
        </w:rPr>
        <w:t>Division</w:t>
      </w:r>
      <w:r>
        <w:rPr>
          <w:rFonts w:ascii="Times New Roman" w:hAnsi="Times New Roman"/>
          <w:sz w:val="20"/>
        </w:rPr>
        <w:t xml:space="preserve">),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Interest Rate; Benchmark Replacement.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on a Loan denominated in Dollars or a Loan denominated in an Alternative Currency may be derived from an interest rate benchmark that may be discontinued or is, or 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set forth herein, (a) each Term Lender agrees to make Term Loans to the Borrower on the Effective Date denominated in Dollars in a principal amount not exceeding such Term Lenders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other than as expressly provided herein with respect to a Defaulting Lender, no Lender shall be responsible for any other Lenders failure to make Loans as required hereby. </w:t>
      </w:r>
    </w:p>
    <w:p>
      <w:pPr>
        <w:pStyle w:val="TextBody"/>
        <w:bidi w:val="0"/>
        <w:spacing w:before="120" w:after="0"/>
        <w:jc w:val="left"/>
        <w:rPr>
          <w:rFonts w:ascii="Times New Roman" w:hAnsi="Times New Roman"/>
          <w:sz w:val="20"/>
        </w:rPr>
      </w:pPr>
      <w:r>
        <w:rPr>
          <w:rFonts w:ascii="Times New Roman" w:hAnsi="Times New Roman"/>
          <w:sz w:val="20"/>
        </w:rPr>
        <w:t xml:space="preserve">(b) Subject to Section 2.14, (i) each Term Borrowing shall be comprised entirely of ABR Loans or Term Benchmark Loans as the Borrower may request in accordance herewith and (ii) each Revolving Borrowing shall be comprised entirely of ABR Loans, Term Benchmark Loans or RFR Loans as the Borrower may request in accordance herewith. Revolving Loans denominated in (i) Dollars may be Term Benchmark Loans, ABR Loans or RFR Loans; (ii) Canadian Dollars may be Term Benchmark Loans or ABR Loans, (iii) any Alternative Currency (other than Canadian Dollars or Sterling) shall be Term Benchmark Loans and (iv) Sterling shall be SONIA Loans. Each Lender at its option may make any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At the commencement of each Interest Period for any Term Benchmark Borrowing such Borrowing shall be in an aggregate amount that is an integral multiple of the Borrowing Multiple and not less than the Borrowing Minimum; </w:t>
      </w:r>
      <w:r>
        <w:rPr>
          <w:rFonts w:ascii="Times New Roman" w:hAnsi="Times New Roman"/>
          <w:sz w:val="20"/>
          <w:u w:val="single"/>
        </w:rPr>
        <w:t>provided</w:t>
      </w:r>
      <w:r>
        <w:rPr>
          <w:rFonts w:ascii="Times New Roman" w:hAnsi="Times New Roman"/>
          <w:sz w:val="20"/>
        </w:rPr>
        <w:t xml:space="preserve"> that a Term Benchmark Borrowing that results from a continuation of an outstanding Term Benchmark Borrowing may be in an aggregate amount that is equal to such outstanding Borrowing. At the time that each ABR Borrowing or RFR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be more than a total of (i) twelve Term Benchmark Borrowings or RFR Borrowings (other than Borrowings denominated in Sterling) outstanding, and (ii) four SONIA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request a Borrowing, the Borrower shall notify the First Lien Administrative Agent of such request by telephone (a) in the case of a Term Benchmark Borrowing in Dollars or Canadian Dollars, not later than 2:00 p.m., New York City time, three (3) Business Days before the date of the proposed Borrowing, (b) in the case of an ABR Borrowing, not later than 10:00 a.m., New York City time, on the date of the proposed Borrowing, (c) in the case of a SONIA Borrowing, not later than 2:00 p.m. London, England time, five (5) Business Days before the date of the proposed Borrowing, (d)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(i) whether the requested Borrowing is to be a Revolving Borrowing, a Term Borrowing or a Borrowing of any other Class (specifying the Class thereof);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amount of such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a Term Benchmark Borrowing or an RFR Borrowing;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Term Benchmark Borrowing, the initial Interest Period to be applicable thereto, which shall be a period contemplated by the definition of the term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(vi) 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(vii) that as of the date of such Borrowing, the conditions set forth in Sections 4.02(a) and 4.02(b) are satisfied; and </w:t>
      </w:r>
    </w:p>
    <w:p>
      <w:pPr>
        <w:pStyle w:val="TextBody"/>
        <w:bidi w:val="0"/>
        <w:spacing w:before="120" w:after="0"/>
        <w:jc w:val="left"/>
        <w:rPr>
          <w:rFonts w:ascii="Times New Roman" w:hAnsi="Times New Roman"/>
          <w:sz w:val="20"/>
        </w:rPr>
      </w:pPr>
      <w:r>
        <w:rPr>
          <w:rFonts w:ascii="Times New Roman" w:hAnsi="Times New Roman"/>
          <w:sz w:val="20"/>
        </w:rPr>
        <w:t xml:space="preserve">(viii) in the case of a Revolving Borrowing, the currency in which such Borrowing is to be denominated.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Borrowing is specified as to any requested Borrowing in Dollars or Canadian Dollars, then the requested Borrowing shall be an ABR Borrowing. If no Interest Period is specified with respect to any requested Term Benchmark Borrowing, then the Borrower shall be deemed to have selected an Interest Period of one months duration. If no currency is specified with respect to any requested Term Benchmark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w:t>
      </w:r>
    </w:p>
    <w:p>
      <w:pPr>
        <w:pStyle w:val="TextBody"/>
        <w:bidi w:val="0"/>
        <w:spacing w:before="120" w:after="0"/>
        <w:jc w:val="left"/>
        <w:rPr>
          <w:rFonts w:ascii="Times New Roman" w:hAnsi="Times New Roman"/>
          <w:sz w:val="20"/>
        </w:rPr>
      </w:pPr>
      <w:r>
        <w:rPr>
          <w:rFonts w:ascii="Times New Roman" w:hAnsi="Times New Roman"/>
          <w:sz w:val="20"/>
        </w:rPr>
        <w:t xml:space="preserve">(b) 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Times New Roman" w:hAnsi="Times New Roman"/>
          <w:i/>
          <w:sz w:val="20"/>
        </w:rPr>
        <w:t>mutatis mutandis</w:t>
      </w:r>
      <w:r>
        <w:rPr>
          <w:rFonts w:ascii="Times New Roman" w:hAnsi="Times New Roman"/>
          <w:sz w:val="20"/>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Times New Roman" w:hAnsi="Times New Roman"/>
          <w:sz w:val="20"/>
          <w:u w:val="single"/>
        </w:rPr>
        <w:t>provided</w:t>
      </w:r>
      <w:r>
        <w:rPr>
          <w:rFonts w:ascii="Times New Roman" w:hAnsi="Times New Roman"/>
          <w:sz w:val="20"/>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Amendment, Renewal or Extension; Certain Conditions</w:t>
      </w:r>
      <w:r>
        <w:rPr>
          <w:rFonts w:ascii="Times New Roman" w:hAnsi="Times New Roman"/>
          <w:sz w:val="20"/>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Times New Roman" w:hAnsi="Times New Roman"/>
          <w:sz w:val="20"/>
          <w:u w:val="single"/>
        </w:rPr>
        <w:t>Letter of Credit Request</w:t>
      </w:r>
      <w:r>
        <w:rPr>
          <w:rFonts w:ascii="Times New Roman" w:hAnsi="Times New Roman"/>
          <w:sz w:val="20"/>
        </w:rPr>
        <w:t xml:space="preserve">).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(p) the aggregate LC Exposure of Barclays Bank PLC shall not exceed the Barclays Letter of Credit Sublimit, (q) the aggregate LC Exposure of Citibank, N.A. shall not exceed the </w:t>
      </w:r>
      <w:r>
        <w:rPr>
          <w:rFonts w:ascii="Times New Roman" w:hAnsi="Times New Roman"/>
          <w:strike/>
          <w:color w:val="FF0000"/>
          <w:sz w:val="20"/>
        </w:rPr>
        <w:t>Citigroup</w:t>
      </w:r>
      <w:r>
        <w:rPr>
          <w:rFonts w:ascii="Times New Roman" w:hAnsi="Times New Roman"/>
          <w:color w:val="0000FF"/>
          <w:sz w:val="20"/>
          <w:u w:val="single"/>
          <w:bdr w:val="double" w:sz="2" w:space="1" w:color="000000"/>
        </w:rPr>
        <w:t>Citibank</w:t>
      </w:r>
      <w:r>
        <w:rPr>
          <w:rFonts w:ascii="Times New Roman" w:hAnsi="Times New Roman"/>
          <w:sz w:val="20"/>
        </w:rPr>
        <w:t xml:space="preserve"> Letter of Credit Sublimit, (r) the aggregate LC Exposure of Citizens Bank, N.A. shall not exceed the Citizens Letter of Credit Sublimit, (s) the aggregate LC Exposure of </w:t>
      </w:r>
      <w:r>
        <w:rPr>
          <w:rFonts w:ascii="Times New Roman" w:hAnsi="Times New Roman"/>
          <w:strike/>
          <w:color w:val="FF0000"/>
          <w:sz w:val="20"/>
        </w:rPr>
        <w:t xml:space="preserve">Credit Suisse </w:t>
      </w:r>
      <w:r>
        <w:rPr>
          <w:rFonts w:ascii="Times New Roman" w:hAnsi="Times New Roman"/>
          <w:color w:val="0000FF"/>
          <w:sz w:val="20"/>
          <w:u w:val="single"/>
          <w:bdr w:val="double" w:sz="2" w:space="1" w:color="000000"/>
        </w:rPr>
        <w:t>Banco Santander, S.</w:t>
      </w:r>
      <w:r>
        <w:rPr>
          <w:rFonts w:ascii="Times New Roman" w:hAnsi="Times New Roman"/>
          <w:sz w:val="20"/>
        </w:rPr>
        <w:t>A</w:t>
      </w:r>
      <w:r>
        <w:rPr>
          <w:rFonts w:ascii="Times New Roman" w:hAnsi="Times New Roman"/>
          <w:strike/>
          <w:color w:val="FF0000"/>
          <w:sz w:val="20"/>
        </w:rPr>
        <w:t>G</w:t>
      </w:r>
      <w:r>
        <w:rPr>
          <w:rFonts w:ascii="Times New Roman" w:hAnsi="Times New Roman"/>
          <w:color w:val="0000FF"/>
          <w:sz w:val="20"/>
          <w:u w:val="single"/>
          <w:bdr w:val="double" w:sz="2" w:space="1" w:color="000000"/>
        </w:rPr>
        <w:t>.</w:t>
      </w:r>
      <w:r>
        <w:rPr>
          <w:rFonts w:ascii="Times New Roman" w:hAnsi="Times New Roman"/>
          <w:sz w:val="20"/>
        </w:rPr>
        <w:t xml:space="preserve">, New York Branch shall not exceed the </w:t>
      </w:r>
      <w:r>
        <w:rPr>
          <w:rFonts w:ascii="Times New Roman" w:hAnsi="Times New Roman"/>
          <w:strike/>
          <w:color w:val="FF0000"/>
          <w:sz w:val="20"/>
        </w:rPr>
        <w:t>Credit Suisse</w:t>
      </w:r>
      <w:r>
        <w:rPr>
          <w:rFonts w:ascii="Times New Roman" w:hAnsi="Times New Roman"/>
          <w:color w:val="0000FF"/>
          <w:sz w:val="20"/>
          <w:u w:val="single"/>
          <w:bdr w:val="double" w:sz="2" w:space="1" w:color="000000"/>
        </w:rPr>
        <w:t>Santander</w:t>
      </w:r>
      <w:r>
        <w:rPr>
          <w:rFonts w:ascii="Times New Roman" w:hAnsi="Times New Roman"/>
          <w:sz w:val="20"/>
        </w:rPr>
        <w:t xml:space="preserve"> Letter of Credit Sublimit, (t) the aggregate LC Exposure of Goldman Sachs Bank USA shall not exceed the Goldman Sachs Letter of Credit Sublimit, (u) the aggregate LC Exposure of Jefferies Finance LLC shall not exceed the Jefferies Letter of Credit Sublimit, (v) the aggregate LC Exposure of JPMorgan Chase Bank, N.A. shall not exceed the JPM Letter of Credit Sublimit, (w) the aggregate LC Exposure of KeyBank National Association shall not exceed the Keybank Letter of Credit Sublimit, (x) the aggregate LC Exposure of Royal Bank of Canada shall not exceed the RBC Letter of Credit Sublimit, (y) the aggregate LC Exposure of BNP Paribas shall not exceed the BNP Paribas Letter of Credit Sublimit and (z)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Each Issuing Bank agrees that it shall not permit any issuance, amendment, renewal or extension of a Letter of Credit to occur unless it shall have given to the First Lien Administrative Agent written notice thereof required under paragraph (m)(iii) of this Section 2.05.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 Date</w:t>
      </w:r>
      <w:r>
        <w:rPr>
          <w:rFonts w:ascii="Times New Roman" w:hAnsi="Times New Roman"/>
          <w:sz w:val="20"/>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Times New Roman" w:hAnsi="Times New Roman"/>
          <w:sz w:val="20"/>
          <w:u w:val="single"/>
        </w:rPr>
        <w:t>provided</w:t>
      </w:r>
      <w:r>
        <w:rPr>
          <w:rFonts w:ascii="Times New Roman" w:hAnsi="Times New Roman"/>
          <w:sz w:val="20"/>
        </w:rPr>
        <w:t xml:space="preserve"> that if such expiry date is not a Business Day, such Letter of Credit shall expire at or prior to the close of business on the next succeeding Business Day; </w:t>
      </w:r>
      <w:r>
        <w:rPr>
          <w:rFonts w:ascii="Times New Roman" w:hAnsi="Times New Roman"/>
          <w:sz w:val="20"/>
          <w:u w:val="single"/>
        </w:rPr>
        <w:t>provided further</w:t>
      </w:r>
      <w:r>
        <w:rPr>
          <w:rFonts w:ascii="Times New Roman" w:hAnsi="Times New Roman"/>
          <w:sz w:val="20"/>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hAnsi="Times New Roman"/>
          <w:sz w:val="20"/>
          <w:u w:val="single"/>
        </w:rPr>
        <w:t>provided further</w:t>
      </w:r>
      <w:r>
        <w:rPr>
          <w:rFonts w:ascii="Times New Roman" w:hAnsi="Times New Roman"/>
          <w:sz w:val="20"/>
        </w:rPr>
        <w:t xml:space="preserve"> that such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Participations in Letters of Credit</w:t>
      </w:r>
      <w:r>
        <w:rPr>
          <w:rFonts w:ascii="Times New Roman" w:hAnsi="Times New Roman"/>
          <w:sz w:val="20"/>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Reimbursement of LC Disbursements</w:t>
      </w:r>
      <w:r>
        <w:rPr>
          <w:rFonts w:ascii="Times New Roman" w:hAnsi="Times New Roman"/>
          <w:sz w:val="20"/>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Times New Roman" w:hAnsi="Times New Roman"/>
          <w:sz w:val="20"/>
          <w:u w:val="single"/>
        </w:rPr>
        <w:t>LC Reimbursement Date</w:t>
      </w:r>
      <w:r>
        <w:rPr>
          <w:rFonts w:ascii="Times New Roman" w:hAnsi="Times New Roman"/>
          <w:sz w:val="20"/>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Times New Roman" w:hAnsi="Times New Roman"/>
          <w:sz w:val="20"/>
          <w:u w:val="single"/>
        </w:rPr>
        <w:t>provided</w:t>
      </w:r>
      <w:r>
        <w:rPr>
          <w:rFonts w:ascii="Times New Roman" w:hAnsi="Times New Roman"/>
          <w:sz w:val="20"/>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 w:hAnsi="Times New Roman"/>
          <w:sz w:val="20"/>
          <w:u w:val="single"/>
        </w:rPr>
        <w:t>provided</w:t>
      </w:r>
      <w:r>
        <w:rPr>
          <w:rFonts w:ascii="Times New Roman" w:hAnsi="Times New Roman"/>
          <w:sz w:val="20"/>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Disbursement Procedures</w:t>
      </w:r>
      <w:r>
        <w:rPr>
          <w:rFonts w:ascii="Times New Roman" w:hAnsi="Times New Roman"/>
          <w:sz w:val="20"/>
        </w:rPr>
        <w:t xml:space="preserve">. Each Issuing Bank shall, promptly following its receipt thereof, examine all documents purporting to represent a demand for payment under such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Interim Interest</w:t>
      </w:r>
      <w:r>
        <w:rPr>
          <w:rFonts w:ascii="Times New Roman" w:hAnsi="Times New Roman"/>
          <w:sz w:val="20"/>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Times New Roman" w:hAnsi="Times New Roman"/>
          <w:sz w:val="20"/>
          <w:u w:val="single"/>
        </w:rPr>
        <w:t>provided</w:t>
      </w:r>
      <w:r>
        <w:rPr>
          <w:rFonts w:ascii="Times New Roman" w:hAnsi="Times New Roman"/>
          <w:sz w:val="20"/>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 of Letters of Credit</w:t>
      </w:r>
      <w:r>
        <w:rPr>
          <w:rFonts w:ascii="Times New Roman" w:hAnsi="Times New Roman"/>
          <w:sz w:val="20"/>
        </w:rPr>
        <w:t xml:space="preserve">.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Designation of Additional Issuing Banks</w:t>
      </w:r>
      <w:r>
        <w:rPr>
          <w:rFonts w:ascii="Times New Roman" w:hAnsi="Times New Roman"/>
          <w:sz w:val="20"/>
        </w:rPr>
        <w:t xml:space="preserve">.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Resignation or Termination of an Issuing Bank</w:t>
      </w:r>
      <w:r>
        <w:rPr>
          <w:rFonts w:ascii="Times New Roman" w:hAnsi="Times New Roman"/>
          <w:sz w:val="20"/>
        </w:rPr>
        <w:t xml:space="preserve">.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 (i) such Issuing Banks acknowledging receipt of such notice and (ii) 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Issuing Bank Reports to the First Lien Administrative Agent</w:t>
      </w:r>
      <w:r>
        <w:rPr>
          <w:rFonts w:ascii="Times New Roman" w:hAnsi="Times New Roman"/>
          <w:sz w:val="20"/>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Times New Roman" w:hAnsi="Times New Roman"/>
          <w:sz w:val="20"/>
          <w:u w:val="single"/>
        </w:rPr>
        <w:t>provided</w:t>
      </w:r>
      <w:r>
        <w:rPr>
          <w:rFonts w:ascii="Times New Roman" w:hAnsi="Times New Roman"/>
          <w:sz w:val="20"/>
        </w:rPr>
        <w:t xml:space="preserve"> that no Issuing Bank shall have any liability hereunder to any Person for any failure to deliver the reports contemplated by this paragraph (m) of Section 2.05.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Applicability of ISP and UCP</w:t>
      </w:r>
      <w:r>
        <w:rPr>
          <w:rFonts w:ascii="Times New Roman" w:hAnsi="Times New Roman"/>
          <w:sz w:val="20"/>
        </w:rPr>
        <w:t xml:space="preserve">.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Rollover of Existing Letters of Credit and Other Letters of Credit</w:t>
      </w:r>
      <w:r>
        <w:rPr>
          <w:rFonts w:ascii="Times New Roman" w:hAnsi="Times New Roman"/>
          <w:sz w:val="20"/>
        </w:rPr>
        <w:t xml:space="preserve">. Each of the Existing Letters of Credit outstanding on the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Times New Roman" w:hAnsi="Times New Roman"/>
          <w:sz w:val="20"/>
          <w:u w:val="single"/>
        </w:rPr>
        <w:t>provided</w:t>
      </w:r>
      <w:r>
        <w:rPr>
          <w:rFonts w:ascii="Times New Roman" w:hAnsi="Times New Roman"/>
          <w:sz w:val="20"/>
        </w:rPr>
        <w:t xml:space="preserve"> that ABR Revolving Loans made to finance the reimbursement of an LC Disbursement as provided in Section 2.05(f) shall be remitted by the First Lien Administrative Agent to the applicable Issuing Bank; </w:t>
      </w:r>
      <w:r>
        <w:rPr>
          <w:rFonts w:ascii="Times New Roman" w:hAnsi="Times New Roman"/>
          <w:sz w:val="20"/>
          <w:u w:val="single"/>
        </w:rPr>
        <w:t>provided further</w:t>
      </w:r>
      <w:r>
        <w:rPr>
          <w:rFonts w:ascii="Times New Roman" w:hAnsi="Times New Roman"/>
          <w:sz w:val="20"/>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 (ii) PSP shall not be required to make any Revolving Loans in Canadian Dollars without prior written notice delivered at least one (1) Business Day prior to the proposed date of such Borrowing.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(c) 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Revolving Borrowing of the applicable Class and each Term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2.07;</w:t>
      </w:r>
      <w:r>
        <w:rPr>
          <w:rFonts w:ascii="Times New Roman" w:hAnsi="Times New Roman"/>
          <w:sz w:val="20"/>
          <w:u w:val="single"/>
        </w:rPr>
        <w:t xml:space="preserve"> provided</w:t>
      </w:r>
      <w:r>
        <w:rPr>
          <w:rFonts w:ascii="Times New Roman" w:hAnsi="Times New Roman"/>
          <w:sz w:val="20"/>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120" w:after="0"/>
        <w:jc w:val="left"/>
        <w:rPr>
          <w:rFonts w:ascii="Times New Roman" w:hAnsi="Times New Roman"/>
          <w:sz w:val="20"/>
        </w:rPr>
      </w:pPr>
      <w:r>
        <w:rPr>
          <w:rFonts w:ascii="Times New Roman" w:hAnsi="Times New Roman"/>
          <w:sz w:val="20"/>
        </w:rPr>
        <w:t xml:space="preserve">(b) 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Each telephonic and written Interest Election Request shall specify the following information in compliance with Section 2.03: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a Term Benchmark Borrowing or RFR Borrowing; provided that no Term Borrowing shall be converted to a RFR Borrowing unless Adjusted Daily Simple SOFR is being used as an alternate rate of interest pursuant to Section 2.14;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to be a Term Benchmark Borrowing,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Benchmark Borrowing, but does not specify an Interest Period, then the Borrower shall be deemed to have selected an Interest Period of one months duration. </w:t>
      </w:r>
    </w:p>
    <w:p>
      <w:pPr>
        <w:pStyle w:val="TextBody"/>
        <w:bidi w:val="0"/>
        <w:spacing w:before="120" w:after="0"/>
        <w:jc w:val="left"/>
        <w:rPr>
          <w:rFonts w:ascii="Times New Roman" w:hAnsi="Times New Roman"/>
          <w:sz w:val="20"/>
        </w:rPr>
      </w:pPr>
      <w:r>
        <w:rPr>
          <w:rFonts w:ascii="Times New Roman" w:hAnsi="Times New Roman"/>
          <w:sz w:val="20"/>
        </w:rPr>
        <w:t xml:space="preserve">(d) Promptly following receipt of an Interest Election Request in accordance with this Section 2.07, the First Lien Administrative Agent shall advise each Lender of the applicable Class of the details thereof and of such Lenders portion of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(e) If the Borrower fails to deliver a timely Interest Election Request with respect to a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Term Benchmark Borrowing and (ii) unless repaid, (A) each Term Benchmark Borrowing and (B) each RFR Borrowing, if denominated in Dollars, shall be converted to an ABR Borrowing (in the case of a Term Benchmark Borrowing) at the end of the Interest Period applicable thereto or (in the case of an RFR Borrowing) on the next Interest Payment Date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previously terminated, (i) the Term Commitments provided on the Effective Date shall terminate at 11:59 p.m., New York City time, on the Effective Date and (ii) the Revolving Commitments shall terminate on the Revolving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may at any time terminate, or from time to time reduce, the Commitments of any Class, </w:t>
      </w:r>
      <w:r>
        <w:rPr>
          <w:rFonts w:ascii="Times New Roman" w:hAnsi="Times New Roman"/>
          <w:sz w:val="20"/>
          <w:u w:val="single"/>
        </w:rPr>
        <w:t>provided</w:t>
      </w:r>
      <w:r>
        <w:rPr>
          <w:rFonts w:ascii="Times New Roman" w:hAnsi="Times New Roman"/>
          <w:sz w:val="20"/>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Times New Roman" w:hAnsi="Times New Roman"/>
          <w:sz w:val="20"/>
          <w:u w:val="single"/>
        </w:rPr>
        <w:t xml:space="preserve">provided </w:t>
      </w:r>
      <w:r>
        <w:rPr>
          <w:rFonts w:ascii="Times New Roman" w:hAnsi="Times New Roman"/>
          <w:sz w:val="20"/>
        </w:rPr>
        <w:t xml:space="preserve">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 (10) Business Days after such Loan is made and (B) the Revolving Maturity Date; </w:t>
      </w:r>
      <w:r>
        <w:rPr>
          <w:rFonts w:ascii="Times New Roman" w:hAnsi="Times New Roman"/>
          <w:sz w:val="20"/>
          <w:u w:val="single"/>
        </w:rPr>
        <w:t>provided</w:t>
      </w:r>
      <w:r>
        <w:rPr>
          <w:rFonts w:ascii="Times New Roman" w:hAnsi="Times New Roman"/>
          <w:sz w:val="20"/>
        </w:rPr>
        <w:t xml:space="preserve"> that on each date that a Revolving Borrowing is made, the Borrower shall repay all Swingline Loans that were outstanding on the date such Borrowing was requested. </w:t>
      </w:r>
    </w:p>
    <w:p>
      <w:pPr>
        <w:pStyle w:val="TextBody"/>
        <w:bidi w:val="0"/>
        <w:spacing w:before="12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(c) 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 </w:t>
      </w:r>
    </w:p>
    <w:p>
      <w:pPr>
        <w:pStyle w:val="TextBody"/>
        <w:bidi w:val="0"/>
        <w:spacing w:before="120" w:after="0"/>
        <w:jc w:val="left"/>
        <w:rPr>
          <w:rFonts w:ascii="Times New Roman" w:hAnsi="Times New Roman"/>
          <w:sz w:val="20"/>
        </w:rPr>
      </w:pPr>
      <w:r>
        <w:rPr>
          <w:rFonts w:ascii="Times New Roman" w:hAnsi="Times New Roman"/>
          <w:sz w:val="20"/>
        </w:rPr>
        <w:t xml:space="preserve">(d) The entries made in the accounts maintained pursuant to paragraph (b) or (c) of this Section 2.09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 </w:t>
      </w:r>
    </w:p>
    <w:p>
      <w:pPr>
        <w:pStyle w:val="TextBody"/>
        <w:bidi w:val="0"/>
        <w:spacing w:before="120" w:after="0"/>
        <w:jc w:val="left"/>
        <w:rPr>
          <w:rFonts w:ascii="Times New Roman" w:hAnsi="Times New Roman"/>
          <w:sz w:val="20"/>
        </w:rPr>
      </w:pPr>
      <w:r>
        <w:rPr>
          <w:rFonts w:ascii="Times New Roman" w:hAnsi="Times New Roman"/>
          <w:sz w:val="20"/>
        </w:rPr>
        <w:t xml:space="preserve">(e) 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Amortization of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pursuant to paragraph (c) of this Section 2.10 and increases in connection with fungible increases to the Initial Term Loans to reflect the equivalent amortization for such fungible increases, the Borrower shall repay Borrowings of Initial Term Loans on the last day of each March, June, September and December (commencing on June 30, 2020) in the principal amount of Term Loans as follows; </w:t>
      </w:r>
      <w:r>
        <w:rPr>
          <w:rFonts w:ascii="Times New Roman" w:hAnsi="Times New Roman"/>
          <w:sz w:val="20"/>
          <w:u w:val="single"/>
        </w:rPr>
        <w:t>provided</w:t>
      </w:r>
      <w:r>
        <w:rPr>
          <w:rFonts w:ascii="Times New Roman" w:hAnsi="Times New Roman"/>
          <w:sz w:val="20"/>
        </w:rPr>
        <w:t xml:space="preserve"> that if any such date is not a Business Day, such payment shall be due on the immediately preceding Business Day:3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25, 2020, the Borrower made a prepayment of $191,000,000 and on November 27, 2020, the Borrower made a prepayment of $150,000,000. Both payments were applied to the remaining amortization payments in full through September 30, 2026, resulting in no further amortization payments being due prior to the Term Maturity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2995"/>
        <w:gridCol w:w="621"/>
        <w:gridCol w:w="3323"/>
      </w:tblGrid>
      <w:tr>
        <w:trPr/>
        <w:tc>
          <w:tcPr>
            <w:tcW w:w="2995" w:type="dxa"/>
            <w:tcBorders/>
            <w:vAlign w:val="center"/>
          </w:tcPr>
          <w:p>
            <w:pPr>
              <w:pStyle w:val="TableContents"/>
              <w:bidi w:val="0"/>
              <w:spacing w:before="0" w:after="283"/>
              <w:jc w:val="left"/>
              <w:rPr>
                <w:sz w:val="4"/>
                <w:szCs w:val="4"/>
              </w:rPr>
            </w:pPr>
            <w:r>
              <w:rPr>
                <w:sz w:val="4"/>
                <w:szCs w:val="4"/>
              </w:rPr>
            </w:r>
          </w:p>
        </w:tc>
        <w:tc>
          <w:tcPr>
            <w:tcW w:w="621"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29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PAYMENT DATE</w:t>
            </w:r>
          </w:p>
        </w:tc>
        <w:tc>
          <w:tcPr>
            <w:tcW w:w="621" w:type="dxa"/>
            <w:tcBorders/>
            <w:vAlign w:val="bottom"/>
          </w:tcPr>
          <w:p>
            <w:pPr>
              <w:pStyle w:val="TableContents"/>
              <w:bidi w:val="0"/>
              <w:spacing w:before="0" w:after="283"/>
              <w:jc w:val="left"/>
              <w:rPr/>
            </w:pPr>
            <w:r>
              <w:rPr/>
              <w:t>  </w:t>
            </w:r>
          </w:p>
        </w:tc>
        <w:tc>
          <w:tcPr>
            <w:tcW w:w="3323" w:type="dxa"/>
            <w:tcBorders>
              <w:bottom w:val="single" w:sz="8" w:space="0" w:color="000000"/>
            </w:tcBorders>
            <w:tcMar>
              <w:bottom w:w="28" w:type="dxa"/>
            </w:tcMar>
            <w:vAlign w:val="bottom"/>
          </w:tcPr>
          <w:p>
            <w:pPr>
              <w:pStyle w:val="TableContents"/>
              <w:bidi w:val="0"/>
              <w:spacing w:before="0" w:after="283"/>
              <w:jc w:val="center"/>
              <w:rPr>
                <w:b/>
              </w:rPr>
            </w:pPr>
            <w:r>
              <w:rPr>
                <w:b/>
              </w:rPr>
              <w:t>AMORTIZATION PAYMENT</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2020</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2020</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2021</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2021</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2021</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2022</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2022</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2022</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2023</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2023</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2023</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2024</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2024</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2024</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2025</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2025</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2025</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2026</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2026</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$5,300,000</w:t>
            </w:r>
          </w:p>
        </w:tc>
      </w:tr>
      <w:tr>
        <w:trPr/>
        <w:tc>
          <w:tcPr>
            <w:tcW w:w="2995"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2026</w:t>
            </w:r>
          </w:p>
        </w:tc>
        <w:tc>
          <w:tcPr>
            <w:tcW w:w="621"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center"/>
              <w:rPr/>
            </w:pPr>
            <w:r>
              <w:rPr/>
              <w:t>$5,300,000</w:t>
            </w:r>
          </w:p>
        </w:tc>
      </w:tr>
      <w:tr>
        <w:trPr/>
        <w:tc>
          <w:tcPr>
            <w:tcW w:w="2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Maturity Date</w:t>
            </w:r>
          </w:p>
        </w:tc>
        <w:tc>
          <w:tcPr>
            <w:tcW w:w="621" w:type="dxa"/>
            <w:tcBorders/>
            <w:shd w:fill="CCEEFF" w:val="clear"/>
            <w:vAlign w:val="bottom"/>
          </w:tcPr>
          <w:p>
            <w:pPr>
              <w:pStyle w:val="TableContents"/>
              <w:bidi w:val="0"/>
              <w:spacing w:before="0" w:after="283"/>
              <w:jc w:val="left"/>
              <w:rPr/>
            </w:pPr>
            <w:r>
              <w:rPr/>
              <w:t>  </w:t>
            </w:r>
          </w:p>
        </w:tc>
        <w:tc>
          <w:tcPr>
            <w:tcW w:w="3323" w:type="dxa"/>
            <w:tcBorders/>
            <w:shd w:fill="CCEEFF" w:val="clear"/>
            <w:vAlign w:val="bottom"/>
          </w:tcPr>
          <w:p>
            <w:pPr>
              <w:pStyle w:val="TableContents"/>
              <w:bidi w:val="0"/>
              <w:spacing w:before="0" w:after="283"/>
              <w:jc w:val="center"/>
              <w:rPr/>
            </w:pPr>
            <w:r>
              <w:rPr/>
              <w:t>Remainder</w:t>
            </w:r>
          </w:p>
        </w:tc>
      </w:tr>
    </w:tbl>
    <w:p>
      <w:pPr>
        <w:pStyle w:val="TextBody"/>
        <w:bidi w:val="0"/>
        <w:spacing w:before="120" w:after="0"/>
        <w:jc w:val="left"/>
        <w:rPr>
          <w:rFonts w:ascii="Times New Roman" w:hAnsi="Times New Roman"/>
          <w:sz w:val="20"/>
        </w:rPr>
      </w:pPr>
      <w:r>
        <w:rPr>
          <w:rFonts w:ascii="Times New Roman" w:hAnsi="Times New Roman"/>
          <w:sz w:val="20"/>
        </w:rPr>
        <w:t xml:space="preserve">(b) To the extent not previously paid, all Initial Term Loans shall be due and payable on the Term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First Lien Incremental Facility). </w:t>
      </w:r>
    </w:p>
    <w:p>
      <w:pPr>
        <w:pStyle w:val="TextBody"/>
        <w:bidi w:val="0"/>
        <w:spacing w:before="120" w:after="0"/>
        <w:jc w:val="left"/>
        <w:rPr>
          <w:rFonts w:ascii="Times New Roman" w:hAnsi="Times New Roman"/>
          <w:sz w:val="20"/>
        </w:rPr>
      </w:pPr>
      <w:r>
        <w:rPr>
          <w:rFonts w:ascii="Times New Roman" w:hAnsi="Times New Roman"/>
          <w:sz w:val="20"/>
        </w:rPr>
        <w:t xml:space="preserve">(d) 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Borrower shall have the right at any time and from time to time to prepay any Borrowing in whole or in part, without premium or penalty; </w:t>
      </w:r>
      <w:r>
        <w:rPr>
          <w:rFonts w:ascii="Times New Roman" w:hAnsi="Times New Roman"/>
          <w:sz w:val="20"/>
          <w:u w:val="single"/>
        </w:rPr>
        <w:t>provided</w:t>
      </w:r>
      <w:r>
        <w:rPr>
          <w:rFonts w:ascii="Times New Roman" w:hAnsi="Times New Roman"/>
          <w:sz w:val="20"/>
        </w:rPr>
        <w:t xml:space="preserve"> that in the event that, on or prior to the date that is six months after the Effective Date, the Borrower enters into any Repricing Transaction, the Borrower shall pay to the First Lien Administrative Agent, for the ratable account of each of the applicable Term Lenders, (I) in the case of clause (a) of the definition of Repricing Transaction, a prepayment premium of 1.00% of the principal amount of the Initial Term Loans being prepaid in connection with such Repricing Transaction or (II) in the case of clause (b) of the definition of Repricing Transaction, , an amount equal to 1.00% of the aggregate amount of the applicable Initial Term Loans outstanding immediately prior to such amendment that are subject to an effective pricing reduction pursuant to such Repricing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 </w:t>
      </w:r>
    </w:p>
    <w:p>
      <w:pPr>
        <w:pStyle w:val="TextBody"/>
        <w:bidi w:val="0"/>
        <w:spacing w:before="120" w:after="0"/>
        <w:jc w:val="left"/>
        <w:rPr>
          <w:rFonts w:ascii="Times New Roman" w:hAnsi="Times New Roman"/>
          <w:sz w:val="20"/>
        </w:rPr>
      </w:pPr>
      <w:r>
        <w:rPr>
          <w:rFonts w:ascii="Times New Roman" w:hAnsi="Times New Roman"/>
          <w:sz w:val="20"/>
        </w:rPr>
        <w:t>(A) Holdings, any Intermediate Parent, the Borrower or any of their respective Subsidiaries shall have the right to make a voluntary prepayment of Term Loans at a discount to par (such prepayment, the </w:t>
      </w:r>
      <w:r>
        <w:rPr>
          <w:rFonts w:ascii="Times New Roman" w:hAnsi="Times New Roman"/>
          <w:sz w:val="20"/>
          <w:u w:val="single"/>
        </w:rPr>
        <w:t>Discounted Term Loan Prepayment</w:t>
      </w:r>
      <w:r>
        <w:rPr>
          <w:rFonts w:ascii="Times New Roman" w:hAnsi="Times New Roman"/>
          <w:sz w:val="20"/>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Times New Roman" w:hAnsi="Times New Roman"/>
          <w:sz w:val="20"/>
          <w:u w:val="single"/>
        </w:rPr>
        <w:t>provided</w:t>
      </w:r>
      <w:r>
        <w:rPr>
          <w:rFonts w:ascii="Times New Roman" w:hAnsi="Times New Roman"/>
          <w:sz w:val="20"/>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hAnsi="Times New Roman"/>
          <w:sz w:val="20"/>
          <w:u w:val="single"/>
        </w:rPr>
        <w:t>Excluded Information</w:t>
      </w:r>
      <w:r>
        <w:rPr>
          <w:rFonts w:ascii="Times New Roman" w:hAnsi="Times New Roman"/>
          <w:sz w:val="20"/>
        </w:rPr>
        <w:t xml:space="preserve">), (2) 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Times New Roman" w:hAnsi="Times New Roman"/>
          <w:sz w:val="20"/>
          <w:u w:val="single"/>
        </w:rPr>
        <w:t>provided further</w:t>
      </w:r>
      <w:r>
        <w:rPr>
          <w:rFonts w:ascii="Times New Roman" w:hAnsi="Times New Roman"/>
          <w:sz w:val="20"/>
        </w:rPr>
        <w:t xml:space="preserve"> that any Term Loan that is prepaid will be automatically and irrevocably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Times New Roman" w:hAnsi="Times New Roman"/>
          <w:sz w:val="20"/>
          <w:u w:val="single"/>
        </w:rPr>
        <w:t>provided</w:t>
      </w:r>
      <w:r>
        <w:rPr>
          <w:rFonts w:ascii="Times New Roman" w:hAnsi="Times New Roman"/>
          <w:sz w:val="20"/>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hAnsi="Times New Roman"/>
          <w:sz w:val="20"/>
          <w:u w:val="single"/>
        </w:rPr>
        <w:t>Specified Discount Prepayment Amount</w:t>
      </w:r>
      <w:r>
        <w:rPr>
          <w:rFonts w:ascii="Times New Roman" w:hAnsi="Times New Roman"/>
          <w:sz w:val="20"/>
        </w:rPr>
        <w:t>) with respect to each applicable tranche, the tranche or tranches of Term Loans subject to such offer and the specific percentage discount to par (the </w:t>
      </w:r>
      <w:r>
        <w:rPr>
          <w:rFonts w:ascii="Times New Roman" w:hAnsi="Times New Roman"/>
          <w:sz w:val="20"/>
          <w:u w:val="single"/>
        </w:rPr>
        <w:t>Specified Discount</w:t>
      </w:r>
      <w:r>
        <w:rPr>
          <w:rFonts w:ascii="Times New Roman" w:hAnsi="Times New Roman"/>
          <w:sz w:val="20"/>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Specified Discount Prepayment Response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hAnsi="Times New Roman"/>
          <w:sz w:val="20"/>
          <w:u w:val="single"/>
        </w:rPr>
        <w:t>Discount Prepayment Accepting Lender</w:t>
      </w:r>
      <w:r>
        <w:rPr>
          <w:rFonts w:ascii="Times New Roman" w:hAnsi="Times New Roman"/>
          <w:sz w:val="20"/>
        </w:rPr>
        <w:t xml:space="preserve">),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w:t>
      </w:r>
    </w:p>
    <w:p>
      <w:pPr>
        <w:pStyle w:val="TextBody"/>
        <w:bidi w:val="0"/>
        <w:spacing w:before="120" w:after="0"/>
        <w:jc w:val="left"/>
        <w:rPr>
          <w:rFonts w:ascii="Times New Roman" w:hAnsi="Times New Roman"/>
          <w:sz w:val="20"/>
        </w:rPr>
      </w:pPr>
      <w:r>
        <w:rPr>
          <w:rFonts w:ascii="Times New Roman" w:hAnsi="Times New Roman"/>
          <w:sz w:val="20"/>
        </w:rPr>
        <w:t xml:space="preserve">(3) 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hAnsi="Times New Roman"/>
          <w:sz w:val="20"/>
          <w:u w:val="single"/>
        </w:rPr>
        <w:t>provided</w:t>
      </w:r>
      <w:r>
        <w:rPr>
          <w:rFonts w:ascii="Times New Roman" w:hAnsi="Times New Roman"/>
          <w:sz w:val="20"/>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Times New Roman" w:hAnsi="Times New Roman"/>
          <w:sz w:val="20"/>
          <w:u w:val="single"/>
        </w:rPr>
        <w:t>Specified Discount Proration</w:t>
      </w:r>
      <w:r>
        <w:rPr>
          <w:rFonts w:ascii="Times New Roman" w:hAnsi="Times New Roman"/>
          <w:sz w:val="20"/>
        </w:rPr>
        <w:t xml:space="preserve">).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Times New Roman" w:hAnsi="Times New Roman"/>
          <w:sz w:val="20"/>
          <w:u w:val="single"/>
        </w:rPr>
        <w:t>provided</w:t>
      </w:r>
      <w:r>
        <w:rPr>
          <w:rFonts w:ascii="Times New Roman" w:hAnsi="Times New Roman"/>
          <w:sz w:val="20"/>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hAnsi="Times New Roman"/>
          <w:sz w:val="20"/>
          <w:u w:val="single"/>
        </w:rPr>
        <w:t>Discount Range Prepayment Amount</w:t>
      </w:r>
      <w:r>
        <w:rPr>
          <w:rFonts w:ascii="Times New Roman" w:hAnsi="Times New Roman"/>
          <w:sz w:val="20"/>
        </w:rPr>
        <w:t>), the tranche or tranches of Term Loans subject to such offer and the maximum and minimum percentage discounts to par (the </w:t>
      </w:r>
      <w:r>
        <w:rPr>
          <w:rFonts w:ascii="Times New Roman" w:hAnsi="Times New Roman"/>
          <w:sz w:val="20"/>
          <w:u w:val="single"/>
        </w:rPr>
        <w:t>Discount Range</w:t>
      </w:r>
      <w:r>
        <w:rPr>
          <w:rFonts w:ascii="Times New Roman" w:hAnsi="Times New Roman"/>
          <w:sz w:val="20"/>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Discount Range Prepayment Response Date</w:t>
      </w:r>
      <w:r>
        <w:rPr>
          <w:rFonts w:ascii="Times New Roman" w:hAnsi="Times New Roman"/>
          <w:sz w:val="20"/>
        </w:rPr>
        <w:t>). Each relevant Term Lenders Discount Range Prepayment Offer shall be irrevocable and shall specify a discount to par within the Discount Range (the </w:t>
      </w:r>
      <w:r>
        <w:rPr>
          <w:rFonts w:ascii="Times New Roman" w:hAnsi="Times New Roman"/>
          <w:sz w:val="20"/>
          <w:u w:val="single"/>
        </w:rPr>
        <w:t>Submitted Discount</w:t>
      </w:r>
      <w:r>
        <w:rPr>
          <w:rFonts w:ascii="Times New Roman" w:hAnsi="Times New Roman"/>
          <w:sz w:val="20"/>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hAnsi="Times New Roman"/>
          <w:sz w:val="20"/>
          <w:u w:val="single"/>
        </w:rPr>
        <w:t>Submitted Amount</w:t>
      </w:r>
      <w:r>
        <w:rPr>
          <w:rFonts w:ascii="Times New Roman" w:hAnsi="Times New Roman"/>
          <w:sz w:val="20"/>
        </w:rPr>
        <w:t xml:space="preserve">)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w:t>
      </w:r>
    </w:p>
    <w:p>
      <w:pPr>
        <w:pStyle w:val="TextBody"/>
        <w:bidi w:val="0"/>
        <w:spacing w:before="120" w:after="0"/>
        <w:jc w:val="left"/>
        <w:rPr>
          <w:rFonts w:ascii="Times New Roman" w:hAnsi="Times New Roman"/>
          <w:sz w:val="20"/>
        </w:rPr>
      </w:pPr>
      <w:r>
        <w:rPr>
          <w:rFonts w:ascii="Times New Roman" w:hAnsi="Times New Roman"/>
          <w:sz w:val="20"/>
        </w:rPr>
        <w:t>(2) 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hAnsi="Times New Roman"/>
          <w:sz w:val="20"/>
          <w:u w:val="single"/>
        </w:rPr>
        <w:t>Applicable Discount</w:t>
      </w:r>
      <w:r>
        <w:rPr>
          <w:rFonts w:ascii="Times New Roman" w:hAnsi="Times New Roman"/>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hAnsi="Times New Roman"/>
          <w:sz w:val="20"/>
          <w:u w:val="single"/>
        </w:rPr>
        <w:t>Participating Lender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hAnsi="Times New Roman"/>
          <w:sz w:val="20"/>
          <w:u w:val="single"/>
        </w:rPr>
        <w:t>provided</w:t>
      </w:r>
      <w:r>
        <w:rPr>
          <w:rFonts w:ascii="Times New Roman" w:hAnsi="Times New Roman"/>
          <w:sz w:val="20"/>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hAnsi="Times New Roman"/>
          <w:sz w:val="20"/>
          <w:u w:val="single"/>
        </w:rPr>
        <w:t>Identified Participating Lenders</w:t>
      </w:r>
      <w:r>
        <w:rPr>
          <w:rFonts w:ascii="Times New Roman" w:hAnsi="Times New Roman"/>
          <w:sz w:val="20"/>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hAnsi="Times New Roman"/>
          <w:sz w:val="20"/>
          <w:u w:val="single"/>
        </w:rPr>
        <w:t>Discount Range Proration</w:t>
      </w:r>
      <w:r>
        <w:rPr>
          <w:rFonts w:ascii="Times New Roman" w:hAnsi="Times New Roman"/>
          <w:sz w:val="20"/>
        </w:rPr>
        <w:t xml:space="preserve">). The Auction Agent shall promptly, and in any case within five (5) 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 </w:t>
      </w:r>
    </w:p>
    <w:p>
      <w:pPr>
        <w:pStyle w:val="TextBody"/>
        <w:bidi w:val="0"/>
        <w:spacing w:before="120" w:after="0"/>
        <w:jc w:val="left"/>
        <w:rPr>
          <w:rFonts w:ascii="Times New Roman" w:hAnsi="Times New Roman"/>
          <w:sz w:val="20"/>
        </w:rPr>
      </w:pPr>
      <w:r>
        <w:rPr>
          <w:rFonts w:ascii="Times New Roman" w:hAnsi="Times New Roman"/>
          <w:sz w:val="20"/>
        </w:rPr>
        <w:t>(D) (1)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hAnsi="Times New Roman"/>
          <w:sz w:val="20"/>
          <w:u w:val="single"/>
        </w:rPr>
        <w:t>Solicited Discounted Prepayment Amount</w:t>
      </w:r>
      <w:r>
        <w:rPr>
          <w:rFonts w:ascii="Times New Roman" w:hAnsi="Times New Roman"/>
          <w:sz w:val="20"/>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hAnsi="Times New Roman"/>
          <w:sz w:val="20"/>
          <w:u w:val="single"/>
        </w:rPr>
        <w:t>Solicited Discounted Prepayment Response Date</w:t>
      </w:r>
      <w:r>
        <w:rPr>
          <w:rFonts w:ascii="Times New Roman" w:hAnsi="Times New Roman"/>
          <w:sz w:val="20"/>
        </w:rPr>
        <w:t>). Each Term Lenders Solicited Discounted Prepayment Offer shall (x) be irrevocable, (y) remain outstanding until the Acceptance Date, and (z) specify both a discount to par (the </w:t>
      </w:r>
      <w:r>
        <w:rPr>
          <w:rFonts w:ascii="Times New Roman" w:hAnsi="Times New Roman"/>
          <w:sz w:val="20"/>
          <w:u w:val="single"/>
        </w:rPr>
        <w:t>Offered Discount</w:t>
      </w:r>
      <w:r>
        <w:rPr>
          <w:rFonts w:ascii="Times New Roman" w:hAnsi="Times New Roman"/>
          <w:sz w:val="20"/>
        </w:rPr>
        <w:t>) such Term Lender is willing to allow to be applied to the prepayment of its then outstanding Term Loan and the maximum aggregate principal amount and tranches of such Term Loans (the </w:t>
      </w:r>
      <w:r>
        <w:rPr>
          <w:rFonts w:ascii="Times New Roman" w:hAnsi="Times New Roman"/>
          <w:sz w:val="20"/>
          <w:u w:val="single"/>
        </w:rPr>
        <w:t>Offered Amount</w:t>
      </w:r>
      <w:r>
        <w:rPr>
          <w:rFonts w:ascii="Times New Roman" w:hAnsi="Times New Roman"/>
          <w:sz w:val="20"/>
        </w:rPr>
        <w:t xml:space="preserve">)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Times New Roman" w:hAnsi="Times New Roman"/>
          <w:sz w:val="20"/>
          <w:u w:val="single"/>
        </w:rPr>
        <w:t>Acceptable Discount</w:t>
      </w:r>
      <w:r>
        <w:rPr>
          <w:rFonts w:ascii="Times New Roman" w:hAnsi="Times New Roman"/>
          <w:sz w:val="20"/>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Times New Roman" w:hAnsi="Times New Roman"/>
          <w:sz w:val="20"/>
          <w:u w:val="single"/>
        </w:rPr>
        <w:t>Acceptance Date</w:t>
      </w:r>
      <w:r>
        <w:rPr>
          <w:rFonts w:ascii="Times New Roman" w:hAnsi="Times New Roman"/>
          <w:sz w:val="20"/>
        </w:rPr>
        <w:t xml:space="preserve">),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 </w:t>
      </w:r>
    </w:p>
    <w:p>
      <w:pPr>
        <w:pStyle w:val="TextBody"/>
        <w:bidi w:val="0"/>
        <w:spacing w:before="120" w:after="0"/>
        <w:jc w:val="left"/>
        <w:rPr>
          <w:rFonts w:ascii="Times New Roman" w:hAnsi="Times New Roman"/>
          <w:sz w:val="20"/>
        </w:rPr>
      </w:pPr>
      <w:r>
        <w:rPr>
          <w:rFonts w:ascii="Times New Roman" w:hAnsi="Times New Roman"/>
          <w:sz w:val="20"/>
        </w:rPr>
        <w:t>(3) 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hAnsi="Times New Roman"/>
          <w:sz w:val="20"/>
          <w:u w:val="single"/>
        </w:rPr>
        <w:t>Discounted Prepayment Determination Date</w:t>
      </w:r>
      <w:r>
        <w:rPr>
          <w:rFonts w:ascii="Times New Roman" w:hAnsi="Times New Roman"/>
          <w:sz w:val="20"/>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Times New Roman" w:hAnsi="Times New Roman"/>
          <w:sz w:val="20"/>
          <w:u w:val="single"/>
        </w:rPr>
        <w:t>Acceptable Prepayment Amount</w:t>
      </w:r>
      <w:r>
        <w:rPr>
          <w:rFonts w:ascii="Times New Roman" w:hAnsi="Times New Roman"/>
          <w:sz w:val="20"/>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hAnsi="Times New Roman"/>
          <w:sz w:val="20"/>
          <w:u w:val="single"/>
        </w:rPr>
        <w:t>Qualifying Lender</w:t>
      </w:r>
      <w:r>
        <w:rPr>
          <w:rFonts w:ascii="Times New Roman" w:hAnsi="Times New Roman"/>
          <w:sz w:val="20"/>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hAnsi="Times New Roman"/>
          <w:sz w:val="20"/>
          <w:u w:val="single"/>
        </w:rPr>
        <w:t xml:space="preserve">provided </w:t>
      </w:r>
      <w:r>
        <w:rPr>
          <w:rFonts w:ascii="Times New Roman" w:hAnsi="Times New Roman"/>
          <w:sz w:val="20"/>
        </w:rPr>
        <w:t>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hAnsi="Times New Roman"/>
          <w:sz w:val="20"/>
          <w:u w:val="single"/>
        </w:rPr>
        <w:t>Identified Qualifying Lenders</w:t>
      </w:r>
      <w:r>
        <w:rPr>
          <w:rFonts w:ascii="Times New Roman" w:hAnsi="Times New Roman"/>
          <w:sz w:val="20"/>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hAnsi="Times New Roman"/>
          <w:sz w:val="20"/>
          <w:u w:val="single"/>
        </w:rPr>
        <w:t>Solicited Discount Proration</w:t>
      </w:r>
      <w:r>
        <w:rPr>
          <w:rFonts w:ascii="Times New Roman" w:hAnsi="Times New Roman"/>
          <w:sz w:val="20"/>
        </w:rPr>
        <w:t xml:space="preserve">).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(F) 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w:t>
      </w:r>
    </w:p>
    <w:p>
      <w:pPr>
        <w:pStyle w:val="TextBody"/>
        <w:bidi w:val="0"/>
        <w:spacing w:before="120" w:after="0"/>
        <w:jc w:val="left"/>
        <w:rPr>
          <w:rFonts w:ascii="Times New Roman" w:hAnsi="Times New Roman"/>
          <w:sz w:val="20"/>
        </w:rPr>
      </w:pPr>
      <w:r>
        <w:rPr>
          <w:rFonts w:ascii="Times New Roman" w:hAnsi="Times New Roman"/>
          <w:sz w:val="20"/>
        </w:rPr>
        <w:t xml:space="preserve">(G) 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hAnsi="Times New Roman"/>
          <w:sz w:val="20"/>
          <w:u w:val="single"/>
        </w:rPr>
        <w:t>provided</w:t>
      </w:r>
      <w:r>
        <w:rPr>
          <w:rFonts w:ascii="Times New Roman" w:hAnsi="Times New Roman"/>
          <w:sz w:val="20"/>
        </w:rPr>
        <w:t xml:space="preserve"> that any notice or communication actually received outside of normal business hours shall be deemed to have been given as of the opening of business on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(I) 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(J) 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 Section 7.01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 Section 2.05(j)) in an aggregate amount necessary to eliminate such excess.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100% of the amount of such Net Proceeds; </w:t>
      </w:r>
      <w:r>
        <w:rPr>
          <w:rFonts w:ascii="Times New Roman" w:hAnsi="Times New Roman"/>
          <w:sz w:val="20"/>
          <w:u w:val="single"/>
        </w:rPr>
        <w:t>provided</w:t>
      </w:r>
      <w:r>
        <w:rPr>
          <w:rFonts w:ascii="Times New Roman" w:hAnsi="Times New Roman"/>
          <w:sz w:val="20"/>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may use a portion of such Net Proceeds to prepay or repurchase any other Indebtedness that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(d) Following the end of each fiscal year of the Borrower, commencing with the fiscal year ending December 31, 2020, the Borrower shall prepay Term Borrowings in an aggregate amount equal to the ECF Percentage of Excess Cash Flow for such fiscal year; </w:t>
      </w:r>
      <w:r>
        <w:rPr>
          <w:rFonts w:ascii="Times New Roman" w:hAnsi="Times New Roman"/>
          <w:sz w:val="20"/>
          <w:u w:val="single"/>
        </w:rPr>
        <w:t>provided</w:t>
      </w:r>
      <w:r>
        <w:rPr>
          <w:rFonts w:ascii="Times New Roman" w:hAnsi="Times New Roman"/>
          <w:sz w:val="20"/>
        </w:rPr>
        <w:t xml:space="preserve"> that such amount shall, at the option of the Borrower, be reduced on a dollar-for-dollar basis for such fiscal year by: </w:t>
      </w:r>
    </w:p>
    <w:p>
      <w:pPr>
        <w:pStyle w:val="TextBody"/>
        <w:bidi w:val="0"/>
        <w:spacing w:before="120" w:after="0"/>
        <w:jc w:val="left"/>
        <w:rPr>
          <w:rFonts w:ascii="Times New Roman" w:hAnsi="Times New Roman"/>
          <w:sz w:val="20"/>
        </w:rPr>
      </w:pPr>
      <w:r>
        <w:rPr>
          <w:rFonts w:ascii="Times New Roman" w:hAnsi="Times New Roman"/>
          <w:sz w:val="20"/>
        </w:rPr>
        <w:t>(i) 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Times New Roman" w:hAnsi="Times New Roman"/>
          <w:sz w:val="20"/>
          <w:u w:val="single"/>
        </w:rPr>
        <w:t>provided</w:t>
      </w:r>
      <w:r>
        <w:rPr>
          <w:rFonts w:ascii="Times New Roman" w:hAnsi="Times New Roman"/>
          <w:sz w:val="20"/>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 </w:t>
      </w:r>
    </w:p>
    <w:p>
      <w:pPr>
        <w:pStyle w:val="TextBody"/>
        <w:bidi w:val="0"/>
        <w:spacing w:before="120" w:after="0"/>
        <w:jc w:val="left"/>
        <w:rPr>
          <w:rFonts w:ascii="Times New Roman" w:hAnsi="Times New Roman"/>
          <w:sz w:val="20"/>
        </w:rPr>
      </w:pPr>
      <w:r>
        <w:rPr>
          <w:rFonts w:ascii="Times New Roman" w:hAnsi="Times New Roman"/>
          <w:sz w:val="20"/>
        </w:rPr>
        <w:t xml:space="preserve">(ii) 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(iii) 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 </w:t>
      </w:r>
    </w:p>
    <w:p>
      <w:pPr>
        <w:pStyle w:val="TextBody"/>
        <w:bidi w:val="0"/>
        <w:spacing w:before="120" w:after="0"/>
        <w:jc w:val="left"/>
        <w:rPr>
          <w:rFonts w:ascii="Times New Roman" w:hAnsi="Times New Roman"/>
          <w:sz w:val="20"/>
        </w:rPr>
      </w:pPr>
      <w:r>
        <w:rPr>
          <w:rFonts w:ascii="Times New Roman" w:hAnsi="Times New Roman"/>
          <w:sz w:val="20"/>
        </w:rPr>
        <w:t>(v) 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Times New Roman" w:hAnsi="Times New Roman"/>
          <w:sz w:val="20"/>
          <w:u w:val="single"/>
        </w:rPr>
        <w:t>Contract Consideration</w:t>
      </w:r>
      <w:r>
        <w:rPr>
          <w:rFonts w:ascii="Times New Roman" w:hAnsi="Times New Roman"/>
          <w:sz w:val="20"/>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Times New Roman" w:hAnsi="Times New Roman"/>
          <w:sz w:val="20"/>
          <w:u w:val="single"/>
        </w:rPr>
        <w:t>Planned Expenditures</w:t>
      </w:r>
      <w:r>
        <w:rPr>
          <w:rFonts w:ascii="Times New Roman" w:hAnsi="Times New Roman"/>
          <w:sz w:val="20"/>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Times New Roman" w:hAnsi="Times New Roman"/>
          <w:sz w:val="20"/>
          <w:u w:val="single"/>
        </w:rPr>
        <w:t>provided</w:t>
      </w:r>
      <w:r>
        <w:rPr>
          <w:rFonts w:ascii="Times New Roman" w:hAnsi="Times New Roman"/>
          <w:sz w:val="20"/>
        </w:rPr>
        <w:t xml:space="preserve">,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(e) 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Times New Roman" w:hAnsi="Times New Roman"/>
          <w:sz w:val="20"/>
          <w:u w:val="single"/>
        </w:rPr>
        <w:t>provided</w:t>
      </w:r>
      <w:r>
        <w:rPr>
          <w:rFonts w:ascii="Times New Roman" w:hAnsi="Times New Roman"/>
          <w:sz w:val="20"/>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subject to any requirement to repay Second Lien Notes under the Second Lien Debt Documents, be retained by the Borrower (such amounts, </w:t>
      </w:r>
      <w:r>
        <w:rPr>
          <w:rFonts w:ascii="Times New Roman" w:hAnsi="Times New Roman"/>
          <w:sz w:val="20"/>
          <w:u w:val="single"/>
        </w:rPr>
        <w:t>Retained Declined Proceeds</w:t>
      </w:r>
      <w:r>
        <w:rPr>
          <w:rFonts w:ascii="Times New Roman" w:hAnsi="Times New Roman"/>
          <w:sz w:val="20"/>
        </w:rPr>
        <w:t xml:space="preserve">). An amount equal to any portion of a mandatory prepayment of Term Borrowings that is declined by the Lenders under this Section 2.11(e) may, to the extent not prohibited hereunder or under the documentation governing the Permitted Second Priority Refinancing Debt or First Lien Pari Passu Intercreditor Agreement (if applicable), be applied by the Borrower to prepay the Second Lien Facilities (and Permitted Refinancings thereof) pursuant to the Second Lien Debt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Times New Roman" w:hAnsi="Times New Roman"/>
          <w:sz w:val="20"/>
          <w:u w:val="single"/>
        </w:rPr>
        <w:t>provided</w:t>
      </w:r>
      <w:r>
        <w:rPr>
          <w:rFonts w:ascii="Times New Roman" w:hAnsi="Times New Roman"/>
          <w:sz w:val="20"/>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Term Benchmark Loans.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Term Benchmark Borrowing or RFR Borrowing denominated in Dollars or Canadian Dollars, not later than 11:00 a.m., New York City time, three (3) Business Days before the date of prepayment (or, in the sole discretion of the First Lien Administrative Agent, one (1) Business Day), (ii) in the case of prepayment of an ABR Borrowing, not later than 11:00 a.m., New York City time, one (1) Business Day before the date of prepayment, (iii) in the case of prepayment of a SONIA Borrowing, not later than 11:00 a.m., London, England time, five (5) Business Days before the date of prepayment (or, in the sole discretion of the First Lien Administrative Agent, one (1) Business Day) or (iv) in the case of a prepayment of Term Benchmark Borrowing denominated in Euro, not later than 12:00 p.m., New York City time, three (3) Business Days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hAnsi="Times New Roman"/>
          <w:sz w:val="20"/>
          <w:u w:val="single"/>
        </w:rPr>
        <w:t>provided</w:t>
      </w:r>
      <w:r>
        <w:rPr>
          <w:rFonts w:ascii="Times New Roman" w:hAnsi="Times New Roman"/>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 </w:t>
      </w:r>
    </w:p>
    <w:p>
      <w:pPr>
        <w:pStyle w:val="TextBody"/>
        <w:bidi w:val="0"/>
        <w:spacing w:before="120" w:after="0"/>
        <w:jc w:val="left"/>
        <w:rPr>
          <w:rFonts w:ascii="Times New Roman" w:hAnsi="Times New Roman"/>
          <w:sz w:val="20"/>
        </w:rPr>
      </w:pPr>
      <w:r>
        <w:rPr>
          <w:rFonts w:ascii="Times New Roman" w:hAnsi="Times New Roman"/>
          <w:sz w:val="20"/>
        </w:rPr>
        <w:t>(g) 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Times New Roman" w:hAnsi="Times New Roman"/>
          <w:sz w:val="20"/>
          <w:u w:val="single"/>
        </w:rPr>
        <w:t>Restricted Prepayment Event</w:t>
      </w:r>
      <w:r>
        <w:rPr>
          <w:rFonts w:ascii="Times New Roman" w:hAnsi="Times New Roman"/>
          <w:sz w:val="20"/>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Times New Roman" w:hAnsi="Times New Roman"/>
          <w:sz w:val="20"/>
          <w:u w:val="single"/>
        </w:rPr>
        <w:t>provided</w:t>
      </w:r>
      <w:r>
        <w:rPr>
          <w:rFonts w:ascii="Times New Roman" w:hAnsi="Times New Roman"/>
          <w:sz w:val="20"/>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Term Benchmark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agrees to pay to the First Lien Administrative Agent, for its own account, fees payable in the amounts and at the times separately agreed upon between the Borrower and the First Lien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foregoing, and subject to Section 2.22, the Borrower shall not be obligated to pay any amounts to any Defaulting Lender pursuant to this Section 2.12.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Term Loans comprising each ABR Borrowing shall bear interest at the rate set forth in clause (b)(i) of the definition of Applicable Rate. The Revolving Loans comprising each ABR Borrowing (including each Swingline Loan) denominated in Dollars or Canadian Dollars shall bear interest at the rate set forth in clause (d)(i) and (e)(i) of the definition of Applicable Rate,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(i) The Term Loans comprising each Term Benchmark Borrowing shall bear interest at the rate set forth in clause (b)(ii) of the definition of Applicable Rate, (ii) the Revolving Loans comprising each Term Benchmark Borrowing denominated in (a) Dollars, shall bear interest at the rate set forth in clause (e)(ii) of the definition of Applicable Rate, (b) Euros shall bear interest at the rate set forth in clause (c) of the definition of Applicable Rate and (c) Canadian Dollars shall bear interest at the rate set forth in clause (d)(ii) of the definition of Applicable Rate, (iii) the Revolving Loans comprising each SONIA Borrowing shall bear interest at the rate set forth in clause (a) of the definition of Applicable Rate, (iv) the Term Loans comprising each RFR Borrowing denominated in Dollars shall bear interest at the rate set forth in clause (b)(iii) of the definition of Applicable Rate and (v) the Revolving Loans comprising each RFR Borrowing denominated in Dollars shall bear interest at the rate set forth in clause (e)(iii) of the definition of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Times New Roman" w:hAnsi="Times New Roman"/>
          <w:sz w:val="20"/>
          <w:u w:val="single"/>
        </w:rPr>
        <w:t>provided</w:t>
      </w:r>
      <w:r>
        <w:rPr>
          <w:rFonts w:ascii="Times New Roman" w:hAnsi="Times New Roman"/>
          <w:sz w:val="20"/>
        </w:rPr>
        <w:t xml:space="preserve"> that no amount shall be payable pursuant to this Section 2.13(c) to a Defaulting Lender so long as such Lender shall be a Defaulting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amounts shall accrue pursuant to this Section 2.13(c) on any overdue amount, reimbursement obligation in respect of any LC Disbursement or other amount payable to a Defaulting Lender so long as such Lender shall be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(d) Accrued interest on each Loan shall be payable in arrears on each Interest Payment Date for such Loan and, in the case of Revolving Loans, upon termination of the Revolving Commitments, </w:t>
      </w:r>
      <w:r>
        <w:rPr>
          <w:rFonts w:ascii="Times New Roman" w:hAnsi="Times New Roman"/>
          <w:sz w:val="20"/>
          <w:u w:val="single"/>
        </w:rPr>
        <w:t>provided</w:t>
      </w:r>
      <w:r>
        <w:rPr>
          <w:rFonts w:ascii="Times New Roman" w:hAnsi="Times New Roman"/>
          <w:sz w:val="20"/>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(e) All interest hereunder shall be computed on the basis of a year of 360 days, except that interest computed by reference to the Alternate Base Rate, the Canadian Base Rate, </w:t>
      </w:r>
      <w:r>
        <w:rPr>
          <w:rFonts w:ascii="Times New Roman" w:hAnsi="Times New Roman"/>
          <w:strike/>
          <w:color w:val="FF0000"/>
          <w:sz w:val="20"/>
        </w:rPr>
        <w:t>the BA Rate</w:t>
      </w:r>
      <w:r>
        <w:rPr>
          <w:rFonts w:ascii="Times New Roman" w:hAnsi="Times New Roman"/>
          <w:color w:val="0000FF"/>
          <w:sz w:val="20"/>
          <w:u w:val="single"/>
          <w:bdr w:val="double" w:sz="2" w:space="1" w:color="000000"/>
        </w:rPr>
        <w:t>Term CORRA</w:t>
      </w:r>
      <w:r>
        <w:rPr>
          <w:rFonts w:ascii="Times New Roman" w:hAnsi="Times New Roman"/>
          <w:sz w:val="20"/>
        </w:rPr>
        <w:t xml:space="preserve">,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Adjusted EURIBOR, Adjusted Daily Simple SONIA, Adjusted Term SOFR Rate or Adjusted Daily Simple SOFR and shall be determined by the First Lien Administrative Agent, and such determination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Alternate Rate of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clauses (b), (c), (d), (e), (f) and (g) of this Section 2.14, if: </w:t>
      </w:r>
    </w:p>
    <w:p>
      <w:pPr>
        <w:pStyle w:val="TextBody"/>
        <w:bidi w:val="0"/>
        <w:spacing w:before="120" w:after="0"/>
        <w:jc w:val="left"/>
        <w:rPr>
          <w:rFonts w:ascii="Times New Roman" w:hAnsi="Times New Roman"/>
          <w:sz w:val="20"/>
        </w:rPr>
      </w:pPr>
      <w:r>
        <w:rPr>
          <w:rFonts w:ascii="Times New Roman" w:hAnsi="Times New Roman"/>
          <w:sz w:val="20"/>
        </w:rPr>
        <w:t xml:space="preserve">(i) the First Lien Administrative Agent determines (which determination shall be conclusive absent manifest error) (A) at least two (2) Business Days prior to the commencement of any Interest Period for a Term Benchmark Borrowing that adequate and reasonable means do not exist for ascertaining the Adjusted Term SOFR Rate (including because the Term SOFR Reference Rate is not available or published on a current basis),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or Adjusted EURIBOR, as applicable, for such Interest Period or (B) at any time, that adequate and reasonable means do not exist for ascertaining the applicable Daily Simple RFR; or </w:t>
      </w:r>
    </w:p>
    <w:p>
      <w:pPr>
        <w:pStyle w:val="TextBody"/>
        <w:bidi w:val="0"/>
        <w:spacing w:before="120" w:after="0"/>
        <w:jc w:val="left"/>
        <w:rPr>
          <w:rFonts w:ascii="Times New Roman" w:hAnsi="Times New Roman"/>
          <w:sz w:val="20"/>
        </w:rPr>
      </w:pPr>
      <w:r>
        <w:rPr>
          <w:rFonts w:ascii="Times New Roman" w:hAnsi="Times New Roman"/>
          <w:sz w:val="20"/>
        </w:rPr>
        <w:t xml:space="preserve">(ii) the First Lien Administrative Agent is advised by the Required Lenders that (A) prior to the commencement of any Interest Period for a Term Benchmark Borrowing, the Adjusted Term SOFR Rate,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Times New Roman" w:hAnsi="Times New Roman"/>
          <w:sz w:val="20"/>
          <w:u w:val="single"/>
        </w:rPr>
        <w:t>Impacted Loans</w:t>
      </w:r>
      <w:r>
        <w:rPr>
          <w:rFonts w:ascii="Times New Roman" w:hAnsi="Times New Roman"/>
          <w:sz w:val="20"/>
        </w:rPr>
        <w:t xml:space="preserve">) or (B) at any time, the applicable Daily Simple RFR will not adequately and fairly reflect the cost to such Lenders (or Lender) of making or maintaining their Loans (or its Loan) included in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Term Benchmark Borrowing shall be ineffective, (y) if any Borrowing Request requests a Term Benchmark Borrowing in Canadian Dollars, then such Borrowing shall be made as an ABR Borrowing and (z) if any Borrowing Request requests a Term Benchmark Borrowing in Dollars, then such Borrowing shall be made as (1) an RFR Borrowing denominated in Dollars so long as the Adjusted Daily Simple SOFR is not also the subject of Section 2.14(a)(i) or (ii) above or (y) an ABR Borrowing if the Adjusted Daily Simple SOFR also is the subject of Section 2.14(a)(i) or (ii) above, (ii) in the event any Loans denominated in Euro are so affected, the relevant interest rate shall be determined in accordance with clause (ii) of the definition of EURIBOR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 2.14(a) with respect to a SONIA Loan, then until (x) the First Lien Administrative Agent notifies the Borrower and the Lenders that the circumstances giving rise to such notice no longer exist with respect to Adjusted Daily Simple SONIA and (y) 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the Borrower may revoke any Borrowing Request that is pending when such notice is received.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or in any other First Lien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(2) of the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The First Lien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herein or in any other First Lien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(f) Upon the Borrowers receipt of notice of the commencement of a Benchmark Unavailability Period, the Borrower may revoke any request for a Borrowing of, conversion to or continuation of affected Loans to be made, converted or continued during any Benchmark Unavailability Period and, failing that, either (x) (i) the Borrower will be deemed to have converted any request for a Term Benchmark Term Borrowing or Term Benchmark Revolving Borrowing denominated in Canadian Dollars into a request for a Borrowing of or conversion to ABR Loans and (ii) the Borrower will be deemed to have converted any request for a Term Benchmark Revolving Borrowing denominated in Dollars into a request for a Borrowing of or conversion to (1) a RFR Borrowing denominated in Dollars so long as the Adjusted Daily Simple SOFR is not also the subject of Section 2.14(a)(i) or (ii) above or (y) an ABR Borrowing if the Adjusted Daily Simple SOFR also is the subject of Section 2.14(a)(i) or (ii) above or (y) any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Loan in Dollars or any Alternative Currency is outstanding on the date of the Borrowers receipt of notice of the commencement of a Benchmark Unavailability Period with respect to a Relevant Rate applicable to such Loan, then (i) if such Loan is a Term Loan denominated in Dollars or a Revolving Loan denominated in Canadian Dollars,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(ii) if such Loan is a Revolving Loan denominated in Dollars, then on the last day of the Interest Period applicable to such Loan (or the next succeeding Business Day if such day is not a Business Day), such Loan shall be converted by the First Lien Administrative Agent to, and shall constitute (1) a RFR Borrowing denominated in Dollars so long as the Adjusted Daily Simple SOFR is not also the subject of Section 2.14(a)(i) or (ii) above or (y) an ABR Borrowing if the Adjusted Daily Simple SOFR also is the subject of Section 2.14(a)(i) or (ii) above or (iii) if such Loan is denominated in any Agreed Currency (other than Dollars or Canadian Dollars), then such Loan shall, on the last day of the Interest Period applicable to such Loan (or the next succeeding Business Day if such day is not a Business Day) or, in the case of a SONIA Loan, on the next succeeding Business Day, at the Borrowers election prior to such day: (A) be prepaid by the Borrower on such day or (B) be converted by the First Lien Administrative 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Loan into an ABR 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Loan denominated in such original currency (in an amount equal to the Alternative Currency Equivalent of such Agreed Currency) on the day of such implementation, giving effect to such Benchmark Replacement in respect of such Agreed Currency.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by, any Lender or any Issuing Bank (except any such reserve requirement reflected in any Term Benchmark Rate,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any Issuing Bank or any applicable interbank market any other condition, cost or expense (other than Taxes) affecting this Agreement or Term Benchmark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(d) Failure or delay on the part of any Lender or Issuing Bank to demand compensation pursuant to this Section 2.15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hAnsi="Times New Roman"/>
          <w:sz w:val="20"/>
          <w:u w:val="single"/>
        </w:rPr>
        <w:t>provided 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the payment of any principal of any Term Benchmark Loan other than on the last day of an Interest Period applicable thereto or of any SONIA Loan other than on an Interest Payment Date therefor (including as a result of an Event of Default), (b) the conversion of any Term Benchmark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Term Benchmark Loan other than on the last day of the Interest Period applicable thereto, or of any SONIA Loan other than on an Interest Payment Date 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with respect to any Term Benchmark Loan, each Lender shall be deemed to have funded each Term Benchmark Loan made by it at the Term Benchmark Rate for such Loan by a matching deposit or other borrowing in the applicable interbank eurodollar market or Canadian money market, as applicable, for a comparable amount and for a comparable period, whether or not such Term Benchmark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 </w:t>
      </w:r>
    </w:p>
    <w:p>
      <w:pPr>
        <w:pStyle w:val="TextBody"/>
        <w:bidi w:val="0"/>
        <w:spacing w:before="120" w:after="0"/>
        <w:jc w:val="left"/>
        <w:rPr>
          <w:rFonts w:ascii="Times New Roman" w:hAnsi="Times New Roman"/>
          <w:sz w:val="20"/>
        </w:rPr>
      </w:pPr>
      <w:r>
        <w:rPr>
          <w:rFonts w:ascii="Times New Roman" w:hAnsi="Times New Roman"/>
          <w:sz w:val="20"/>
        </w:rPr>
        <w:t xml:space="preserve">(e) 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 </w:t>
      </w:r>
    </w:p>
    <w:p>
      <w:pPr>
        <w:pStyle w:val="TextBody"/>
        <w:bidi w:val="0"/>
        <w:spacing w:before="120" w:after="0"/>
        <w:jc w:val="left"/>
        <w:rPr>
          <w:rFonts w:ascii="Times New Roman" w:hAnsi="Times New Roman"/>
          <w:sz w:val="20"/>
        </w:rPr>
      </w:pPr>
      <w:r>
        <w:rPr>
          <w:rFonts w:ascii="Times New Roman" w:hAnsi="Times New Roman"/>
          <w:sz w:val="20"/>
        </w:rPr>
        <w:t xml:space="preserve">(2)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(ii) 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(A) two properly completed and duly signed copies of Internal Revenue Service Form W-8BEN-E (or any successor forms) claiming eligibility for benefits of an income Tax treaty to which the United States of America is a party, </w:t>
      </w:r>
    </w:p>
    <w:p>
      <w:pPr>
        <w:pStyle w:val="TextBody"/>
        <w:bidi w:val="0"/>
        <w:spacing w:before="120" w:after="0"/>
        <w:jc w:val="left"/>
        <w:rPr>
          <w:rFonts w:ascii="Times New Roman" w:hAnsi="Times New Roman"/>
          <w:sz w:val="20"/>
        </w:rPr>
      </w:pPr>
      <w:r>
        <w:rPr>
          <w:rFonts w:ascii="Times New Roman" w:hAnsi="Times New Roman"/>
          <w:sz w:val="20"/>
        </w:rPr>
        <w:t xml:space="preserve">(B) two properly completed and duly signed copies of Internal Revenue Service Form W-8ECI (or any successor forms), </w:t>
      </w:r>
    </w:p>
    <w:p>
      <w:pPr>
        <w:pStyle w:val="TextBody"/>
        <w:bidi w:val="0"/>
        <w:spacing w:before="120" w:after="0"/>
        <w:jc w:val="left"/>
        <w:rPr>
          <w:rFonts w:ascii="Times New Roman" w:hAnsi="Times New Roman"/>
          <w:sz w:val="20"/>
        </w:rPr>
      </w:pPr>
      <w:r>
        <w:rPr>
          <w:rFonts w:ascii="Times New Roman" w:hAnsi="Times New Roman"/>
          <w:sz w:val="20"/>
        </w:rPr>
        <w:t>(C) 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Times New Roman" w:hAnsi="Times New Roman"/>
          <w:sz w:val="20"/>
          <w:u w:val="single"/>
        </w:rPr>
        <w:t>United States Tax Compliance Certificate</w:t>
      </w:r>
      <w:r>
        <w:rPr>
          <w:rFonts w:ascii="Times New Roman" w:hAnsi="Times New Roman"/>
          <w:sz w:val="20"/>
        </w:rPr>
        <w:t xml:space="preserve">), and (y) two properly completed and duly signed copies of Internal Revenue Service Form W-8BEN-E (or any successor forms), </w:t>
      </w:r>
    </w:p>
    <w:p>
      <w:pPr>
        <w:pStyle w:val="TextBody"/>
        <w:bidi w:val="0"/>
        <w:spacing w:before="120" w:after="0"/>
        <w:jc w:val="left"/>
        <w:rPr>
          <w:rFonts w:ascii="Times New Roman" w:hAnsi="Times New Roman"/>
          <w:sz w:val="20"/>
        </w:rPr>
      </w:pPr>
      <w:r>
        <w:rPr>
          <w:rFonts w:ascii="Times New Roman" w:hAnsi="Times New Roman"/>
          <w:sz w:val="20"/>
        </w:rPr>
        <w:t>(D) 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Times New Roman" w:hAnsi="Times New Roman"/>
          <w:sz w:val="20"/>
          <w:u w:val="single"/>
        </w:rPr>
        <w:t>provided</w:t>
      </w:r>
      <w:r>
        <w:rPr>
          <w:rFonts w:ascii="Times New Roman" w:hAnsi="Times New Roman"/>
          <w:sz w:val="20"/>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(iii) 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any other provision of this clause (f), a Lender shall not be required to deliver any form or certification that such Lender is not legally eligible to deliver. </w:t>
      </w:r>
    </w:p>
    <w:p>
      <w:pPr>
        <w:pStyle w:val="TextBody"/>
        <w:bidi w:val="0"/>
        <w:spacing w:before="120" w:after="0"/>
        <w:jc w:val="left"/>
        <w:rPr>
          <w:rFonts w:ascii="Times New Roman" w:hAnsi="Times New Roman"/>
          <w:sz w:val="20"/>
        </w:rPr>
      </w:pPr>
      <w:r>
        <w:rPr>
          <w:rFonts w:ascii="Times New Roman" w:hAnsi="Times New Roman"/>
          <w:sz w:val="20"/>
        </w:rPr>
        <w:t xml:space="preserve">(4) Each Lender hereby authorizes the First Lien Administrative Agent to deliver to the Loan Parties and to any successor First Lien Administrative Agent any documentation provided by such Lender to the First Lien Administrative Agent pursuant to this Section 2.17(f). </w:t>
      </w:r>
    </w:p>
    <w:p>
      <w:pPr>
        <w:pStyle w:val="TextBody"/>
        <w:bidi w:val="0"/>
        <w:spacing w:before="120" w:after="0"/>
        <w:jc w:val="left"/>
        <w:rPr>
          <w:rFonts w:ascii="Times New Roman" w:hAnsi="Times New Roman"/>
          <w:sz w:val="20"/>
        </w:rPr>
      </w:pPr>
      <w:r>
        <w:rPr>
          <w:rFonts w:ascii="Times New Roman" w:hAnsi="Times New Roman"/>
          <w:sz w:val="20"/>
        </w:rPr>
        <w:t xml:space="preserve">(g) 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Times New Roman" w:hAnsi="Times New Roman"/>
          <w:sz w:val="20"/>
          <w:u w:val="single"/>
        </w:rPr>
        <w:t>provided</w:t>
      </w:r>
      <w:r>
        <w:rPr>
          <w:rFonts w:ascii="Times New Roman" w:hAnsi="Times New Roman"/>
          <w:sz w:val="20"/>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 (c) 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 w:hAnsi="Times New Roman"/>
          <w:sz w:val="20"/>
          <w:u w:val="single"/>
        </w:rPr>
        <w:t>provided</w:t>
      </w:r>
      <w:r>
        <w:rPr>
          <w:rFonts w:ascii="Times New Roman" w:hAnsi="Times New Roman"/>
          <w:sz w:val="20"/>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(h) 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For purposes of this Section 2.17, the term Lender shall include any Issuing Bank and the Swingline Lender and the term applicable Requirements of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12:00 p.m., New York City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w:t>
      </w:r>
    </w:p>
    <w:p>
      <w:pPr>
        <w:pStyle w:val="TextBody"/>
        <w:bidi w:val="0"/>
        <w:spacing w:before="120" w:after="0"/>
        <w:jc w:val="left"/>
        <w:rPr>
          <w:rFonts w:ascii="Times New Roman" w:hAnsi="Times New Roman"/>
          <w:sz w:val="20"/>
        </w:rPr>
      </w:pPr>
      <w:r>
        <w:rPr>
          <w:rFonts w:ascii="Times New Roman" w:hAnsi="Times New Roman"/>
          <w:sz w:val="20"/>
        </w:rPr>
        <w:t>(b) If at any time insufficient funds are received by and available to the First Lien Administrative Agent to pay fully all amounts of principal, unreimbursed LC Disbursements, interest and fees then due hereunder, such funds shall be applied (i) </w:t>
      </w:r>
      <w:r>
        <w:rPr>
          <w:rFonts w:ascii="Times New Roman" w:hAnsi="Times New Roman"/>
          <w:sz w:val="20"/>
          <w:u w:val="single"/>
        </w:rPr>
        <w:t>first</w:t>
      </w:r>
      <w:r>
        <w:rPr>
          <w:rFonts w:ascii="Times New Roman" w:hAnsi="Times New Roman"/>
          <w:sz w:val="20"/>
        </w:rPr>
        <w:t>, towards payment of interest and fees then due hereunder, ratably among the parties entitled thereto in accordance with the amounts of interest and fees then due to such parties, and (ii) </w:t>
      </w:r>
      <w:r>
        <w:rPr>
          <w:rFonts w:ascii="Times New Roman" w:hAnsi="Times New Roman"/>
          <w:sz w:val="20"/>
          <w:u w:val="single"/>
        </w:rPr>
        <w:t>second</w:t>
      </w:r>
      <w:r>
        <w:rPr>
          <w:rFonts w:ascii="Times New Roman" w:hAnsi="Times New Roman"/>
          <w:sz w:val="20"/>
        </w:rPr>
        <w:t xml:space="preserve">, towards payment of principal and unreimbursed LC Disbursements then due hereunder, ratably among the parties entitled thereto in accordance with the amounts of principal and unreimbursed LC Disbursements then due to such parties. </w:t>
      </w:r>
    </w:p>
    <w:p>
      <w:pPr>
        <w:pStyle w:val="TextBody"/>
        <w:bidi w:val="0"/>
        <w:spacing w:before="120" w:after="0"/>
        <w:jc w:val="left"/>
        <w:rPr>
          <w:rFonts w:ascii="Times New Roman" w:hAnsi="Times New Roman"/>
          <w:sz w:val="20"/>
        </w:rPr>
      </w:pPr>
      <w:r>
        <w:rPr>
          <w:rFonts w:ascii="Times New Roman" w:hAnsi="Times New Roman"/>
          <w:sz w:val="20"/>
        </w:rPr>
        <w:t xml:space="preserve">(c) 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 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w:t>
      </w:r>
      <w:r>
        <w:rPr>
          <w:rFonts w:ascii="Times New Roman" w:hAnsi="Times New Roman"/>
          <w:strike/>
          <w:color w:val="FF0000"/>
          <w:sz w:val="20"/>
        </w:rPr>
        <w:t>the BA Rate</w:t>
      </w:r>
      <w:r>
        <w:rPr>
          <w:rFonts w:ascii="Times New Roman" w:hAnsi="Times New Roman"/>
          <w:color w:val="0000FF"/>
          <w:sz w:val="20"/>
          <w:u w:val="single"/>
          <w:bdr w:val="double" w:sz="2" w:space="1" w:color="000000"/>
        </w:rPr>
        <w:t>Term CORRA</w:t>
      </w:r>
      <w:r>
        <w:rPr>
          <w:rFonts w:ascii="Times New Roman" w:hAnsi="Times New Roman"/>
          <w:sz w:val="20"/>
        </w:rPr>
        <w:t xml:space="preserve"> (if denominated in Canadian Dollars) and a rate determined by the First Lien Administrative Agent in accordance with banking industry rules on interbank compensation. </w:t>
      </w:r>
    </w:p>
    <w:p>
      <w:pPr>
        <w:pStyle w:val="TextBody"/>
        <w:bidi w:val="0"/>
        <w:spacing w:before="120" w:after="0"/>
        <w:jc w:val="left"/>
        <w:rPr>
          <w:rFonts w:ascii="Times New Roman" w:hAnsi="Times New Roman"/>
          <w:sz w:val="20"/>
        </w:rPr>
      </w:pPr>
      <w:r>
        <w:rPr>
          <w:rFonts w:ascii="Times New Roman" w:hAnsi="Times New Roman"/>
          <w:sz w:val="20"/>
        </w:rPr>
        <w:t xml:space="preserve">(e) 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 </w:t>
      </w:r>
    </w:p>
    <w:p>
      <w:pPr>
        <w:pStyle w:val="TextBody"/>
        <w:bidi w:val="0"/>
        <w:spacing w:before="12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(b) 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Times New Roman" w:hAnsi="Times New Roman"/>
          <w:sz w:val="20"/>
          <w:u w:val="single"/>
        </w:rPr>
        <w:t>provided</w:t>
      </w:r>
      <w:r>
        <w:rPr>
          <w:rFonts w:ascii="Times New Roman" w:hAnsi="Times New Roman"/>
          <w:sz w:val="20"/>
        </w:rPr>
        <w:t xml:space="preserve"> that (A) the Borrower shall have received the prior written consent of the First Lien Administrative Agent to the extent such consent would be required under Section 9.04(b) for an assignment of Loans or Commitments, as applicable (and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Incremental Credit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Borrower may at any time or from time to time on one or more occasions after the Effective Date, by written notice delivered to the First Lien Administrative Agent, request (i) one or more additional Classes of term loans (each a </w:t>
      </w:r>
      <w:r>
        <w:rPr>
          <w:rFonts w:ascii="Times New Roman" w:hAnsi="Times New Roman"/>
          <w:sz w:val="20"/>
          <w:u w:val="single"/>
        </w:rPr>
        <w:t>First Lien Incremental Term Facility</w:t>
      </w:r>
      <w:r>
        <w:rPr>
          <w:rFonts w:ascii="Times New Roman" w:hAnsi="Times New Roman"/>
          <w:sz w:val="20"/>
        </w:rPr>
        <w:t>), (ii) one or more additional term loans of the same Class of any existing Class of term loans (each an </w:t>
      </w:r>
      <w:r>
        <w:rPr>
          <w:rFonts w:ascii="Times New Roman" w:hAnsi="Times New Roman"/>
          <w:sz w:val="20"/>
          <w:u w:val="single"/>
        </w:rPr>
        <w:t>First Lien Incremental Term Increase</w:t>
      </w:r>
      <w:r>
        <w:rPr>
          <w:rFonts w:ascii="Times New Roman" w:hAnsi="Times New Roman"/>
          <w:sz w:val="20"/>
        </w:rPr>
        <w:t>), (iii) one or more increases in the amount of the Revolving Commitments of any Class (each such increase, an </w:t>
      </w:r>
      <w:r>
        <w:rPr>
          <w:rFonts w:ascii="Times New Roman" w:hAnsi="Times New Roman"/>
          <w:sz w:val="20"/>
          <w:u w:val="single"/>
        </w:rPr>
        <w:t>Incremental Revolving Commitment Increase</w:t>
      </w:r>
      <w:r>
        <w:rPr>
          <w:rFonts w:ascii="Times New Roman" w:hAnsi="Times New Roman"/>
          <w:sz w:val="20"/>
        </w:rPr>
        <w:t>) and/or (iv) one or more additional Classes of Revolving Commitments (the </w:t>
      </w:r>
      <w:r>
        <w:rPr>
          <w:rFonts w:ascii="Times New Roman" w:hAnsi="Times New Roman"/>
          <w:sz w:val="20"/>
          <w:u w:val="single"/>
        </w:rPr>
        <w:t>Additional/Replacement Revolving Commitments</w:t>
      </w:r>
      <w:r>
        <w:rPr>
          <w:rFonts w:ascii="Times New Roman" w:hAnsi="Times New Roman"/>
          <w:sz w:val="20"/>
        </w:rPr>
        <w:t>, and, together with any First Lien Incremental Term Facility, First Lien Incremental Term Increase and the Incremental Revolving Commitment Increases, the </w:t>
      </w:r>
      <w:r>
        <w:rPr>
          <w:rFonts w:ascii="Times New Roman" w:hAnsi="Times New Roman"/>
          <w:sz w:val="20"/>
          <w:u w:val="single"/>
        </w:rPr>
        <w:t>First Lien Incremental Facilities</w:t>
      </w:r>
      <w:r>
        <w:rPr>
          <w:rFonts w:ascii="Times New Roman" w:hAnsi="Times New Roman"/>
          <w:sz w:val="20"/>
        </w:rPr>
        <w:t> and any Loans thereunder, the </w:t>
      </w:r>
      <w:r>
        <w:rPr>
          <w:rFonts w:ascii="Times New Roman" w:hAnsi="Times New Roman"/>
          <w:sz w:val="20"/>
          <w:u w:val="single"/>
        </w:rPr>
        <w:t>Incremental Loans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Times New Roman" w:hAnsi="Times New Roman"/>
          <w:sz w:val="20"/>
          <w:u w:val="single"/>
        </w:rPr>
        <w:t>provided</w:t>
      </w:r>
      <w:r>
        <w:rPr>
          <w:rFonts w:ascii="Times New Roman" w:hAnsi="Times New Roman"/>
          <w:sz w:val="20"/>
        </w:rPr>
        <w:t xml:space="preserve"> that such amount may be less than $5,000,000 and to the extent such amount represents all the remaining availability under the aggregate principal amount of First Lien Incremental Facilities set forth above. </w:t>
      </w:r>
    </w:p>
    <w:p>
      <w:pPr>
        <w:pStyle w:val="TextBody"/>
        <w:bidi w:val="0"/>
        <w:spacing w:before="120" w:after="0"/>
        <w:jc w:val="left"/>
        <w:rPr>
          <w:rFonts w:ascii="Times New Roman" w:hAnsi="Times New Roman"/>
          <w:sz w:val="20"/>
        </w:rPr>
      </w:pPr>
      <w:r>
        <w:rPr>
          <w:rFonts w:ascii="Times New Roman" w:hAnsi="Times New Roman"/>
          <w:sz w:val="20"/>
        </w:rPr>
        <w:t xml:space="preserve">(b) (i)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w:t>
      </w:r>
      <w:r>
        <w:rPr>
          <w:rFonts w:ascii="Times New Roman" w:hAnsi="Times New Roman"/>
          <w:sz w:val="20"/>
          <w:u w:val="single"/>
        </w:rPr>
        <w:t>provided</w:t>
      </w:r>
      <w:r>
        <w:rPr>
          <w:rFonts w:ascii="Times New Roman" w:hAnsi="Times New Roman"/>
          <w:sz w:val="20"/>
        </w:rPr>
        <w:t xml:space="preserve"> that, for any First Lien Incremental Term Facility incurred that (x) ranks equal in right of payment with the Refinancing Amendment No. 1 Term Loans and is secured by the Collateral on a </w:t>
      </w:r>
      <w:r>
        <w:rPr>
          <w:rFonts w:ascii="Times New Roman" w:hAnsi="Times New Roman"/>
          <w:sz w:val="20"/>
          <w:u w:val="single"/>
        </w:rPr>
        <w:t>pari passu</w:t>
      </w:r>
      <w:r>
        <w:rPr>
          <w:rFonts w:ascii="Times New Roman" w:hAnsi="Times New Roman"/>
          <w:sz w:val="20"/>
        </w:rPr>
        <w:t xml:space="preserve"> basis with the Secured Obligations and (y) is denominated in U.S. Dollars, in the event that the Effective Yield for any such First Lien Incremental Term Facility is greater than the Effective Yield for the Refinancing Amendment No. 1 Term Loans by more than 0.50% per annum, then the Effective Yield for the Refinancing Amendment No. 1 Term Loans shall be increased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extent necessary so that the Effective Yield for the Refinancing Amendment No. 1 Term Loans is equal to the Effective Yield for such First Lien Incremental Term Facility minus 0.50% per annum (provided that the floor applicable to the outstanding Refinancing Amendment No. 1 Term Loans shall be increased to an amount not to exceed the floor applicable to such First Lien Incremental Term Facility prior to any increase in the Applicable Rate applicable to such Refinancing Amendment No. 1 Term Loans then outstanding); and (e) may otherwise have terms and conditions different from those of the Term Loans (including currency denomination); </w:t>
      </w:r>
      <w:r>
        <w:rPr>
          <w:rFonts w:ascii="Times New Roman" w:hAnsi="Times New Roman"/>
          <w:sz w:val="20"/>
          <w:u w:val="single"/>
        </w:rPr>
        <w:t>provided</w:t>
      </w:r>
      <w:r>
        <w:rPr>
          <w:rFonts w:ascii="Times New Roman" w:hAnsi="Times New Roman"/>
          <w:sz w:val="20"/>
        </w:rPr>
        <w:t xml:space="preserve"> that (x) to the extent the terms and documentation with respect to such First Lien Incremental Term Loans are not consistent with the existing Term Loans (except with respect to matters contemplated by clauses (b), (c) and (d) above), the covenants, events of default and guarantees of any such First Lien Incremental Term Loans shall not be materially more restrictive to the Borrower, when taken as a whole, than the terms of the Term Loans unless (1) Lenders under the Term Loans also receive the benefit of such more restrictive terms (it being understood that, to the extent that any covenant, event of default or guarantee is added or modified for the benefit of any Incremental Term Facility, no consent shall be required from the First Lien Administrative Agent or any of the Term Lenders to the extent that such covenant, event of default or guarantee is also added or modified for the benefit of the existing Term Loans), (2) any such provisions apply after the Term Maturity Date or (3) such terms are reasonably satisfactory to the First Lien Administrative Agent and the Borrower and (y)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First Lien Incremental Term Increase shall be on the same terms and pursuant to the same documentation applicable to the Term Loans (except with respect to matters contemplated by clauses (b), (c) and (d) above). Any Incremental Term Facility shall be on terms and pursuant to documentation as determined by the Borrower and the Additional Term Lenders providing such Incremental Term Facility, subject to the restrictions and exceptions set forth above. </w:t>
      </w:r>
    </w:p>
    <w:p>
      <w:pPr>
        <w:pStyle w:val="TextBody"/>
        <w:bidi w:val="0"/>
        <w:spacing w:before="120" w:after="0"/>
        <w:jc w:val="left"/>
        <w:rPr>
          <w:rFonts w:ascii="Times New Roman" w:hAnsi="Times New Roman"/>
          <w:sz w:val="20"/>
        </w:rPr>
      </w:pPr>
      <w:r>
        <w:rPr>
          <w:rFonts w:ascii="Times New Roman" w:hAnsi="Times New Roman"/>
          <w:sz w:val="20"/>
        </w:rPr>
        <w:t xml:space="preserve">(ii) The First Lien Incremental Term Increases shall be treated the same as the Class of Term Loans being increased (including with respect to maturity date thereof) and shall be considered to be part of the Class of Term Loans being increased (excluding upfront fees and customary arranger fees); </w:t>
      </w:r>
      <w:r>
        <w:rPr>
          <w:rFonts w:ascii="Times New Roman" w:hAnsi="Times New Roman"/>
          <w:sz w:val="20"/>
          <w:u w:val="single"/>
        </w:rPr>
        <w:t>provided</w:t>
      </w:r>
      <w:r>
        <w:rPr>
          <w:rFonts w:ascii="Times New Roman" w:hAnsi="Times New Roman"/>
          <w:sz w:val="20"/>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Times New Roman" w:hAnsi="Times New Roman"/>
          <w:sz w:val="20"/>
          <w:u w:val="single"/>
        </w:rPr>
        <w:t>provided</w:t>
      </w:r>
      <w:r>
        <w:rPr>
          <w:rFonts w:ascii="Times New Roman" w:hAnsi="Times New Roman"/>
          <w:sz w:val="20"/>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(iv) The Additional/Replacement Revolving Commitments (a) shall (i) rank equal or junior in right of payment with the Revolving Loans, (ii) 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Times New Roman" w:hAnsi="Times New Roman"/>
          <w:sz w:val="20"/>
          <w:u w:val="single"/>
        </w:rPr>
        <w:t>provided</w:t>
      </w:r>
      <w:r>
        <w:rPr>
          <w:rFonts w:ascii="Times New Roman" w:hAnsi="Times New Roman"/>
          <w:sz w:val="20"/>
        </w:rPr>
        <w:t xml:space="preserve"> that (x)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 </w:t>
      </w:r>
    </w:p>
    <w:p>
      <w:pPr>
        <w:pStyle w:val="TextBody"/>
        <w:bidi w:val="0"/>
        <w:spacing w:before="120" w:after="0"/>
        <w:jc w:val="left"/>
        <w:rPr>
          <w:rFonts w:ascii="Times New Roman" w:hAnsi="Times New Roman"/>
          <w:sz w:val="20"/>
        </w:rPr>
      </w:pPr>
      <w:r>
        <w:rPr>
          <w:rFonts w:ascii="Times New Roman" w:hAnsi="Times New Roman"/>
          <w:sz w:val="20"/>
        </w:rPr>
        <w:t>(c) First Lien Incremental Facilities shall become Commitments and Loans, as applicable, under this Agreement pursuant to an amendment (an </w:t>
      </w:r>
      <w:r>
        <w:rPr>
          <w:rFonts w:ascii="Times New Roman" w:hAnsi="Times New Roman"/>
          <w:sz w:val="20"/>
          <w:u w:val="single"/>
        </w:rPr>
        <w:t>Incremental Facility Amendment</w:t>
      </w:r>
      <w:r>
        <w:rPr>
          <w:rFonts w:ascii="Times New Roman" w:hAnsi="Times New Roman"/>
          <w:sz w:val="20"/>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hAnsi="Times New Roman"/>
          <w:sz w:val="20"/>
          <w:u w:val="single"/>
        </w:rPr>
        <w:t>provided</w:t>
      </w:r>
      <w:r>
        <w:rPr>
          <w:rFonts w:ascii="Times New Roman" w:hAnsi="Times New Roman"/>
          <w:sz w:val="20"/>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 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this Section 2.20 shall supersede any provisions in Section 2.18 or Section 9.02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Times New Roman" w:hAnsi="Times New Roman"/>
          <w:sz w:val="20"/>
          <w:u w:val="single"/>
        </w:rPr>
        <w:t>provided</w:t>
      </w:r>
      <w:r>
        <w:rPr>
          <w:rFonts w:ascii="Times New Roman" w:hAnsi="Times New Roman"/>
          <w:sz w:val="20"/>
        </w:rPr>
        <w:t xml:space="preserve"> that such Credit Agreement Refinancing Indebtedness (i) will be unsecured or will be secured by the Collateral on a </w:t>
      </w:r>
      <w:r>
        <w:rPr>
          <w:rFonts w:ascii="Times New Roman" w:hAnsi="Times New Roman"/>
          <w:sz w:val="20"/>
          <w:u w:val="single"/>
        </w:rPr>
        <w:t>pari passu</w:t>
      </w:r>
      <w:r>
        <w:rPr>
          <w:rFonts w:ascii="Times New Roman" w:hAnsi="Times New Roman"/>
          <w:sz w:val="20"/>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or reduction of Revolving Commitments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Times New Roman" w:hAnsi="Times New Roman"/>
          <w:sz w:val="20"/>
          <w:u w:val="single"/>
        </w:rPr>
        <w:t>provided</w:t>
      </w:r>
      <w:r>
        <w:rPr>
          <w:rFonts w:ascii="Times New Roman" w:hAnsi="Times New Roman"/>
          <w:sz w:val="20"/>
        </w:rPr>
        <w:t xml:space="preserve"> 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Section 2.21 shall supersede any provisions in Section 2.18 or Section 9.02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Section 9.02.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Times New Roman" w:hAnsi="Times New Roman"/>
          <w:sz w:val="20"/>
          <w:u w:val="single"/>
        </w:rPr>
        <w:t>first</w:t>
      </w:r>
      <w:r>
        <w:rPr>
          <w:rFonts w:ascii="Times New Roman" w:hAnsi="Times New Roman"/>
          <w:sz w:val="20"/>
        </w:rPr>
        <w:t xml:space="preserve">, to the payment of any amounts owing by that Defaulting Lender to the First Lien Administrative Agent hereunder; </w:t>
      </w:r>
      <w:r>
        <w:rPr>
          <w:rFonts w:ascii="Times New Roman" w:hAnsi="Times New Roman"/>
          <w:sz w:val="20"/>
          <w:u w:val="single"/>
        </w:rPr>
        <w:t>second</w:t>
      </w:r>
      <w:r>
        <w:rPr>
          <w:rFonts w:ascii="Times New Roman" w:hAnsi="Times New Roman"/>
          <w:sz w:val="20"/>
        </w:rPr>
        <w:t xml:space="preserve">, in the case of a Revolving Lender, to the payment on a pro rata basis of any amounts owing by that Defaulting Lender to each Issuing Bank and the Swingline Lender hereunder; </w:t>
      </w:r>
      <w:r>
        <w:rPr>
          <w:rFonts w:ascii="Times New Roman" w:hAnsi="Times New Roman"/>
          <w:sz w:val="20"/>
          <w:u w:val="single"/>
        </w:rPr>
        <w:t>third</w:t>
      </w:r>
      <w:r>
        <w:rPr>
          <w:rFonts w:ascii="Times New Roman" w:hAnsi="Times New Roman"/>
          <w:sz w:val="20"/>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Times New Roman" w:hAnsi="Times New Roman"/>
          <w:sz w:val="20"/>
          <w:u w:val="single"/>
        </w:rPr>
        <w:t>fourth</w:t>
      </w:r>
      <w:r>
        <w:rPr>
          <w:rFonts w:ascii="Times New Roman" w:hAnsi="Times New Roman"/>
          <w:sz w:val="20"/>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Times New Roman" w:hAnsi="Times New Roman"/>
          <w:sz w:val="20"/>
          <w:u w:val="single"/>
        </w:rPr>
        <w:t>fifth</w:t>
      </w:r>
      <w:r>
        <w:rPr>
          <w:rFonts w:ascii="Times New Roman" w:hAnsi="Times New Roman"/>
          <w:sz w:val="20"/>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hAnsi="Times New Roman"/>
          <w:sz w:val="20"/>
          <w:u w:val="single"/>
        </w:rPr>
        <w:t>sixth</w:t>
      </w:r>
      <w:r>
        <w:rPr>
          <w:rFonts w:ascii="Times New Roman" w:hAnsi="Times New Roman"/>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hAnsi="Times New Roman"/>
          <w:sz w:val="20"/>
          <w:u w:val="single"/>
        </w:rPr>
        <w:t>seventh</w:t>
      </w:r>
      <w:r>
        <w:rPr>
          <w:rFonts w:ascii="Times New Roman" w:hAnsi="Times New Roman"/>
          <w:sz w:val="20"/>
        </w:rPr>
        <w:t xml:space="preserve">, to that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Applicable Percentages to Reduce Fronting Exposure</w:t>
      </w:r>
      <w:r>
        <w:rPr>
          <w:rFonts w:ascii="Times New Roman" w:hAnsi="Times New Roman"/>
          <w:sz w:val="20"/>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Times New Roman" w:hAnsi="Times New Roman"/>
          <w:sz w:val="20"/>
          <w:u w:val="single"/>
        </w:rPr>
        <w:t>provided</w:t>
      </w:r>
      <w:r>
        <w:rPr>
          <w:rFonts w:ascii="Times New Roman" w:hAnsi="Times New Roman"/>
          <w:sz w:val="20"/>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hAnsi="Times New Roman"/>
          <w:sz w:val="20"/>
          <w:u w:val="single"/>
        </w:rPr>
        <w:t>minus</w:t>
      </w:r>
      <w:r>
        <w:rPr>
          <w:rFonts w:ascii="Times New Roman" w:hAnsi="Times New Roman"/>
          <w:sz w:val="20"/>
        </w:rPr>
        <w:t xml:space="preserve"> (2) the aggregate principal amount of the Revolving Loans of that non-Defaulting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Cash Collateral, Repayment of Swingline Loans</w:t>
      </w:r>
      <w:r>
        <w:rPr>
          <w:rFonts w:ascii="Times New Roman" w:hAnsi="Times New Roman"/>
          <w:sz w:val="20"/>
        </w:rPr>
        <w:t xml:space="preserve">.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 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Illegality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Lender determines that any law has made it unlawful, or that any Governmental Authority has asserted that it is unlawful, for any Lender to make, maintain or fund Loans whose interest is determined by reference to the Term Benchmark Rate or RFR Rate (whether denominated in Dollars or an Alternative Currency), or to determine or charge interest rates based upon the Term Benchmark Rate or RFR Rate, then, on notice thereof by such Lender to Borrower through the First Lien Administrative Agent, (i) any obligation of such Lender to make or continue Term Benchmark Loans or RFR Loans in the affected currency or currencies or to convert ABR Loans to Term Benchmark Loans or RFR Loans in the affected currency or currencies shall be suspended, and (ii) if such notice asserts the illegality of such Lender making or maintaining ABR Loans the interest rate on which is determined by reference to the Adjusted Term SOFR Rate component of the Alternate Base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component of the Canadian Base Rate, the interest rate on such ABR Loans of such Lender shall, if necessary to avoid such illegality, be determined by the First Lien Administrative Agent without reference to the Adjusted Term SOFR Rate component of the Alternate Base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Term Benchmark Loans denominated in Dollars or Canadian Dollars of such Lender to ABR Loans (the interest rate on which ABR Loans of such Lender shall, if necessary to avoid such illegality, be determined by the First Lien Administrative Agent without reference to the Adjusted Term SOFR Rate component of the Alternate Base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component of the Canadian Base Rate, as applicable), either on the last day of the Interest Period therefor, if such Lender may lawfully continue to maintain such Term Benchmark Loans and/or RFR Loans to such day, or immediately, if such Lender may not lawfully continue to maintain such Term Benchmark Loans and/or RFR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Term Benchmark Loans and/or RFR Loans to such day, or immediately, if such Lender may not lawfully continue to maintain such Term Benchmark Loans and/or RFR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Term SOFR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the First Lien Administrative Agent shall during the period of such suspension compute the Alternate Base Rate or the Canadian Base Rate, as applicable, applicable to such Lender without reference to the Adjusted Term SOFR Rate component,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component, as applicable, thereof until the First Lien Administrative Agent is advised in writing by such Lender that it is no longer illegal for such Lender to determine or charge interest rates based upon the Adjusted Term SOFR Rate or the Adjusted </w:t>
      </w:r>
      <w:r>
        <w:rPr>
          <w:rFonts w:ascii="Times New Roman" w:hAnsi="Times New Roman"/>
          <w:strike/>
          <w:color w:val="FF0000"/>
          <w:sz w:val="20"/>
        </w:rPr>
        <w:t>BA</w:t>
      </w:r>
      <w:r>
        <w:rPr>
          <w:rFonts w:ascii="Times New Roman" w:hAnsi="Times New Roman"/>
          <w:color w:val="0000FF"/>
          <w:sz w:val="20"/>
          <w:u w:val="single"/>
          <w:bdr w:val="double" w:sz="2" w:space="1" w:color="000000"/>
        </w:rPr>
        <w:t>Term CORRA</w:t>
      </w:r>
      <w:r>
        <w:rPr>
          <w:rFonts w:ascii="Times New Roman" w:hAnsi="Times New Roman"/>
          <w:sz w:val="20"/>
        </w:rPr>
        <w:t xml:space="preserve"> Rate, as applicable. Each Lender agrees to notify the First Lien Administrative Agent and the Borrower in writing promptly upon becoming aware that it is no longer illegal for such Lender to determine or charge interest rates based upon the applicable Term Benchmark Rate or RFR Rate, as applicable. Upon any such prepayment or conversion, the Borrower shall also pay accrued interest on the amount so prepaid or converted. </w:t>
      </w:r>
    </w:p>
    <w:p>
      <w:pPr>
        <w:pStyle w:val="TextBody"/>
        <w:bidi w:val="0"/>
        <w:spacing w:before="24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Loan Modification Offers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any time after the Effective Date, the Borrower may on one or more occasions, by written notice to the First Lien Administrative Agent, make one or more offers (each, a </w:t>
      </w:r>
      <w:r>
        <w:rPr>
          <w:rFonts w:ascii="Times New Roman" w:hAnsi="Times New Roman"/>
          <w:sz w:val="20"/>
          <w:u w:val="single"/>
        </w:rPr>
        <w:t>Loan Modification Offer</w:t>
      </w:r>
      <w:r>
        <w:rPr>
          <w:rFonts w:ascii="Times New Roman" w:hAnsi="Times New Roman"/>
          <w:sz w:val="20"/>
        </w:rPr>
        <w:t>) to all the Lenders of one or more Classes (each Class subject to such a Loan Modification Offer, an </w:t>
      </w:r>
      <w:r>
        <w:rPr>
          <w:rFonts w:ascii="Times New Roman" w:hAnsi="Times New Roman"/>
          <w:sz w:val="20"/>
          <w:u w:val="single"/>
        </w:rPr>
        <w:t>Affected Class</w:t>
      </w:r>
      <w:r>
        <w:rPr>
          <w:rFonts w:ascii="Times New Roman" w:hAnsi="Times New Roman"/>
          <w:sz w:val="20"/>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Times New Roman" w:hAnsi="Times New Roman"/>
          <w:sz w:val="20"/>
          <w:u w:val="single"/>
        </w:rPr>
        <w:t>Accepting Lenders</w:t>
      </w:r>
      <w:r>
        <w:rPr>
          <w:rFonts w:ascii="Times New Roman" w:hAnsi="Times New Roman"/>
          <w:sz w:val="20"/>
        </w:rPr>
        <w:t xml:space="preserve">) and, in the case of any Accepting Lender, only with respect to such Lenders Loans and Commitments of such Affected Class as to which such Lenders acceptance has been made. </w:t>
      </w:r>
    </w:p>
    <w:p>
      <w:pPr>
        <w:pStyle w:val="TextBody"/>
        <w:bidi w:val="0"/>
        <w:spacing w:before="120" w:after="0"/>
        <w:jc w:val="left"/>
        <w:rPr>
          <w:rFonts w:ascii="Times New Roman" w:hAnsi="Times New Roman"/>
          <w:sz w:val="20"/>
        </w:rPr>
      </w:pPr>
      <w:r>
        <w:rPr>
          <w:rFonts w:ascii="Times New Roman" w:hAnsi="Times New Roman"/>
          <w:sz w:val="20"/>
        </w:rPr>
        <w:t xml:space="preserve">(b) A Permitted Amendment shall be effected pursuant to a Loan Modification Agreement executed and delivered by Holdings, the Borrower, each applicable Accepting Lender and the First Lien Administrative Agent; </w:t>
      </w:r>
      <w:r>
        <w:rPr>
          <w:rFonts w:ascii="Times New Roman" w:hAnsi="Times New Roman"/>
          <w:sz w:val="20"/>
          <w:u w:val="single"/>
        </w:rPr>
        <w:t>provided</w:t>
      </w:r>
      <w:r>
        <w:rPr>
          <w:rFonts w:ascii="Times New Roman" w:hAnsi="Times New Roman"/>
          <w:sz w:val="20"/>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 </w:t>
      </w:r>
    </w:p>
    <w:p>
      <w:pPr>
        <w:pStyle w:val="TextBody"/>
        <w:bidi w:val="0"/>
        <w:spacing w:before="120" w:after="0"/>
        <w:jc w:val="left"/>
        <w:rPr>
          <w:rFonts w:ascii="Times New Roman" w:hAnsi="Times New Roman"/>
          <w:sz w:val="20"/>
        </w:rPr>
      </w:pPr>
      <w:r>
        <w:rPr>
          <w:rFonts w:ascii="Times New Roman" w:hAnsi="Times New Roman"/>
          <w:sz w:val="20"/>
        </w:rPr>
        <w:t>(c) If, in connection with any proposed Loan Modification Offer, any Lender declines to consent to such Loan Modification Offer on the terms and by the deadline set forth in such Loan Modification Offer (each such Lender, a </w:t>
      </w:r>
      <w:r>
        <w:rPr>
          <w:rFonts w:ascii="Times New Roman" w:hAnsi="Times New Roman"/>
          <w:sz w:val="20"/>
          <w:u w:val="single"/>
        </w:rPr>
        <w:t>Non-Accepting Lender</w:t>
      </w:r>
      <w:r>
        <w:rPr>
          <w:rFonts w:ascii="Times New Roman" w:hAnsi="Times New Roman"/>
          <w:sz w:val="20"/>
        </w:rPr>
        <w:t xml:space="preserve">)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this Section 2.24 shall supersede any provisions in Section 2.18 or Section 9.02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of Holdings and the Borrower represents and warrants to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Financial Condition; No 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 </w:t>
      </w:r>
    </w:p>
    <w:p>
      <w:pPr>
        <w:pStyle w:val="TextBody"/>
        <w:bidi w:val="0"/>
        <w:spacing w:before="120" w:after="0"/>
        <w:jc w:val="left"/>
        <w:rPr>
          <w:rFonts w:ascii="Times New Roman" w:hAnsi="Times New Roman"/>
          <w:sz w:val="20"/>
        </w:rPr>
      </w:pPr>
      <w:r>
        <w:rPr>
          <w:rFonts w:ascii="Times New Roman" w:hAnsi="Times New Roman"/>
          <w:sz w:val="20"/>
        </w:rPr>
        <w:t xml:space="preserve">(b) Since the Effective Date, there has been no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Schedule 3.06, and except with respect to any other matters that, individually or in the aggregate, would not reasonably be expected to result in a Material Adverse Effect, none of Holdings, any Intermediate Parent, the Borrower or any Restricted Subsidiary (i) 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 and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each Intermediate Parent,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the Loan Parties is required to register as an investment company under the Investment Company Act of 1940, as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in their capacity as tax withholding agents, except any Taxes that are being contested in good faith by appropriate proceedings, </w:t>
      </w:r>
      <w:r>
        <w:rPr>
          <w:rFonts w:ascii="Times New Roman" w:hAnsi="Times New Roman"/>
          <w:sz w:val="20"/>
          <w:u w:val="single"/>
        </w:rPr>
        <w:t>provided</w:t>
      </w:r>
      <w:r>
        <w:rPr>
          <w:rFonts w:ascii="Times New Roman" w:hAnsi="Times New Roman"/>
          <w:sz w:val="20"/>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Material Adverse Effect, each Plan sponsored by a Loan Party is in compliance with the applicable provisions of ERISA, the Code and other federal or state laws. </w:t>
      </w:r>
    </w:p>
    <w:p>
      <w:pPr>
        <w:pStyle w:val="TextBody"/>
        <w:bidi w:val="0"/>
        <w:spacing w:before="120" w:after="0"/>
        <w:jc w:val="left"/>
        <w:rPr>
          <w:rFonts w:ascii="Times New Roman" w:hAnsi="Times New Roman"/>
          <w:sz w:val="20"/>
        </w:rPr>
      </w:pPr>
      <w:r>
        <w:rPr>
          <w:rFonts w:ascii="Times New Roman" w:hAnsi="Times New Roman"/>
          <w:sz w:val="20"/>
        </w:rPr>
        <w:t xml:space="preserve">(b) 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 </w:t>
      </w:r>
    </w:p>
    <w:p>
      <w:pPr>
        <w:pStyle w:val="TextBody"/>
        <w:bidi w:val="0"/>
        <w:spacing w:before="120" w:after="0"/>
        <w:jc w:val="left"/>
        <w:rPr>
          <w:rFonts w:ascii="Times New Roman" w:hAnsi="Times New Roman"/>
          <w:sz w:val="20"/>
        </w:rPr>
      </w:pPr>
      <w:r>
        <w:rPr>
          <w:rFonts w:ascii="Times New Roman" w:hAnsi="Times New Roman"/>
          <w:sz w:val="20"/>
        </w:rPr>
        <w:t xml:space="preserve">(c) 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hAnsi="Times New Roman"/>
          <w:sz w:val="20"/>
          <w:u w:val="single"/>
        </w:rPr>
        <w:t>provided</w:t>
      </w:r>
      <w:r>
        <w:rPr>
          <w:rFonts w:ascii="Times New Roman" w:hAnsi="Times New Roman"/>
          <w:sz w:val="20"/>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Schedule 3.12 sets forth the name of, and the ownership interest of Holdings and each of its Subsidiaries in, each Subsidiary of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Intellectual Property; Licenses,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Solvency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Federal Reserve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use the proceeds of the (a) Term Loans made on the Effective Date to directly or indirectly finance the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and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Patriot Act; OFAC and FCPA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Times New Roman" w:hAnsi="Times New Roman"/>
          <w:sz w:val="20"/>
          <w:u w:val="single"/>
        </w:rPr>
        <w:t>FCPA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To the knowledge of Holdings, each of Holdings, the Borrower and the Restricted Subsidiaries is in compliance in all material respects with (i) applicable regulations of the United States Department of the Treasurys Office of Foreign Assets Control (</w:t>
      </w:r>
      <w:r>
        <w:rPr>
          <w:rFonts w:ascii="Times New Roman" w:hAnsi="Times New Roman"/>
          <w:sz w:val="20"/>
          <w:u w:val="single"/>
        </w:rPr>
        <w:t>OFAC</w:t>
      </w:r>
      <w:r>
        <w:rPr>
          <w:rFonts w:ascii="Times New Roman" w:hAnsi="Times New Roman"/>
          <w:sz w:val="20"/>
        </w:rPr>
        <w:t xml:space="preserve">), (ii) Title III of the USA Patriot Act and (iii) the FCPA. </w:t>
      </w:r>
    </w:p>
    <w:p>
      <w:pPr>
        <w:pStyle w:val="TextBody"/>
        <w:bidi w:val="0"/>
        <w:spacing w:before="120" w:after="0"/>
        <w:jc w:val="left"/>
        <w:rPr>
          <w:rFonts w:ascii="Times New Roman" w:hAnsi="Times New Roman"/>
          <w:sz w:val="20"/>
        </w:rPr>
      </w:pPr>
      <w:r>
        <w:rPr>
          <w:rFonts w:ascii="Times New Roman" w:hAnsi="Times New Roman"/>
          <w:sz w:val="20"/>
        </w:rPr>
        <w:t xml:space="preserve">(c) 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each Lender to make Loans and the obligations of each Issuing Bank to issue Letters of Credit hereunder on the Effective Date shall be subject to satisfaction of the following conditions (or waiver thereof in accordance with Section 9.02): </w:t>
      </w:r>
    </w:p>
    <w:p>
      <w:pPr>
        <w:pStyle w:val="TextBody"/>
        <w:bidi w:val="0"/>
        <w:spacing w:before="120" w:after="0"/>
        <w:jc w:val="left"/>
        <w:rPr>
          <w:rFonts w:ascii="Times New Roman" w:hAnsi="Times New Roman"/>
          <w:sz w:val="20"/>
        </w:rPr>
      </w:pPr>
      <w:r>
        <w:rPr>
          <w:rFonts w:ascii="Times New Roman" w:hAnsi="Times New Roman"/>
          <w:sz w:val="20"/>
        </w:rPr>
        <w:t xml:space="preserve">(a) 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First Lien Administrative Agent shall have received a written opinion (addressed to the First Lien Administrative Agent, the Lenders and the Issuing Banks and dated the Effective Date) of (i) Cleary Gottlieb Steen &amp; Hamilton LLP, New York counsel for the Loan Parties and (ii) Richards, Layton &amp; Finger, P.A., Delaware counsel for the Loan Parties, in each case in form and substance reasonably satisfactory to the First Lien Administrative Agent. Each of Holdings and the Borrower hereby requests such counsel to deliver such opinions. </w:t>
      </w:r>
    </w:p>
    <w:p>
      <w:pPr>
        <w:pStyle w:val="TextBody"/>
        <w:bidi w:val="0"/>
        <w:spacing w:before="120" w:after="0"/>
        <w:jc w:val="left"/>
        <w:rPr>
          <w:rFonts w:ascii="Times New Roman" w:hAnsi="Times New Roman"/>
          <w:sz w:val="20"/>
        </w:rPr>
      </w:pPr>
      <w:r>
        <w:rPr>
          <w:rFonts w:ascii="Times New Roman" w:hAnsi="Times New Roman"/>
          <w:sz w:val="20"/>
        </w:rPr>
        <w:t xml:space="preserve">(c) 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 </w:t>
      </w:r>
    </w:p>
    <w:p>
      <w:pPr>
        <w:pStyle w:val="TextBody"/>
        <w:bidi w:val="0"/>
        <w:spacing w:before="120" w:after="0"/>
        <w:jc w:val="left"/>
        <w:rPr>
          <w:rFonts w:ascii="Times New Roman" w:hAnsi="Times New Roman"/>
          <w:sz w:val="20"/>
        </w:rPr>
      </w:pPr>
      <w:r>
        <w:rPr>
          <w:rFonts w:ascii="Times New Roman" w:hAnsi="Times New Roman"/>
          <w:sz w:val="20"/>
        </w:rPr>
        <w:t xml:space="preserve">(d) 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 </w:t>
      </w:r>
    </w:p>
    <w:p>
      <w:pPr>
        <w:pStyle w:val="TextBody"/>
        <w:bidi w:val="0"/>
        <w:spacing w:before="120" w:after="0"/>
        <w:jc w:val="left"/>
        <w:rPr>
          <w:rFonts w:ascii="Times New Roman" w:hAnsi="Times New Roman"/>
          <w:sz w:val="20"/>
        </w:rPr>
      </w:pPr>
      <w:r>
        <w:rPr>
          <w:rFonts w:ascii="Times New Roman" w:hAnsi="Times New Roman"/>
          <w:sz w:val="20"/>
        </w:rPr>
        <w:t xml:space="preserve">(f) 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(g) The representations and warranties set forth in Article III shall be true and correct in all material respects on and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(h) The Refinancing shall have been consummated, or substantially concurrently with the initial funding of Loans on the Effective Date, shall be consummated. </w:t>
      </w:r>
    </w:p>
    <w:p>
      <w:pPr>
        <w:pStyle w:val="TextBody"/>
        <w:bidi w:val="0"/>
        <w:spacing w:before="120" w:after="0"/>
        <w:jc w:val="left"/>
        <w:rPr>
          <w:rFonts w:ascii="Times New Roman" w:hAnsi="Times New Roman"/>
          <w:sz w:val="20"/>
        </w:rPr>
      </w:pPr>
      <w:r>
        <w:rPr>
          <w:rFonts w:ascii="Times New Roman" w:hAnsi="Times New Roman"/>
          <w:sz w:val="20"/>
        </w:rPr>
        <w:t xml:space="preserve">(i) The First Lien Administrative Agent shall have received a request for Borrowing that complies with the requirements set forth in Section 2.03. </w:t>
      </w:r>
    </w:p>
    <w:p>
      <w:pPr>
        <w:pStyle w:val="TextBody"/>
        <w:bidi w:val="0"/>
        <w:spacing w:before="120" w:after="0"/>
        <w:jc w:val="left"/>
        <w:rPr>
          <w:rFonts w:ascii="Times New Roman" w:hAnsi="Times New Roman"/>
          <w:sz w:val="20"/>
        </w:rPr>
      </w:pPr>
      <w:r>
        <w:rPr>
          <w:rFonts w:ascii="Times New Roman" w:hAnsi="Times New Roman"/>
          <w:sz w:val="20"/>
        </w:rPr>
        <w:t xml:space="preserve">(j) The First Lien Administrative Agent shall have received evidence reasonably satisfactory to the First Lien Administrative Agent that the Second Lien Debt Documents shall have been executed and delivered by all of the loan parties stated to be party thereto. </w:t>
      </w:r>
    </w:p>
    <w:p>
      <w:pPr>
        <w:pStyle w:val="TextBody"/>
        <w:bidi w:val="0"/>
        <w:spacing w:before="120" w:after="0"/>
        <w:jc w:val="left"/>
        <w:rPr>
          <w:rFonts w:ascii="Times New Roman" w:hAnsi="Times New Roman"/>
          <w:sz w:val="20"/>
        </w:rPr>
      </w:pPr>
      <w:r>
        <w:rPr>
          <w:rFonts w:ascii="Times New Roman" w:hAnsi="Times New Roman"/>
          <w:sz w:val="20"/>
        </w:rPr>
        <w:t xml:space="preserve">(k) 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 </w:t>
      </w:r>
    </w:p>
    <w:p>
      <w:pPr>
        <w:pStyle w:val="TextBody"/>
        <w:bidi w:val="0"/>
        <w:spacing w:before="120" w:after="0"/>
        <w:jc w:val="left"/>
        <w:rPr>
          <w:rFonts w:ascii="Times New Roman" w:hAnsi="Times New Roman"/>
          <w:sz w:val="20"/>
        </w:rPr>
      </w:pPr>
      <w:r>
        <w:rPr>
          <w:rFonts w:ascii="Times New Roman" w:hAnsi="Times New Roman"/>
          <w:sz w:val="20"/>
        </w:rPr>
        <w:t xml:space="preserve">(l) The First Lien Administrative Agent and the Joint Lead Arrangers shall have received, at least three (3) Business Days prior to the Effective Date, (A) all documentation and other information about the Loan Parties as shall have been reasonably requested in writing at least ten (10) 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hAnsi="Times New Roman"/>
          <w:sz w:val="20"/>
          <w:u w:val="single"/>
        </w:rPr>
        <w:t>provided</w:t>
      </w:r>
      <w:r>
        <w:rPr>
          <w:rFonts w:ascii="Times New Roman" w:hAnsi="Times New Roman"/>
          <w:sz w:val="20"/>
        </w:rPr>
        <w:t xml:space="preserve"> that, in each case,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 further</w:t>
      </w:r>
      <w:r>
        <w:rPr>
          <w:rFonts w:ascii="Times New Roman" w:hAnsi="Times New Roman"/>
          <w:sz w:val="20"/>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 </w:t>
      </w:r>
    </w:p>
    <w:p>
      <w:pPr>
        <w:pStyle w:val="TextBody"/>
        <w:bidi w:val="0"/>
        <w:spacing w:before="12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Each Borrowing (</w:t>
      </w:r>
      <w:r>
        <w:rPr>
          <w:rFonts w:ascii="Times New Roman" w:hAnsi="Times New Roman"/>
          <w:sz w:val="20"/>
          <w:u w:val="single"/>
        </w:rPr>
        <w:t>provided</w:t>
      </w:r>
      <w:r>
        <w:rPr>
          <w:rFonts w:ascii="Times New Roman" w:hAnsi="Times New Roman"/>
          <w:sz w:val="20"/>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and the Borrower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Borrower will furnish to the First Lien Administrative Agent, on behalf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(a) 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(c) 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(d) not later than five days after any delivery of financial statements under paragraph (a) or (b) above,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 </w:t>
      </w:r>
    </w:p>
    <w:p>
      <w:pPr>
        <w:pStyle w:val="TextBody"/>
        <w:bidi w:val="0"/>
        <w:spacing w:before="120" w:after="0"/>
        <w:jc w:val="left"/>
        <w:rPr>
          <w:rFonts w:ascii="Times New Roman" w:hAnsi="Times New Roman"/>
          <w:sz w:val="20"/>
        </w:rPr>
      </w:pPr>
      <w:r>
        <w:rPr>
          <w:rFonts w:ascii="Times New Roman" w:hAnsi="Times New Roman"/>
          <w:sz w:val="20"/>
        </w:rPr>
        <w:t xml:space="preserve">(e) 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Times New Roman" w:hAnsi="Times New Roman"/>
          <w:sz w:val="20"/>
          <w:u w:val="single"/>
        </w:rPr>
        <w:t>provided</w:t>
      </w:r>
      <w:r>
        <w:rPr>
          <w:rFonts w:ascii="Times New Roman" w:hAnsi="Times New Roman"/>
          <w:sz w:val="20"/>
        </w:rPr>
        <w:t xml:space="preserve"> that the obligations of this paragraph shall be suspended upon and following the filing for an IPO; </w:t>
      </w:r>
    </w:p>
    <w:p>
      <w:pPr>
        <w:pStyle w:val="TextBody"/>
        <w:bidi w:val="0"/>
        <w:spacing w:before="120" w:after="0"/>
        <w:jc w:val="left"/>
        <w:rPr>
          <w:rFonts w:ascii="Times New Roman" w:hAnsi="Times New Roman"/>
          <w:sz w:val="20"/>
        </w:rPr>
      </w:pPr>
      <w:r>
        <w:rPr>
          <w:rFonts w:ascii="Times New Roman" w:hAnsi="Times New Roman"/>
          <w:sz w:val="20"/>
        </w:rPr>
        <w:t xml:space="preserve">(f)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 </w:t>
      </w:r>
    </w:p>
    <w:p>
      <w:pPr>
        <w:pStyle w:val="TextBody"/>
        <w:bidi w:val="0"/>
        <w:spacing w:before="120" w:after="0"/>
        <w:jc w:val="left"/>
        <w:rPr>
          <w:rFonts w:ascii="Times New Roman" w:hAnsi="Times New Roman"/>
          <w:sz w:val="20"/>
        </w:rPr>
      </w:pPr>
      <w:r>
        <w:rPr>
          <w:rFonts w:ascii="Times New Roman" w:hAnsi="Times New Roman"/>
          <w:sz w:val="20"/>
        </w:rPr>
        <w:t xml:space="preserve">(g) 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at the request of the First Lien Administrative Agent (which shall be no more than quarterly), and following the delivery of each set of consolidated financial statements referred to in clauses (a) and (b) above, the Borrower shall use commercially reasonable efforts to hold a conference call for the Lenders at a time reasonably acceptable to the Borrower, which conference call shall be accompanied by related presentation materials prepared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paragraphs (a) and (b) of this Section 5.01 may be satisfied with respect to financial information of the Borrower and its Subsidiaries by furnishing (A) the Form 10-K or 10-Q (or the equivalent), as applicable, of the Borrower (or a parent company thereof) filed with the SEC within the applicable time periods required by applicable law and regulations (including any extended deadlines available thereunder in connection with an IPO) or (B) the applicable financial statements of Holdings (or any Intermediate Parent or any direct or indirect parent of Holdings); </w:t>
      </w:r>
      <w:r>
        <w:rPr>
          <w:rFonts w:ascii="Times New Roman" w:hAnsi="Times New Roman"/>
          <w:sz w:val="20"/>
          <w:u w:val="single"/>
        </w:rPr>
        <w:t>provided</w:t>
      </w:r>
      <w:r>
        <w:rPr>
          <w:rFonts w:ascii="Times New Roman" w:hAnsi="Times New Roman"/>
          <w:sz w:val="20"/>
        </w:rPr>
        <w:t xml:space="preserve"> that (i)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 satisfy the Financial Performance Covenant on a future date or in a future period ).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9.01 (or otherwise notified pursuant to Section 9.01(d)); or (ii) on which such documents are posted on the Borrowers behalf on an Internet or intranet website, if any, to which each Lender and the First Lien Administrative Agent have access (whether a commercial, third-party website or whether sponsored by the First Lien Administrative Agent); </w:t>
      </w:r>
      <w:r>
        <w:rPr>
          <w:rFonts w:ascii="Times New Roman" w:hAnsi="Times New Roman"/>
          <w:sz w:val="20"/>
          <w:u w:val="single"/>
        </w:rPr>
        <w:t>provided</w:t>
      </w:r>
      <w:r>
        <w:rPr>
          <w:rFonts w:ascii="Times New Roman" w:hAnsi="Times New Roman"/>
          <w:sz w:val="20"/>
        </w:rPr>
        <w:t xml:space="preserve"> that: (i) the Borrower shall deliver paper copies of such documents to the First Lien Administrative Agent upon its reasonable request until a written notice to cease delivering paper copies is given by the First Lien Administrative Agent and (ii) the Borrower shall notify the First Lien Administrative Agent (by fax or electronic mail) of the posting of any such documents and upon its reasonable request, provide to the First Lien Administrative Agent by electronic mail electronic versions (i.e., soft copies) of such documents. The First Lien Administrative Agent shall have no obligation to request the delivery of or maintain paper copies of the documents referred to above, and each Lender shall be solely responsible for timely accessing posted documents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 (c) and (d) above are hereby deemed to be suitable for distribution, and to be made available, to all Lenders and may be treated by the First Lien Administrative Agent and the Lenders as not containing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120" w:after="0"/>
        <w:jc w:val="left"/>
        <w:rPr>
          <w:rFonts w:ascii="Times New Roman" w:hAnsi="Times New Roman"/>
          <w:sz w:val="20"/>
        </w:rPr>
      </w:pPr>
      <w:r>
        <w:rPr>
          <w:rFonts w:ascii="Times New Roman" w:hAnsi="Times New Roman"/>
          <w:sz w:val="20"/>
        </w:rPr>
        <w:t xml:space="preserve">(b) 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(c) the occurrence of any ERISA Event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Information Regarding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Existence; 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Times New Roman" w:hAnsi="Times New Roman"/>
          <w:sz w:val="20"/>
          <w:u w:val="single"/>
        </w:rPr>
        <w:t>provided</w:t>
      </w:r>
      <w:r>
        <w:rPr>
          <w:rFonts w:ascii="Times New Roman" w:hAnsi="Times New Roman"/>
          <w:sz w:val="20"/>
        </w:rPr>
        <w:t xml:space="preserve"> that the foregoing shall not prohibit any merger, amalgamation, consolidation, liquidation or dissolution permitted under Section 6.03 or any Disposition permitted by Section 6.05.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Payment of Taxes,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Books and Records; Inspection and Audit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hAnsi="Times New Roman"/>
          <w:sz w:val="20"/>
          <w:u w:val="single"/>
        </w:rPr>
        <w:t>provided</w:t>
      </w:r>
      <w:r>
        <w:rPr>
          <w:rFonts w:ascii="Times New Roman" w:hAnsi="Times New Roman"/>
          <w:sz w:val="20"/>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Times New Roman" w:hAnsi="Times New Roman"/>
          <w:sz w:val="20"/>
          <w:u w:val="single"/>
        </w:rPr>
        <w:t>provided, further</w:t>
      </w:r>
      <w:r>
        <w:rPr>
          <w:rFonts w:ascii="Times New Roman" w:hAnsi="Times New Roman"/>
          <w:sz w:val="20"/>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Use of Proceeds and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use the proceeds of the Term Loans, the Revolving Loans, the Swingline Loans and the Letters of Credit solely in accordance with Section 3.16.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Additional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 </w:t>
      </w:r>
    </w:p>
    <w:p>
      <w:pPr>
        <w:pStyle w:val="TextBody"/>
        <w:bidi w:val="0"/>
        <w:spacing w:before="120" w:after="0"/>
        <w:jc w:val="left"/>
        <w:rPr>
          <w:rFonts w:ascii="Times New Roman" w:hAnsi="Times New Roman"/>
          <w:sz w:val="20"/>
        </w:rPr>
      </w:pPr>
      <w:r>
        <w:rPr>
          <w:rFonts w:ascii="Times New Roman" w:hAnsi="Times New Roman"/>
          <w:sz w:val="20"/>
        </w:rPr>
        <w:t xml:space="preserve">(b) 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in the event any Material Real Property would be required to be mortgaged pursuant to this 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(b) 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Designation of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at any time after the Effective Date designate any Restricted Subsidiary as an Unrestricted Subsidiary or any Unrestricted Subsidiary as a Restricted Subsidiary; </w:t>
      </w:r>
      <w:r>
        <w:rPr>
          <w:rFonts w:ascii="Times New Roman" w:hAnsi="Times New Roman"/>
          <w:sz w:val="20"/>
          <w:u w:val="single"/>
        </w:rPr>
        <w:t>provided</w:t>
      </w:r>
      <w:r>
        <w:rPr>
          <w:rFonts w:ascii="Times New Roman" w:hAnsi="Times New Roman"/>
          <w:sz w:val="20"/>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the Second Lien Notes or any other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Certain Post-Closing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Maintenance of Rating of Borrower and the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Lines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and until the Termination Date, each of Holdings (with respect to Section 6.03(b) and (c) only) and the Borrower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 Certain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not, and will not permit any Restricted Subsidiary to, create, incur, assume or permit to exist any Indebtedness,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Indebtedness of the Borrower and any of the Restricted Subsidiaries under the First Lien Loan Documents and the Second Lien Debt Documents (including any Indebtedness incurred pursuant to Section 2.20 or 2.21);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including intercompany Indebtedness, outstanding on the Effective Date and listed on Schedule 6.01, and any Permitted Refinancing thereof; </w:t>
      </w:r>
    </w:p>
    <w:p>
      <w:pPr>
        <w:pStyle w:val="TextBody"/>
        <w:bidi w:val="0"/>
        <w:spacing w:before="120" w:after="0"/>
        <w:jc w:val="left"/>
        <w:rPr>
          <w:rFonts w:ascii="Times New Roman" w:hAnsi="Times New Roman"/>
          <w:sz w:val="20"/>
        </w:rPr>
      </w:pPr>
      <w:r>
        <w:rPr>
          <w:rFonts w:ascii="Times New Roman" w:hAnsi="Times New Roman"/>
          <w:sz w:val="20"/>
        </w:rPr>
        <w:t xml:space="preserve">(iii) Guarantees by the Borrower and any of the Restricted Subsidiaries in respect of Indebtedness of the Borrower or any Restricted Subsidiary otherwise permitted hereunder; </w:t>
      </w:r>
      <w:r>
        <w:rPr>
          <w:rFonts w:ascii="Times New Roman" w:hAnsi="Times New Roman"/>
          <w:sz w:val="20"/>
          <w:u w:val="single"/>
        </w:rPr>
        <w:t>provided</w:t>
      </w:r>
      <w:r>
        <w:rPr>
          <w:rFonts w:ascii="Times New Roman" w:hAnsi="Times New Roman"/>
          <w:sz w:val="20"/>
        </w:rPr>
        <w:t xml:space="preserve"> that (A) such Guarantee is otherwise permitted by Section 6.04, (B) no Guarantee by any Restricted Subsidiary of any Junior Financing or the Second Lien Facilities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(iv) Indebtedness of the Borrower owing to any Restricted Subsidiary or of any Restricted Subsidiary owing to any other Restricted Subsidiary or the Borrower, to the extent permitted by Section 6.04; </w:t>
      </w:r>
      <w:r>
        <w:rPr>
          <w:rFonts w:ascii="Times New Roman" w:hAnsi="Times New Roman"/>
          <w:sz w:val="20"/>
          <w:u w:val="single"/>
        </w:rPr>
        <w:t>provided</w:t>
      </w:r>
      <w:r>
        <w:rPr>
          <w:rFonts w:ascii="Times New Roman" w:hAnsi="Times New Roman"/>
          <w:sz w:val="20"/>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Times New Roman" w:hAnsi="Times New Roman"/>
          <w:sz w:val="20"/>
          <w:u w:val="single"/>
        </w:rPr>
        <w:t>provided</w:t>
      </w:r>
      <w:r>
        <w:rPr>
          <w:rFonts w:ascii="Times New Roman" w:hAnsi="Times New Roman"/>
          <w:sz w:val="20"/>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Times New Roman" w:hAnsi="Times New Roman"/>
          <w:sz w:val="20"/>
          <w:u w:val="single"/>
        </w:rPr>
        <w:t>provided, further</w:t>
      </w:r>
      <w:r>
        <w:rPr>
          <w:rFonts w:ascii="Times New Roman" w:hAnsi="Times New Roman"/>
          <w:sz w:val="20"/>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$80,000,000 and (B) 20% of Consolidated EBITDA for the most recently ended Test Period as of such time; </w:t>
      </w:r>
    </w:p>
    <w:p>
      <w:pPr>
        <w:pStyle w:val="TextBody"/>
        <w:bidi w:val="0"/>
        <w:spacing w:before="120" w:after="0"/>
        <w:jc w:val="left"/>
        <w:rPr>
          <w:rFonts w:ascii="Times New Roman" w:hAnsi="Times New Roman"/>
          <w:sz w:val="20"/>
        </w:rPr>
      </w:pPr>
      <w:r>
        <w:rPr>
          <w:rFonts w:ascii="Times New Roman" w:hAnsi="Times New Roman"/>
          <w:sz w:val="20"/>
        </w:rPr>
        <w:t xml:space="preserve">(vi) Indebtedness in respect of Swap Agreements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(vii) (A)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(1)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Times New Roman" w:hAnsi="Times New Roman"/>
          <w:sz w:val="20"/>
          <w:u w:val="single"/>
        </w:rPr>
        <w:t>provided</w:t>
      </w:r>
      <w:r>
        <w:rPr>
          <w:rFonts w:ascii="Times New Roman" w:hAnsi="Times New Roman"/>
          <w:sz w:val="20"/>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$80,000,000 and 20% of Consolidated EBITDA for the most recently ended Test Period as of such time; </w:t>
      </w:r>
    </w:p>
    <w:p>
      <w:pPr>
        <w:pStyle w:val="TextBody"/>
        <w:bidi w:val="0"/>
        <w:spacing w:before="120" w:after="0"/>
        <w:jc w:val="left"/>
        <w:rPr>
          <w:rFonts w:ascii="Times New Roman" w:hAnsi="Times New Roman"/>
          <w:sz w:val="20"/>
        </w:rPr>
      </w:pPr>
      <w:r>
        <w:rPr>
          <w:rFonts w:ascii="Times New Roman" w:hAnsi="Times New Roman"/>
          <w:sz w:val="20"/>
        </w:rPr>
        <w:t xml:space="preserve">(viii) (A)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$80,000,000 and (B) 20% of Consolidated EBITDA for the most recently ended Test Period as of such time ; </w:t>
      </w:r>
    </w:p>
    <w:p>
      <w:pPr>
        <w:pStyle w:val="TextBody"/>
        <w:bidi w:val="0"/>
        <w:spacing w:before="120" w:after="0"/>
        <w:jc w:val="left"/>
        <w:rPr>
          <w:rFonts w:ascii="Times New Roman" w:hAnsi="Times New Roman"/>
          <w:sz w:val="20"/>
        </w:rPr>
      </w:pPr>
      <w:r>
        <w:rPr>
          <w:rFonts w:ascii="Times New Roman" w:hAnsi="Times New Roman"/>
          <w:sz w:val="20"/>
        </w:rPr>
        <w:t xml:space="preserve">(ix) (A)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 (x) 7.50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Times New Roman" w:hAnsi="Times New Roman"/>
          <w:sz w:val="20"/>
          <w:u w:val="single"/>
        </w:rPr>
        <w:t>provided</w:t>
      </w:r>
      <w:r>
        <w:rPr>
          <w:rFonts w:ascii="Times New Roman" w:hAnsi="Times New Roman"/>
          <w:sz w:val="20"/>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6.01(a)(viii)) shall not exceed, at the time of incurrence thereof and after giving Pro Forma Effect thereto, the greater of $80,000,000 and 20% of Consolidated EBITDA for the most recently ended Test Period as of such time; </w:t>
      </w:r>
    </w:p>
    <w:p>
      <w:pPr>
        <w:pStyle w:val="TextBody"/>
        <w:bidi w:val="0"/>
        <w:spacing w:before="120" w:after="0"/>
        <w:jc w:val="left"/>
        <w:rPr>
          <w:rFonts w:ascii="Times New Roman" w:hAnsi="Times New Roman"/>
          <w:sz w:val="20"/>
        </w:rPr>
      </w:pPr>
      <w:r>
        <w:rPr>
          <w:rFonts w:ascii="Times New Roman" w:hAnsi="Times New Roman"/>
          <w:sz w:val="20"/>
        </w:rPr>
        <w:t xml:space="preserve">(x)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 </w:t>
      </w:r>
    </w:p>
    <w:p>
      <w:pPr>
        <w:pStyle w:val="TextBody"/>
        <w:bidi w:val="0"/>
        <w:spacing w:before="240" w:after="0"/>
        <w:jc w:val="left"/>
        <w:rPr>
          <w:rFonts w:ascii="Times New Roman" w:hAnsi="Times New Roman"/>
          <w:sz w:val="20"/>
        </w:rPr>
      </w:pPr>
      <w:r>
        <w:rPr>
          <w:rFonts w:ascii="Times New Roman" w:hAnsi="Times New Roman"/>
          <w:sz w:val="20"/>
        </w:rPr>
        <w:t xml:space="preserve">(xi) Settlement Indebtedness; </w:t>
      </w:r>
    </w:p>
    <w:p>
      <w:pPr>
        <w:pStyle w:val="TextBody"/>
        <w:bidi w:val="0"/>
        <w:spacing w:before="120" w:after="0"/>
        <w:jc w:val="left"/>
        <w:rPr>
          <w:rFonts w:ascii="Times New Roman" w:hAnsi="Times New Roman"/>
          <w:sz w:val="20"/>
        </w:rPr>
      </w:pPr>
      <w:r>
        <w:rPr>
          <w:rFonts w:ascii="Times New Roman" w:hAnsi="Times New Roman"/>
          <w:sz w:val="20"/>
        </w:rPr>
        <w:t xml:space="preserve">(xii) 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(xiv) 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Times New Roman" w:hAnsi="Times New Roman"/>
          <w:sz w:val="20"/>
          <w:u w:val="single"/>
        </w:rPr>
        <w:t xml:space="preserve">provided </w:t>
      </w:r>
      <w:r>
        <w:rPr>
          <w:rFonts w:ascii="Times New Roman" w:hAnsi="Times New Roman"/>
          <w:sz w:val="20"/>
        </w:rPr>
        <w:t xml:space="preserve">that, at the time of the incurrence thereof and after giving Pro Forma Effect thereto, the aggregate principal amount of Indebtedness outstanding in reliance on this clause (xiv) shall not exceed the greater of (A) $191,500,000 and (B) 50% of Consolidated EBITDA for the most recently ended Test Period as of such time; </w:t>
      </w:r>
    </w:p>
    <w:p>
      <w:pPr>
        <w:pStyle w:val="TextBody"/>
        <w:bidi w:val="0"/>
        <w:spacing w:before="120" w:after="0"/>
        <w:jc w:val="left"/>
        <w:rPr>
          <w:rFonts w:ascii="Times New Roman" w:hAnsi="Times New Roman"/>
          <w:sz w:val="20"/>
        </w:rPr>
      </w:pPr>
      <w:r>
        <w:rPr>
          <w:rFonts w:ascii="Times New Roman" w:hAnsi="Times New Roman"/>
          <w:sz w:val="20"/>
        </w:rPr>
        <w:t xml:space="preserve">(xv) (A)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Times New Roman" w:hAnsi="Times New Roman"/>
          <w:sz w:val="20"/>
          <w:u w:val="single"/>
        </w:rPr>
        <w:t>provided</w:t>
      </w:r>
      <w:r>
        <w:rPr>
          <w:rFonts w:ascii="Times New Roman" w:hAnsi="Times New Roman"/>
          <w:sz w:val="20"/>
        </w:rPr>
        <w:t xml:space="preserve"> that (1) (x) if such Indebtedness is secured by the Collateral on a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Times New Roman" w:hAnsi="Times New Roman"/>
          <w:sz w:val="20"/>
          <w:u w:val="single"/>
        </w:rPr>
        <w:t>provided</w:t>
      </w:r>
      <w:r>
        <w:rPr>
          <w:rFonts w:ascii="Times New Roman" w:hAnsi="Times New Roman"/>
          <w:sz w:val="20"/>
        </w:rPr>
        <w:t xml:space="preserve"> that (i) after giving effect to such incurrence, issuance and/or assumption of such Indebtedness on a Pro Forma Basis, at the Borrowers option, the Senior Secured Net Leverage Ratio as of such time is less than or equal to either (I) 7.50 to 1.00 for the most recently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Times New Roman" w:hAnsi="Times New Roman"/>
          <w:sz w:val="20"/>
          <w:u w:val="single"/>
        </w:rPr>
        <w:t>provided</w:t>
      </w:r>
      <w:r>
        <w:rPr>
          <w:rFonts w:ascii="Times New Roman" w:hAnsi="Times New Roman"/>
          <w:sz w:val="20"/>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aggregate principal amount of Indebtedness of which the primary obligor or a guarantor is a Restricted Subsidiary that is not a Loan Party outstanding in reliance on this clause (xv) (together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 </w:t>
      </w:r>
    </w:p>
    <w:p>
      <w:pPr>
        <w:pStyle w:val="TextBody"/>
        <w:bidi w:val="0"/>
        <w:spacing w:before="120" w:after="0"/>
        <w:jc w:val="left"/>
        <w:rPr>
          <w:rFonts w:ascii="Times New Roman" w:hAnsi="Times New Roman"/>
          <w:sz w:val="20"/>
        </w:rPr>
      </w:pPr>
      <w:r>
        <w:rPr>
          <w:rFonts w:ascii="Times New Roman" w:hAnsi="Times New Roman"/>
          <w:sz w:val="20"/>
        </w:rPr>
        <w:t xml:space="preserve">(xvi) 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Times New Roman" w:hAnsi="Times New Roman"/>
          <w:sz w:val="20"/>
          <w:u w:val="single"/>
        </w:rPr>
        <w:t>provided further</w:t>
      </w:r>
      <w:r>
        <w:rPr>
          <w:rFonts w:ascii="Times New Roman" w:hAnsi="Times New Roman"/>
          <w:sz w:val="20"/>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 </w:t>
      </w:r>
    </w:p>
    <w:p>
      <w:pPr>
        <w:pStyle w:val="TextBody"/>
        <w:bidi w:val="0"/>
        <w:spacing w:before="120" w:after="0"/>
        <w:jc w:val="left"/>
        <w:rPr>
          <w:rFonts w:ascii="Times New Roman" w:hAnsi="Times New Roman"/>
          <w:sz w:val="20"/>
        </w:rPr>
      </w:pPr>
      <w:r>
        <w:rPr>
          <w:rFonts w:ascii="Times New Roman" w:hAnsi="Times New Roman"/>
          <w:sz w:val="20"/>
        </w:rPr>
        <w:t xml:space="preserve">(xvii) Indebtedness consisting of (A) the financing of insurance premiums or (B) take-or-pay obligations contained in supply arrangements, in each case,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Indebtedness supported by a Letter of Credit, in a principal amount not to exceed the face amount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(xix) Permitted Unsecured Refinancing Debt, and any Permitted Refinancing thereof; </w:t>
      </w:r>
    </w:p>
    <w:p>
      <w:pPr>
        <w:pStyle w:val="TextBody"/>
        <w:bidi w:val="0"/>
        <w:spacing w:before="120" w:after="0"/>
        <w:jc w:val="left"/>
        <w:rPr>
          <w:rFonts w:ascii="Times New Roman" w:hAnsi="Times New Roman"/>
          <w:sz w:val="20"/>
        </w:rPr>
      </w:pPr>
      <w:r>
        <w:rPr>
          <w:rFonts w:ascii="Times New Roman" w:hAnsi="Times New Roman"/>
          <w:sz w:val="20"/>
        </w:rPr>
        <w:t xml:space="preserve">(xx) Permitted First Priority Refinancing Debt and Permitted Second Priority Refinancing Debt, and any Permitted Refinancing of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(xxi) (A)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Times New Roman" w:hAnsi="Times New Roman"/>
          <w:sz w:val="20"/>
          <w:u w:val="single"/>
        </w:rPr>
        <w:t>First Lien Incremental Equivalent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hAnsi="Times New Roman"/>
          <w:sz w:val="20"/>
          <w:u w:val="single"/>
        </w:rPr>
        <w:t>provided</w:t>
      </w:r>
      <w:r>
        <w:rPr>
          <w:rFonts w:ascii="Times New Roman" w:hAnsi="Times New Roman"/>
          <w:sz w:val="20"/>
        </w:rPr>
        <w:t xml:space="preserve"> 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Times New Roman" w:hAnsi="Times New Roman"/>
          <w:sz w:val="20"/>
          <w:u w:val="single"/>
        </w:rPr>
        <w:t>provided</w:t>
      </w:r>
      <w:r>
        <w:rPr>
          <w:rFonts w:ascii="Times New Roman" w:hAnsi="Times New Roman"/>
          <w:sz w:val="20"/>
        </w:rPr>
        <w:t xml:space="preserve">, that the condition in clause (z) of the definition of Required Additional Debt Terms shall not apply to any First Lien Incremental Equivalent Debt in the form of an ABL Facility; </w:t>
      </w:r>
    </w:p>
    <w:p>
      <w:pPr>
        <w:pStyle w:val="TextBody"/>
        <w:bidi w:val="0"/>
        <w:spacing w:before="120" w:after="0"/>
        <w:jc w:val="left"/>
        <w:rPr>
          <w:rFonts w:ascii="Times New Roman" w:hAnsi="Times New Roman"/>
          <w:sz w:val="20"/>
        </w:rPr>
      </w:pPr>
      <w:r>
        <w:rPr>
          <w:rFonts w:ascii="Times New Roman" w:hAnsi="Times New Roman"/>
          <w:sz w:val="20"/>
        </w:rPr>
        <w:t xml:space="preserve">(xxii) Indebtedness of any Restricted Subsidiary that is not a Loan Party; </w:t>
      </w:r>
      <w:r>
        <w:rPr>
          <w:rFonts w:ascii="Times New Roman" w:hAnsi="Times New Roman"/>
          <w:sz w:val="20"/>
          <w:u w:val="single"/>
        </w:rPr>
        <w:t>provided</w:t>
      </w:r>
      <w:r>
        <w:rPr>
          <w:rFonts w:ascii="Times New Roman" w:hAnsi="Times New Roman"/>
          <w:sz w:val="20"/>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$40,000,000 and (B) 10% of Consolidated EBITDA for the most recently ended Test Period as of such time; </w:t>
      </w:r>
    </w:p>
    <w:p>
      <w:pPr>
        <w:pStyle w:val="TextBody"/>
        <w:bidi w:val="0"/>
        <w:spacing w:before="120" w:after="0"/>
        <w:jc w:val="left"/>
        <w:rPr>
          <w:rFonts w:ascii="Times New Roman" w:hAnsi="Times New Roman"/>
          <w:sz w:val="20"/>
        </w:rPr>
      </w:pPr>
      <w:r>
        <w:rPr>
          <w:rFonts w:ascii="Times New Roman" w:hAnsi="Times New Roman"/>
          <w:sz w:val="20"/>
        </w:rPr>
        <w:t xml:space="preserve">(xxiii) 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 </w:t>
      </w:r>
    </w:p>
    <w:p>
      <w:pPr>
        <w:pStyle w:val="TextBody"/>
        <w:bidi w:val="0"/>
        <w:spacing w:before="120" w:after="0"/>
        <w:jc w:val="left"/>
        <w:rPr>
          <w:rFonts w:ascii="Times New Roman" w:hAnsi="Times New Roman"/>
          <w:sz w:val="20"/>
        </w:rPr>
      </w:pPr>
      <w:r>
        <w:rPr>
          <w:rFonts w:ascii="Times New Roman" w:hAnsi="Times New Roman"/>
          <w:sz w:val="20"/>
        </w:rPr>
        <w:t xml:space="preserve">(xxiv) 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(xxv) 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(xxvi) 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 </w:t>
      </w:r>
    </w:p>
    <w:p>
      <w:pPr>
        <w:pStyle w:val="TextBody"/>
        <w:bidi w:val="0"/>
        <w:spacing w:before="120" w:after="0"/>
        <w:jc w:val="left"/>
        <w:rPr>
          <w:rFonts w:ascii="Times New Roman" w:hAnsi="Times New Roman"/>
          <w:sz w:val="20"/>
        </w:rPr>
      </w:pPr>
      <w:r>
        <w:rPr>
          <w:rFonts w:ascii="Times New Roman" w:hAnsi="Times New Roman"/>
          <w:sz w:val="20"/>
        </w:rPr>
        <w:t xml:space="preserve">(xxvii) Indebtedness incurred in connection with a Qualified Securitization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(xxviii) Indebtedness consisting of Permitted Second Priority Debt any Permitted Refinancing; </w:t>
      </w:r>
      <w:r>
        <w:rPr>
          <w:rFonts w:ascii="Times New Roman" w:hAnsi="Times New Roman"/>
          <w:sz w:val="20"/>
          <w:u w:val="single"/>
        </w:rPr>
        <w:t>provided</w:t>
      </w:r>
      <w:r>
        <w:rPr>
          <w:rFonts w:ascii="Times New Roman" w:hAnsi="Times New Roman"/>
          <w:sz w:val="20"/>
        </w:rPr>
        <w:t xml:space="preserve"> that such Indebtedness is subject to the First/Second Lien Intercreditor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(xxix) all premiums (if any), interest (including post-petition interest), fees, expenses, charges and additional or contingent interest on obligations described in clauses (i) through (xxix) above.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Times New Roman" w:hAnsi="Times New Roman"/>
          <w:sz w:val="20"/>
          <w:u w:val="single"/>
        </w:rPr>
        <w:t>provided</w:t>
      </w:r>
      <w:r>
        <w:rPr>
          <w:rFonts w:ascii="Times New Roman" w:hAnsi="Times New Roman"/>
          <w:sz w:val="20"/>
        </w:rPr>
        <w:t xml:space="preserve"> that in the case of this clause (y) any such issuance of preferred Equity Interests shall be deemed to be incurred Indebtedness and subject to the provisions set forth in Section 6.01(a) and (b).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hAnsi="Times New Roman"/>
          <w:sz w:val="20"/>
          <w:u w:val="single"/>
        </w:rPr>
        <w:t>provided</w:t>
      </w:r>
      <w:r>
        <w:rPr>
          <w:rFonts w:ascii="Times New Roman" w:hAnsi="Times New Roman"/>
          <w:sz w:val="20"/>
        </w:rPr>
        <w:t xml:space="preserve"> that all Indebtedness outstanding under the First Lien Loan Documents will be deemed to have been incurred in reliance only on the exception in clause (a)(i).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herein, the Borrower shall not be permitted to incur Indebtedness if (x) the Liens on Collateral securing such Indebtedness are junior to the Liens on Collateral securing the First Lien Loan Document Obligations but senior to the Liens on such Collateral securing the Second Lien Debt Document Obligations or (y) the priority of payments on such Indebtedness is junior and subordinate to the First Lien Loan Document Obligations but senior in priority of payment to the Second Lien Debt Document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not, and will not permit any Restricted Subsidiary to, create, incur, assume or permit to exist any Lien on any property or asset now owned (but not leased) or hereafter acquired (but not leased) by it, except: </w:t>
      </w:r>
    </w:p>
    <w:p>
      <w:pPr>
        <w:pStyle w:val="TextBody"/>
        <w:bidi w:val="0"/>
        <w:spacing w:before="120" w:after="0"/>
        <w:jc w:val="left"/>
        <w:rPr>
          <w:rFonts w:ascii="Times New Roman" w:hAnsi="Times New Roman"/>
          <w:sz w:val="20"/>
        </w:rPr>
      </w:pPr>
      <w:r>
        <w:rPr>
          <w:rFonts w:ascii="Times New Roman" w:hAnsi="Times New Roman"/>
          <w:sz w:val="20"/>
        </w:rPr>
        <w:t xml:space="preserve">(i) Liens created under the First Lien Loan Documents and the Second Lien Debt Documents; </w:t>
      </w:r>
    </w:p>
    <w:p>
      <w:pPr>
        <w:pStyle w:val="TextBody"/>
        <w:bidi w:val="0"/>
        <w:spacing w:before="120" w:after="0"/>
        <w:jc w:val="left"/>
        <w:rPr>
          <w:rFonts w:ascii="Times New Roman" w:hAnsi="Times New Roman"/>
          <w:sz w:val="20"/>
        </w:rPr>
      </w:pPr>
      <w:r>
        <w:rPr>
          <w:rFonts w:ascii="Times New Roman" w:hAnsi="Times New Roman"/>
          <w:sz w:val="20"/>
        </w:rPr>
        <w:t xml:space="preserve">(ii)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(iii) Liens existing on the Effective Date; </w:t>
      </w:r>
      <w:r>
        <w:rPr>
          <w:rFonts w:ascii="Times New Roman" w:hAnsi="Times New Roman"/>
          <w:sz w:val="20"/>
          <w:u w:val="single"/>
        </w:rPr>
        <w:t>provided</w:t>
      </w:r>
      <w:r>
        <w:rPr>
          <w:rFonts w:ascii="Times New Roman" w:hAnsi="Times New Roman"/>
          <w:sz w:val="20"/>
        </w:rPr>
        <w:t xml:space="preserve"> that any Lien securing Indebtedness or other obligations in excess of $1,000,000 individually shall only be permitted if set forth on Schedule 6.02 (unless such Lien is permitted by another clause in this Section 6.02) and any modifications, replacements, renewals or extensions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 </w:t>
      </w:r>
    </w:p>
    <w:p>
      <w:pPr>
        <w:pStyle w:val="TextBody"/>
        <w:bidi w:val="0"/>
        <w:spacing w:before="120" w:after="0"/>
        <w:jc w:val="left"/>
        <w:rPr>
          <w:rFonts w:ascii="Times New Roman" w:hAnsi="Times New Roman"/>
          <w:sz w:val="20"/>
        </w:rPr>
      </w:pPr>
      <w:r>
        <w:rPr>
          <w:rFonts w:ascii="Times New Roman" w:hAnsi="Times New Roman"/>
          <w:sz w:val="20"/>
        </w:rPr>
        <w:t xml:space="preserve">(iv) Liens securing Indebtedness permitted under Section 6.01(a)(v); </w:t>
      </w:r>
      <w:r>
        <w:rPr>
          <w:rFonts w:ascii="Times New Roman" w:hAnsi="Times New Roman"/>
          <w:sz w:val="20"/>
          <w:u w:val="single"/>
        </w:rPr>
        <w:t>provided</w:t>
      </w:r>
      <w:r>
        <w:rPr>
          <w:rFonts w:ascii="Times New Roman" w:hAnsi="Times New Roman"/>
          <w:sz w:val="20"/>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hAnsi="Times New Roman"/>
          <w:sz w:val="20"/>
          <w:u w:val="single"/>
        </w:rPr>
        <w:t>provided further</w:t>
      </w:r>
      <w:r>
        <w:rPr>
          <w:rFonts w:ascii="Times New Roman" w:hAnsi="Times New Roman"/>
          <w:sz w:val="20"/>
        </w:rPr>
        <w:t xml:space="preserve"> that individual financings of equipment provided by one lender may be cross collateralized to other financings of equipment provided by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 Liens in favor of customs and revenue authorities arising as a matter of law to secure payment of customs duties in connection with the importation of goods; </w:t>
      </w:r>
    </w:p>
    <w:p>
      <w:pPr>
        <w:pStyle w:val="TextBody"/>
        <w:bidi w:val="0"/>
        <w:spacing w:before="120" w:after="0"/>
        <w:jc w:val="left"/>
        <w:rPr>
          <w:rFonts w:ascii="Times New Roman" w:hAnsi="Times New Roman"/>
          <w:sz w:val="20"/>
        </w:rPr>
      </w:pPr>
      <w:r>
        <w:rPr>
          <w:rFonts w:ascii="Times New Roman" w:hAnsi="Times New Roman"/>
          <w:sz w:val="20"/>
        </w:rPr>
        <w:t xml:space="preserve">(vii) 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 </w:t>
      </w:r>
    </w:p>
    <w:p>
      <w:pPr>
        <w:pStyle w:val="TextBody"/>
        <w:bidi w:val="0"/>
        <w:spacing w:before="120" w:after="0"/>
        <w:jc w:val="left"/>
        <w:rPr>
          <w:rFonts w:ascii="Times New Roman" w:hAnsi="Times New Roman"/>
          <w:sz w:val="20"/>
        </w:rPr>
      </w:pPr>
      <w:r>
        <w:rPr>
          <w:rFonts w:ascii="Times New Roman" w:hAnsi="Times New Roman"/>
          <w:sz w:val="20"/>
        </w:rPr>
        <w:t xml:space="preserve">(viii) 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 </w:t>
      </w:r>
    </w:p>
    <w:p>
      <w:pPr>
        <w:pStyle w:val="TextBody"/>
        <w:bidi w:val="0"/>
        <w:spacing w:before="120" w:after="0"/>
        <w:jc w:val="left"/>
        <w:rPr>
          <w:rFonts w:ascii="Times New Roman" w:hAnsi="Times New Roman"/>
          <w:sz w:val="20"/>
        </w:rPr>
      </w:pPr>
      <w:r>
        <w:rPr>
          <w:rFonts w:ascii="Times New Roman" w:hAnsi="Times New Roman"/>
          <w:sz w:val="20"/>
        </w:rPr>
        <w:t xml:space="preserve">(ix) Liens on property or other assets of any Restricted Subsidiary that is not a Loan Party, which Liens secure Indebtedness of such Restricted Subsidiary or another Restricted Subsidiary that is not a Loan Party, in each case permitted under Section 6.01(a); </w:t>
      </w:r>
    </w:p>
    <w:p>
      <w:pPr>
        <w:pStyle w:val="TextBody"/>
        <w:bidi w:val="0"/>
        <w:spacing w:before="120" w:after="0"/>
        <w:jc w:val="left"/>
        <w:rPr>
          <w:rFonts w:ascii="Times New Roman" w:hAnsi="Times New Roman"/>
          <w:sz w:val="20"/>
        </w:rPr>
      </w:pPr>
      <w:r>
        <w:rPr>
          <w:rFonts w:ascii="Times New Roman" w:hAnsi="Times New Roman"/>
          <w:sz w:val="20"/>
        </w:rPr>
        <w:t xml:space="preserve">(x) Liens granted by a Restricted Subsidiary that is not a Loan Party in favor of any Restricted Subsidiary and Liens granted by a Loan Party in favor of any other Loan Party; </w:t>
      </w:r>
    </w:p>
    <w:p>
      <w:pPr>
        <w:pStyle w:val="TextBody"/>
        <w:bidi w:val="0"/>
        <w:spacing w:before="120" w:after="0"/>
        <w:jc w:val="left"/>
        <w:rPr>
          <w:rFonts w:ascii="Times New Roman" w:hAnsi="Times New Roman"/>
          <w:sz w:val="20"/>
        </w:rPr>
      </w:pPr>
      <w:r>
        <w:rPr>
          <w:rFonts w:ascii="Times New Roman" w:hAnsi="Times New Roman"/>
          <w:sz w:val="20"/>
        </w:rPr>
        <w:t xml:space="preserve">(xi) 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Times New Roman" w:hAnsi="Times New Roman"/>
          <w:sz w:val="20"/>
          <w:u w:val="single"/>
        </w:rPr>
        <w:t>provided</w:t>
      </w:r>
      <w:r>
        <w:rPr>
          <w:rFonts w:ascii="Times New Roman" w:hAnsi="Times New Roman"/>
          <w:sz w:val="20"/>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(xii) 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 </w:t>
      </w:r>
    </w:p>
    <w:p>
      <w:pPr>
        <w:pStyle w:val="TextBody"/>
        <w:bidi w:val="0"/>
        <w:spacing w:before="120" w:after="0"/>
        <w:jc w:val="left"/>
        <w:rPr>
          <w:rFonts w:ascii="Times New Roman" w:hAnsi="Times New Roman"/>
          <w:sz w:val="20"/>
        </w:rPr>
      </w:pPr>
      <w:r>
        <w:rPr>
          <w:rFonts w:ascii="Times New Roman" w:hAnsi="Times New Roman"/>
          <w:sz w:val="20"/>
        </w:rPr>
        <w:t xml:space="preserve">(xiii) Liens arising out of conditional sale, title retention, consignment or similar arrangements for sale or purchase of goods by any of the Borrower or any Restricted Subsidiary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Liens deemed to exist in connection with Investments in repurchase agreements under clause (e) of the definition of the term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(xv)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(xvi) 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 ground leases in respect of real property on which facilities owned or leased by the Borrower or any of the Restricted Subsidiaries are located; </w:t>
      </w:r>
    </w:p>
    <w:p>
      <w:pPr>
        <w:pStyle w:val="TextBody"/>
        <w:bidi w:val="0"/>
        <w:spacing w:before="120" w:after="0"/>
        <w:jc w:val="left"/>
        <w:rPr>
          <w:rFonts w:ascii="Times New Roman" w:hAnsi="Times New Roman"/>
          <w:sz w:val="20"/>
        </w:rPr>
      </w:pPr>
      <w:r>
        <w:rPr>
          <w:rFonts w:ascii="Times New Roman" w:hAnsi="Times New Roman"/>
          <w:sz w:val="20"/>
        </w:rPr>
        <w:t xml:space="preserve">(xviii) Liens on insurance policies and the proceeds thereof securing the financing of the premiums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(xix) Liens securing Indebtedness permitted under Section 6.01(a)(xxii) or 6.01(a)(xxiii); </w:t>
      </w:r>
    </w:p>
    <w:p>
      <w:pPr>
        <w:pStyle w:val="TextBody"/>
        <w:bidi w:val="0"/>
        <w:spacing w:before="120" w:after="0"/>
        <w:jc w:val="left"/>
        <w:rPr>
          <w:rFonts w:ascii="Times New Roman" w:hAnsi="Times New Roman"/>
          <w:sz w:val="20"/>
        </w:rPr>
      </w:pPr>
      <w:r>
        <w:rPr>
          <w:rFonts w:ascii="Times New Roman" w:hAnsi="Times New Roman"/>
          <w:sz w:val="20"/>
        </w:rPr>
        <w:t xml:space="preserve">(xx) Liens securing Indebtedness on real property other than Material Real Property (except as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(xxi) Settlement Liens; </w:t>
      </w:r>
    </w:p>
    <w:p>
      <w:pPr>
        <w:pStyle w:val="TextBody"/>
        <w:bidi w:val="0"/>
        <w:spacing w:before="120" w:after="0"/>
        <w:jc w:val="left"/>
        <w:rPr>
          <w:rFonts w:ascii="Times New Roman" w:hAnsi="Times New Roman"/>
          <w:sz w:val="20"/>
        </w:rPr>
      </w:pPr>
      <w:r>
        <w:rPr>
          <w:rFonts w:ascii="Times New Roman" w:hAnsi="Times New Roman"/>
          <w:sz w:val="20"/>
        </w:rPr>
        <w:t xml:space="preserve">(xxii) Liens securing Indebtedness permitted under Section 6.01(a)(vii), (viii), (xv) or (xviii) (provided any such Liens on Collateral shall be subject to First/Second Lien Intercreditor Agreement and/or Customary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(xxiii) [Reserved]; </w:t>
      </w:r>
    </w:p>
    <w:p>
      <w:pPr>
        <w:pStyle w:val="TextBody"/>
        <w:bidi w:val="0"/>
        <w:spacing w:before="120" w:after="0"/>
        <w:jc w:val="left"/>
        <w:rPr>
          <w:rFonts w:ascii="Times New Roman" w:hAnsi="Times New Roman"/>
          <w:sz w:val="20"/>
        </w:rPr>
      </w:pPr>
      <w:r>
        <w:rPr>
          <w:rFonts w:ascii="Times New Roman" w:hAnsi="Times New Roman"/>
          <w:sz w:val="20"/>
        </w:rPr>
        <w:t xml:space="preserve">(xxiv) Liens on cash and Permitted Investments used to satisfy or discharge Indebtedness; </w:t>
      </w:r>
      <w:r>
        <w:rPr>
          <w:rFonts w:ascii="Times New Roman" w:hAnsi="Times New Roman"/>
          <w:sz w:val="20"/>
          <w:u w:val="single"/>
        </w:rPr>
        <w:t>provided</w:t>
      </w:r>
      <w:r>
        <w:rPr>
          <w:rFonts w:ascii="Times New Roman" w:hAnsi="Times New Roman"/>
          <w:sz w:val="20"/>
        </w:rPr>
        <w:t xml:space="preserve"> such satisfaction or discharge is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(xxv) Receipt of progress payments and advances from customers in the ordinary course of business to the extent the same creates a Lien on the related inventory and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(xxvi) Liens on Equity Interests of any joint venture (a) securing obligations of such joint venture or (b) pursuant to the relevant joint venture agreement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(xxvii) Liens on cash or Permitted Investments securing Swap Agreements in the ordinary course of business submitted for clearing in accordance with applicable Requirements of Law; </w:t>
      </w:r>
      <w:r>
        <w:rPr>
          <w:rFonts w:ascii="Times New Roman" w:hAnsi="Times New Roman"/>
          <w:sz w:val="20"/>
          <w:u w:val="single"/>
        </w:rPr>
        <w:t>provided</w:t>
      </w:r>
      <w:r>
        <w:rPr>
          <w:rFonts w:ascii="Times New Roman" w:hAnsi="Times New Roman"/>
          <w:sz w:val="20"/>
        </w:rPr>
        <w:t xml:space="preserve"> that the aggregate outstanding amount of obligations secured by Liens existing in reliance on this clause (xxvii) shall not exceed $30,000,000; </w:t>
      </w:r>
    </w:p>
    <w:p>
      <w:pPr>
        <w:pStyle w:val="TextBody"/>
        <w:bidi w:val="0"/>
        <w:spacing w:before="120" w:after="0"/>
        <w:jc w:val="left"/>
        <w:rPr>
          <w:rFonts w:ascii="Times New Roman" w:hAnsi="Times New Roman"/>
          <w:sz w:val="20"/>
        </w:rPr>
      </w:pPr>
      <w:r>
        <w:rPr>
          <w:rFonts w:ascii="Times New Roman" w:hAnsi="Times New Roman"/>
          <w:sz w:val="20"/>
        </w:rPr>
        <w:t xml:space="preserve">(xxviii) other Liens; </w:t>
      </w:r>
      <w:r>
        <w:rPr>
          <w:rFonts w:ascii="Times New Roman" w:hAnsi="Times New Roman"/>
          <w:sz w:val="20"/>
          <w:u w:val="single"/>
        </w:rPr>
        <w:t>provided</w:t>
      </w:r>
      <w:r>
        <w:rPr>
          <w:rFonts w:ascii="Times New Roman" w:hAnsi="Times New Roman"/>
          <w:sz w:val="20"/>
        </w:rPr>
        <w:t xml:space="preserve"> that, at the time of the granting thereof and after giving Pro Forma Effect thereto, the aggregate amount of obligations secured by all Liens incurred in reliance on this clause (xxviii) shall not exceed the greater of (A) $80,000,000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Liens under this clause (xxviii) shall encumber any Material Real Property (except as required by this Agreement);and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(xxix) Liens on accounts receivable, Securitization Assets and related assets incurred in connection with a Qualified Securitization Facility.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 Holdings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 </w:t>
      </w:r>
    </w:p>
    <w:p>
      <w:pPr>
        <w:pStyle w:val="TextBody"/>
        <w:bidi w:val="0"/>
        <w:spacing w:before="120" w:after="0"/>
        <w:jc w:val="left"/>
        <w:rPr>
          <w:rFonts w:ascii="Times New Roman" w:hAnsi="Times New Roman"/>
          <w:sz w:val="20"/>
        </w:rPr>
      </w:pPr>
      <w:r>
        <w:rPr>
          <w:rFonts w:ascii="Times New Roman" w:hAnsi="Times New Roman"/>
          <w:sz w:val="20"/>
        </w:rPr>
        <w:t xml:space="preserve">(i) any Restricted Subsidiary may merge, amalgamate or consolidate with (A) the Borrower; </w:t>
      </w:r>
      <w:r>
        <w:rPr>
          <w:rFonts w:ascii="Times New Roman" w:hAnsi="Times New Roman"/>
          <w:sz w:val="20"/>
          <w:u w:val="single"/>
        </w:rPr>
        <w:t>provided</w:t>
      </w:r>
      <w:r>
        <w:rPr>
          <w:rFonts w:ascii="Times New Roman" w:hAnsi="Times New Roman"/>
          <w:sz w:val="20"/>
        </w:rPr>
        <w:t xml:space="preserve"> that the Borrower shall be the continuing or surviving Person, or (B) any one or more 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 </w:t>
      </w:r>
    </w:p>
    <w:p>
      <w:pPr>
        <w:pStyle w:val="TextBody"/>
        <w:bidi w:val="0"/>
        <w:spacing w:before="120" w:after="0"/>
        <w:jc w:val="left"/>
        <w:rPr>
          <w:rFonts w:ascii="Times New Roman" w:hAnsi="Times New Roman"/>
          <w:sz w:val="20"/>
        </w:rPr>
      </w:pPr>
      <w:r>
        <w:rPr>
          <w:rFonts w:ascii="Times New Roman" w:hAnsi="Times New Roman"/>
          <w:sz w:val="20"/>
        </w:rPr>
        <w:t xml:space="preserve">(ii) (A)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(iii) any Restricted Subsidiary may make a Disposition of all or substantially all of its assets (upon voluntary liquidation or otherwise) to the Borrower or another Restricted Subsidiary; </w:t>
      </w:r>
      <w:r>
        <w:rPr>
          <w:rFonts w:ascii="Times New Roman" w:hAnsi="Times New Roman"/>
          <w:sz w:val="20"/>
          <w:u w:val="single"/>
        </w:rPr>
        <w:t>provided</w:t>
      </w:r>
      <w:r>
        <w:rPr>
          <w:rFonts w:ascii="Times New Roman" w:hAnsi="Times New Roman"/>
          <w:sz w:val="20"/>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may merge, amalgamate or consolidate with (or Dispose of all or substantially all of its assets to) any other Person; </w:t>
      </w:r>
      <w:r>
        <w:rPr>
          <w:rFonts w:ascii="Times New Roman" w:hAnsi="Times New Roman"/>
          <w:sz w:val="20"/>
          <w:u w:val="single"/>
        </w:rPr>
        <w:t>provided</w:t>
      </w:r>
      <w:r>
        <w:rPr>
          <w:rFonts w:ascii="Times New Roman" w:hAnsi="Times New Roman"/>
          <w:sz w:val="20"/>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Times New Roman" w:hAnsi="Times New Roman"/>
          <w:sz w:val="20"/>
          <w:u w:val="single"/>
        </w:rPr>
        <w:t>Successor Borrower</w:t>
      </w:r>
      <w:r>
        <w:rPr>
          <w:rFonts w:ascii="Times New Roman" w:hAnsi="Times New Roman"/>
          <w:sz w:val="20"/>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know your customer and anti-money laundering rules and regulations, including Title III of the USA PATRIOT Act (</w:t>
      </w:r>
      <w:r>
        <w:rPr>
          <w:rFonts w:ascii="Times New Roman" w:hAnsi="Times New Roman"/>
          <w:sz w:val="20"/>
          <w:u w:val="single"/>
        </w:rPr>
        <w:t>provided</w:t>
      </w:r>
      <w:r>
        <w:rPr>
          <w:rFonts w:ascii="Times New Roman" w:hAnsi="Times New Roman"/>
          <w:sz w:val="20"/>
        </w:rPr>
        <w:t xml:space="preserve">,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(v) any Restricted Subsidiary may merge, consolidate or amalgamate with any other Person in order to effect an Investment permitted pursuant to Section 6.04; </w:t>
      </w:r>
      <w:r>
        <w:rPr>
          <w:rFonts w:ascii="Times New Roman" w:hAnsi="Times New Roman"/>
          <w:sz w:val="20"/>
          <w:u w:val="single"/>
        </w:rPr>
        <w:t>provided</w:t>
      </w:r>
      <w:r>
        <w:rPr>
          <w:rFonts w:ascii="Times New Roman" w:hAnsi="Times New Roman"/>
          <w:sz w:val="20"/>
        </w:rPr>
        <w:t xml:space="preserve"> that the continuing or surviving Person shall be the Borrower or a Restricted Subsidiary, which together with each of the Restricted Subsidiaries, shall have complied with the requirements of Sections 5.11 and 5.12; </w:t>
      </w:r>
    </w:p>
    <w:p>
      <w:pPr>
        <w:pStyle w:val="TextBody"/>
        <w:bidi w:val="0"/>
        <w:spacing w:before="120" w:after="0"/>
        <w:jc w:val="left"/>
        <w:rPr>
          <w:rFonts w:ascii="Times New Roman" w:hAnsi="Times New Roman"/>
          <w:sz w:val="20"/>
        </w:rPr>
      </w:pPr>
      <w:r>
        <w:rPr>
          <w:rFonts w:ascii="Times New Roman" w:hAnsi="Times New Roman"/>
          <w:sz w:val="20"/>
        </w:rPr>
        <w:t xml:space="preserve">(vi) [reserved]; and </w:t>
      </w:r>
    </w:p>
    <w:p>
      <w:pPr>
        <w:pStyle w:val="TextBody"/>
        <w:bidi w:val="0"/>
        <w:spacing w:before="120" w:after="0"/>
        <w:jc w:val="left"/>
        <w:rPr>
          <w:rFonts w:ascii="Times New Roman" w:hAnsi="Times New Roman"/>
          <w:sz w:val="20"/>
        </w:rPr>
      </w:pPr>
      <w:r>
        <w:rPr>
          <w:rFonts w:ascii="Times New Roman" w:hAnsi="Times New Roman"/>
          <w:sz w:val="20"/>
        </w:rPr>
        <w:t xml:space="preserve">(vii) any Restricted Subsidiary may effect a merger, amalgamation, dissolution, liquidation consolidation or amalgamation to effect a Disposition permitted pursuant to Section 6.05. </w:t>
      </w:r>
    </w:p>
    <w:p>
      <w:pPr>
        <w:pStyle w:val="TextBody"/>
        <w:bidi w:val="0"/>
        <w:spacing w:before="120" w:after="0"/>
        <w:jc w:val="left"/>
        <w:rPr>
          <w:rFonts w:ascii="Times New Roman" w:hAnsi="Times New Roman"/>
          <w:sz w:val="20"/>
        </w:rPr>
      </w:pPr>
      <w:r>
        <w:rPr>
          <w:rFonts w:ascii="Times New Roman" w:hAnsi="Times New Roman"/>
          <w:sz w:val="20"/>
        </w:rPr>
        <w:t xml:space="preserve">(b) 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Second Lien Debt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(c) 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Investments, Loans, Advances, Guarantees and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not, and will not permit any Restricted Subsidiary to, make or hold any Investment, except: </w:t>
      </w:r>
    </w:p>
    <w:p>
      <w:pPr>
        <w:pStyle w:val="TextBody"/>
        <w:bidi w:val="0"/>
        <w:spacing w:before="120" w:after="0"/>
        <w:jc w:val="left"/>
        <w:rPr>
          <w:rFonts w:ascii="Times New Roman" w:hAnsi="Times New Roman"/>
          <w:sz w:val="20"/>
        </w:rPr>
      </w:pPr>
      <w:r>
        <w:rPr>
          <w:rFonts w:ascii="Times New Roman" w:hAnsi="Times New Roman"/>
          <w:sz w:val="20"/>
        </w:rPr>
        <w:t xml:space="preserve">(a) Permitted Investments at the time such Permitted Investment is made and purchases of assets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(b) loans or advances to officers, members of the Board of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hAnsi="Times New Roman"/>
          <w:sz w:val="20"/>
          <w:u w:val="single"/>
        </w:rPr>
        <w:t>provided</w:t>
      </w:r>
      <w:r>
        <w:rPr>
          <w:rFonts w:ascii="Times New Roman" w:hAnsi="Times New Roman"/>
          <w:sz w:val="20"/>
        </w:rPr>
        <w:t xml:space="preserve"> that the amount of such loans and advances made in cash to such Person shall be contributed to the Borrower in cash as common equity or Qualified Equity Interests) and (iii) for purposes not described in the foregoing clauses (i) and (ii), in an aggregate principal amount outstanding under this clause (iii) at any time not to exceed $30,000,000;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Investments by the Borrower in any Restricted Subsidiary and Investments by any Restricted Subsidiary in the Borrower or any other Restricted Subsidiary; </w:t>
      </w:r>
      <w:r>
        <w:rPr>
          <w:rFonts w:ascii="Times New Roman" w:hAnsi="Times New Roman"/>
          <w:sz w:val="20"/>
          <w:u w:val="single"/>
        </w:rPr>
        <w:t>provided</w:t>
      </w:r>
      <w:r>
        <w:rPr>
          <w:rFonts w:ascii="Times New Roman" w:hAnsi="Times New Roman"/>
          <w:sz w:val="20"/>
        </w:rPr>
        <w:t xml:space="preserve"> that, in the case of any Investment by a Loan Party in a Restricted Subsidiary that is not a Loan Party, no Event of Default shall have occurred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(d) Investments consisting of extensions of trade credit and accommodation guarantees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Investments (i) existing or contemplated on the Effective Date and set forth on Schedule 6.04 and any modification, replacement, renewal, reinvestment or extension thereof and (ii) Investments existing on the Effective Date by the Borrower or any Restricted Subsidiary in the Borrower or any Restricted Subsidiary and any modification, renewal or extension thereof; </w:t>
      </w:r>
      <w:r>
        <w:rPr>
          <w:rFonts w:ascii="Times New Roman" w:hAnsi="Times New Roman"/>
          <w:sz w:val="20"/>
          <w:u w:val="single"/>
        </w:rPr>
        <w:t>provided</w:t>
      </w:r>
      <w:r>
        <w:rPr>
          <w:rFonts w:ascii="Times New Roman" w:hAnsi="Times New Roman"/>
          <w:sz w:val="20"/>
        </w:rPr>
        <w:t xml:space="preserve"> that the amount of the original Investment is not increased except by the terms of such Investment to the extent as set forth on Schedule 6.04 or as otherwise permitted by this Section 6.04; </w:t>
      </w:r>
    </w:p>
    <w:p>
      <w:pPr>
        <w:pStyle w:val="TextBody"/>
        <w:bidi w:val="0"/>
        <w:spacing w:before="120" w:after="0"/>
        <w:jc w:val="left"/>
        <w:rPr>
          <w:rFonts w:ascii="Times New Roman" w:hAnsi="Times New Roman"/>
          <w:sz w:val="20"/>
        </w:rPr>
      </w:pPr>
      <w:r>
        <w:rPr>
          <w:rFonts w:ascii="Times New Roman" w:hAnsi="Times New Roman"/>
          <w:sz w:val="20"/>
        </w:rPr>
        <w:t xml:space="preserve">(f) Investments in Swap Agreements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(g) promissory notes and other non-cash consideration received in connection with Dispositions permitted by Section 6.05; </w:t>
      </w:r>
    </w:p>
    <w:p>
      <w:pPr>
        <w:pStyle w:val="TextBody"/>
        <w:bidi w:val="0"/>
        <w:spacing w:before="120" w:after="0"/>
        <w:jc w:val="left"/>
        <w:rPr>
          <w:rFonts w:ascii="Times New Roman" w:hAnsi="Times New Roman"/>
          <w:sz w:val="20"/>
        </w:rPr>
      </w:pPr>
      <w:r>
        <w:rPr>
          <w:rFonts w:ascii="Times New Roman" w:hAnsi="Times New Roman"/>
          <w:sz w:val="20"/>
        </w:rPr>
        <w:t xml:space="preserve">(h) Permitted Acquisitions; </w:t>
      </w:r>
    </w:p>
    <w:p>
      <w:pPr>
        <w:pStyle w:val="TextBody"/>
        <w:bidi w:val="0"/>
        <w:spacing w:before="120" w:after="0"/>
        <w:jc w:val="left"/>
        <w:rPr>
          <w:rFonts w:ascii="Times New Roman" w:hAnsi="Times New Roman"/>
          <w:sz w:val="20"/>
        </w:rPr>
      </w:pPr>
      <w:r>
        <w:rPr>
          <w:rFonts w:ascii="Times New Roman" w:hAnsi="Times New Roman"/>
          <w:sz w:val="20"/>
        </w:rPr>
        <w:t xml:space="preserve">(i)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Investments in the ordinary course of business consisting of Uniform Commercial Code Article 3 endorsements for collection or deposit and Uniform Commercial Code Article 4 customary trade arrangements with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w:t>
      </w:r>
    </w:p>
    <w:p>
      <w:pPr>
        <w:pStyle w:val="TextBody"/>
        <w:bidi w:val="0"/>
        <w:spacing w:before="120" w:after="0"/>
        <w:jc w:val="left"/>
        <w:rPr>
          <w:rFonts w:ascii="Times New Roman" w:hAnsi="Times New Roman"/>
          <w:sz w:val="20"/>
        </w:rPr>
      </w:pPr>
      <w:r>
        <w:rPr>
          <w:rFonts w:ascii="Times New Roman" w:hAnsi="Times New Roman"/>
          <w:sz w:val="20"/>
        </w:rPr>
        <w:t xml:space="preserve">(l) 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(m) additional Investments and other acquisitions; </w:t>
      </w:r>
      <w:r>
        <w:rPr>
          <w:rFonts w:ascii="Times New Roman" w:hAnsi="Times New Roman"/>
          <w:sz w:val="20"/>
          <w:u w:val="single"/>
        </w:rPr>
        <w:t>provided</w:t>
      </w:r>
      <w:r>
        <w:rPr>
          <w:rFonts w:ascii="Times New Roman" w:hAnsi="Times New Roman"/>
          <w:sz w:val="20"/>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$195,000,000 and (B) 50% of Consolidated EBITDA for the most recently ended Test Period after giving Pro Forma Effect to the making of such Investment or other acquisition, </w:t>
      </w:r>
      <w:r>
        <w:rPr>
          <w:rFonts w:ascii="Times New Roman" w:hAnsi="Times New Roman"/>
          <w:sz w:val="20"/>
          <w:u w:val="single"/>
        </w:rPr>
        <w:t>plus</w:t>
      </w:r>
      <w:r>
        <w:rPr>
          <w:rFonts w:ascii="Times New Roman" w:hAnsi="Times New Roman"/>
          <w:sz w:val="20"/>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 w:hAnsi="Times New Roman"/>
          <w:sz w:val="20"/>
          <w:u w:val="single"/>
        </w:rPr>
        <w:t>plus</w:t>
      </w:r>
      <w:r>
        <w:rPr>
          <w:rFonts w:ascii="Times New Roman" w:hAnsi="Times New Roman"/>
          <w:sz w:val="20"/>
        </w:rPr>
        <w:t xml:space="preserve"> (iii) the Available Equity Amount that is Not Otherwise Applied as in effect immediately prior to the time of making of such Investment; </w:t>
      </w:r>
      <w:r>
        <w:rPr>
          <w:rFonts w:ascii="Times New Roman" w:hAnsi="Times New Roman"/>
          <w:sz w:val="20"/>
          <w:u w:val="single"/>
        </w:rPr>
        <w:t>plus</w:t>
      </w:r>
      <w:r>
        <w:rPr>
          <w:rFonts w:ascii="Times New Roman" w:hAnsi="Times New Roman"/>
          <w:sz w:val="20"/>
        </w:rPr>
        <w:t xml:space="preserve"> (C) the General Restricted Payment Reallocated Amount; </w:t>
      </w:r>
      <w:r>
        <w:rPr>
          <w:rFonts w:ascii="Times New Roman" w:hAnsi="Times New Roman"/>
          <w:sz w:val="20"/>
          <w:u w:val="single"/>
        </w:rPr>
        <w:t>plus</w:t>
      </w:r>
      <w:r>
        <w:rPr>
          <w:rFonts w:ascii="Times New Roman" w:hAnsi="Times New Roman"/>
          <w:sz w:val="20"/>
        </w:rPr>
        <w:t xml:space="preserve"> (D) the Junior Debt Payment Reallocated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advances of payroll payments to employees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(o) 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 </w:t>
      </w:r>
    </w:p>
    <w:p>
      <w:pPr>
        <w:pStyle w:val="TextBody"/>
        <w:bidi w:val="0"/>
        <w:spacing w:before="120" w:after="0"/>
        <w:jc w:val="left"/>
        <w:rPr>
          <w:rFonts w:ascii="Times New Roman" w:hAnsi="Times New Roman"/>
          <w:sz w:val="20"/>
        </w:rPr>
      </w:pPr>
      <w:r>
        <w:rPr>
          <w:rFonts w:ascii="Times New Roman" w:hAnsi="Times New Roman"/>
          <w:sz w:val="20"/>
        </w:rPr>
        <w:t>(p) Investments of a Subsidiary acquired after the Effective Date or of a Person merged, amalgamated or consolidated with any Subsidiary in accordance with this Section 6.04 and Section 6.03 after the Effective Date or that otherwise becomes a Subsidiary (</w:t>
      </w:r>
      <w:r>
        <w:rPr>
          <w:rFonts w:ascii="Times New Roman" w:hAnsi="Times New Roman"/>
          <w:sz w:val="20"/>
          <w:u w:val="single"/>
        </w:rPr>
        <w:t>provided</w:t>
      </w:r>
      <w:r>
        <w:rPr>
          <w:rFonts w:ascii="Times New Roman" w:hAnsi="Times New Roman"/>
          <w:sz w:val="20"/>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(q) receivables owing to the Borrower or any Restricted Subsidiary, if created or acquired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(r) Investments (A) for utilities, security deposits, leases and similar prepaid expenses incurred in the ordinary course of business and (B) trade accounts created, or prepaid expenses accrued,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(s) non-cash Investments in connection with tax planning and reorganization activities; provided that after giving effect to any such activities, the security interests of the Lenders in the Collateral, taken as a whole, would not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 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(u) Investments consisting of Indebtedness, Liens, fundamental changes, Dispositions and Restricted Payments permitted (other than by reference to this Section 6.04(v)) under Sections 6.01, 6.02, 6.03, 6.05 and 6.07, respectively; </w:t>
      </w:r>
    </w:p>
    <w:p>
      <w:pPr>
        <w:pStyle w:val="TextBody"/>
        <w:bidi w:val="0"/>
        <w:spacing w:before="120" w:after="0"/>
        <w:jc w:val="left"/>
        <w:rPr>
          <w:rFonts w:ascii="Times New Roman" w:hAnsi="Times New Roman"/>
          <w:sz w:val="20"/>
        </w:rPr>
      </w:pPr>
      <w:r>
        <w:rPr>
          <w:rFonts w:ascii="Times New Roman" w:hAnsi="Times New Roman"/>
          <w:sz w:val="20"/>
        </w:rPr>
        <w:t xml:space="preserve">(v) contributions to a rabbi trust for the benefit of employees, directors, consultants, independent contractors or other service providers or other grantor trust subject to claims of creditors in the case of a bankruptcy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(w) to the extent that they constitute Investments, purchases and acquisitions of inventory, supplies, materials or equipment or purchases, acquisitions, licenses or leases of other assets, Intellectual Property, or other rights,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any Investment in any Subsidiary or any joint venture in connection with intercompany cash management arrangements or related activities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(y) Investments by an Unrestricted Subsidiary entered into prior to the day such Unrestricted Subsidiary is redesignated as a Restricted Subsidiary pursuant to the definition of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(z) 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(aa) Investments in the ordinary course of business in connection with Settlements.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Asset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Times New Roman" w:hAnsi="Times New Roman"/>
          <w:sz w:val="20"/>
          <w:u w:val="single"/>
        </w:rPr>
        <w:t>Disposition</w:t>
      </w:r>
      <w:r>
        <w:rPr>
          <w:rFonts w:ascii="Times New Roman" w:hAnsi="Times New Roman"/>
          <w:sz w:val="20"/>
        </w:rPr>
        <w:t> and the term </w:t>
      </w:r>
      <w:r>
        <w:rPr>
          <w:rFonts w:ascii="Times New Roman" w:hAnsi="Times New Roman"/>
          <w:sz w:val="20"/>
          <w:u w:val="single"/>
        </w:rPr>
        <w:t>Dispose</w:t>
      </w:r>
      <w:r>
        <w:rPr>
          <w:rFonts w:ascii="Times New Roman" w:hAnsi="Times New Roman"/>
          <w:sz w:val="20"/>
        </w:rPr>
        <w:t xml:space="preserve"> as a verb has the corresponding meaning),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 </w:t>
      </w:r>
    </w:p>
    <w:p>
      <w:pPr>
        <w:pStyle w:val="TextBody"/>
        <w:bidi w:val="0"/>
        <w:spacing w:before="120" w:after="0"/>
        <w:jc w:val="left"/>
        <w:rPr>
          <w:rFonts w:ascii="Times New Roman" w:hAnsi="Times New Roman"/>
          <w:sz w:val="20"/>
        </w:rPr>
      </w:pPr>
      <w:r>
        <w:rPr>
          <w:rFonts w:ascii="Times New Roman" w:hAnsi="Times New Roman"/>
          <w:sz w:val="20"/>
        </w:rPr>
        <w:t xml:space="preserve">(b) Dispositions of inventory and other assets (including Settlement Assets) or held for sale or no longer used in the ordinary course of business and immaterial assets (considered in the aggregate)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Dispositions of property to the extent that (i) such property is exchanged for credit against the purchase price of similar replacement property or (ii) an amount equal to Net Proceeds of such Disposition are promptly applied to the purchase price of such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(d) Dispositions of property to the Borrower or any Restricted Subsidiary; </w:t>
      </w:r>
      <w:r>
        <w:rPr>
          <w:rFonts w:ascii="Times New Roman" w:hAnsi="Times New Roman"/>
          <w:sz w:val="20"/>
          <w:u w:val="single"/>
        </w:rPr>
        <w:t>provided</w:t>
      </w:r>
      <w:r>
        <w:rPr>
          <w:rFonts w:ascii="Times New Roman" w:hAnsi="Times New Roman"/>
          <w:sz w:val="20"/>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 </w:t>
      </w:r>
    </w:p>
    <w:p>
      <w:pPr>
        <w:pStyle w:val="TextBody"/>
        <w:bidi w:val="0"/>
        <w:spacing w:before="120" w:after="0"/>
        <w:jc w:val="left"/>
        <w:rPr>
          <w:rFonts w:ascii="Times New Roman" w:hAnsi="Times New Roman"/>
          <w:sz w:val="20"/>
        </w:rPr>
      </w:pPr>
      <w:r>
        <w:rPr>
          <w:rFonts w:ascii="Times New Roman" w:hAnsi="Times New Roman"/>
          <w:sz w:val="20"/>
        </w:rPr>
        <w:t xml:space="preserve">(e) Dispositions permitted by Section 6.03, Investments permitted by Section 6.04, Restricted Payments permitted by Section 6.07 and Liens permitted by Section 6.02; </w:t>
      </w:r>
    </w:p>
    <w:p>
      <w:pPr>
        <w:pStyle w:val="TextBody"/>
        <w:bidi w:val="0"/>
        <w:spacing w:before="120" w:after="0"/>
        <w:jc w:val="left"/>
        <w:rPr>
          <w:rFonts w:ascii="Times New Roman" w:hAnsi="Times New Roman"/>
          <w:sz w:val="20"/>
        </w:rPr>
      </w:pPr>
      <w:r>
        <w:rPr>
          <w:rFonts w:ascii="Times New Roman" w:hAnsi="Times New Roman"/>
          <w:sz w:val="20"/>
        </w:rPr>
        <w:t xml:space="preserve">(f) Dispositions of property acquired by the Borrower or any of the Restricted Subsidiaries after the Effective Date pursuant to sale-leaseback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(g) Dispositions of Permitted Investments; </w:t>
      </w:r>
    </w:p>
    <w:p>
      <w:pPr>
        <w:pStyle w:val="TextBody"/>
        <w:bidi w:val="0"/>
        <w:spacing w:before="120" w:after="0"/>
        <w:jc w:val="left"/>
        <w:rPr>
          <w:rFonts w:ascii="Times New Roman" w:hAnsi="Times New Roman"/>
          <w:sz w:val="20"/>
        </w:rPr>
      </w:pPr>
      <w:r>
        <w:rPr>
          <w:rFonts w:ascii="Times New Roman" w:hAnsi="Times New Roman"/>
          <w:sz w:val="20"/>
        </w:rPr>
        <w:t xml:space="preserve">(h) Dispositions or forgiveness of accounts receivable in connection with the collection or compromise thereof (including sales to factors or other third parties); </w:t>
      </w:r>
    </w:p>
    <w:p>
      <w:pPr>
        <w:pStyle w:val="TextBody"/>
        <w:bidi w:val="0"/>
        <w:spacing w:before="120" w:after="0"/>
        <w:jc w:val="left"/>
        <w:rPr>
          <w:rFonts w:ascii="Times New Roman" w:hAnsi="Times New Roman"/>
          <w:sz w:val="20"/>
        </w:rPr>
      </w:pPr>
      <w:r>
        <w:rPr>
          <w:rFonts w:ascii="Times New Roman" w:hAnsi="Times New Roman"/>
          <w:sz w:val="20"/>
        </w:rPr>
        <w:t xml:space="preserve">(i) leases, subleases, service agreements, product sales, licenses or sublicenses (including licenses and sublicenses of Intellectual Property), in each case that do not materially interfere with the business of the Borrower and the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(j) transfers of property subject to Casualty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Times New Roman" w:hAnsi="Times New Roman"/>
          <w:sz w:val="20"/>
          <w:u w:val="single"/>
        </w:rPr>
        <w:t>provided</w:t>
      </w:r>
      <w:r>
        <w:rPr>
          <w:rFonts w:ascii="Times New Roman" w:hAnsi="Times New Roman"/>
          <w:sz w:val="20"/>
        </w:rPr>
        <w:t xml:space="preserve"> that with respect to any Disposition pursuant to this clause (k) for a purchase price in excess of $200,000,000, the Borrower or such Restricted Subsidiaries shall receive not less than 75% of such consideration in the form of cash or Permitted Investments;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$200,000,000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hAnsi="Times New Roman"/>
          <w:sz w:val="20"/>
          <w:u w:val="single"/>
        </w:rPr>
        <w:t>provided</w:t>
      </w:r>
      <w:r>
        <w:rPr>
          <w:rFonts w:ascii="Times New Roman" w:hAnsi="Times New Roman"/>
          <w:sz w:val="20"/>
        </w:rPr>
        <w:t xml:space="preserve">, that the Required Revolving Lenders may waive such requirement; </w:t>
      </w:r>
    </w:p>
    <w:p>
      <w:pPr>
        <w:pStyle w:val="TextBody"/>
        <w:bidi w:val="0"/>
        <w:spacing w:before="120" w:after="0"/>
        <w:jc w:val="left"/>
        <w:rPr>
          <w:rFonts w:ascii="Times New Roman" w:hAnsi="Times New Roman"/>
          <w:sz w:val="20"/>
        </w:rPr>
      </w:pPr>
      <w:r>
        <w:rPr>
          <w:rFonts w:ascii="Times New Roman" w:hAnsi="Times New Roman"/>
          <w:sz w:val="20"/>
        </w:rPr>
        <w:t xml:space="preserve">(l)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(m) any Disposition of the Equity Interests of any Immaterial Subsidiary or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(n) Dispositions of any assets (including Equity Interests) (A) acquired in connection with any Permitted Acquisition or other Investment not prohibited hereunder, which assets are not used or useful to the core or principal business of the Borrower and the Restricted Subsidiaries and (B) made to obtain the approval of any applicable antitrust authority in connection with a Permitted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(o) (i)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 </w:t>
      </w:r>
    </w:p>
    <w:p>
      <w:pPr>
        <w:pStyle w:val="TextBody"/>
        <w:bidi w:val="0"/>
        <w:spacing w:before="120" w:after="0"/>
        <w:jc w:val="left"/>
        <w:rPr>
          <w:rFonts w:ascii="Times New Roman" w:hAnsi="Times New Roman"/>
          <w:sz w:val="20"/>
        </w:rPr>
      </w:pPr>
      <w:r>
        <w:rPr>
          <w:rFonts w:ascii="Times New Roman" w:hAnsi="Times New Roman"/>
          <w:sz w:val="20"/>
        </w:rPr>
        <w:t xml:space="preserve">(p) 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non-exclusive licenses or sublicenses, or other similar grants of rights, to Intellectual Property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Restricted Payments; Certain Payments of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will not, and will not permit any Restricted Subsidiary to, declare or make, or agree to pay or make, directly or indirectly, any Restricted Payment, except: </w:t>
      </w:r>
    </w:p>
    <w:p>
      <w:pPr>
        <w:pStyle w:val="TextBody"/>
        <w:bidi w:val="0"/>
        <w:spacing w:before="120" w:after="0"/>
        <w:jc w:val="left"/>
        <w:rPr>
          <w:rFonts w:ascii="Times New Roman" w:hAnsi="Times New Roman"/>
          <w:sz w:val="20"/>
        </w:rPr>
      </w:pPr>
      <w:r>
        <w:rPr>
          <w:rFonts w:ascii="Times New Roman" w:hAnsi="Times New Roman"/>
          <w:sz w:val="20"/>
        </w:rPr>
        <w:t xml:space="preserve">(i) each Restricted Subsidiary may make Restricted Payments to (x) the Borrower or any Restricted Subsidiary, </w:t>
      </w:r>
      <w:r>
        <w:rPr>
          <w:rFonts w:ascii="Times New Roman" w:hAnsi="Times New Roman"/>
          <w:sz w:val="20"/>
          <w:u w:val="single"/>
        </w:rPr>
        <w:t>provided</w:t>
      </w:r>
      <w:r>
        <w:rPr>
          <w:rFonts w:ascii="Times New Roman" w:hAnsi="Times New Roman"/>
          <w:sz w:val="20"/>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and each Restricted Subsidiary may declare and make dividend payments or other distributions payable solely in the Equity Interests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(iii) Restricted Payments made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 </w:t>
      </w:r>
    </w:p>
    <w:p>
      <w:pPr>
        <w:pStyle w:val="TextBody"/>
        <w:bidi w:val="0"/>
        <w:spacing w:before="120" w:after="0"/>
        <w:jc w:val="left"/>
        <w:rPr>
          <w:rFonts w:ascii="Times New Roman" w:hAnsi="Times New Roman"/>
          <w:sz w:val="20"/>
        </w:rPr>
      </w:pPr>
      <w:r>
        <w:rPr>
          <w:rFonts w:ascii="Times New Roman" w:hAnsi="Times New Roman"/>
          <w:sz w:val="20"/>
        </w:rPr>
        <w:t xml:space="preserve">(v) 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$15,000,000 in any calendar year with unused amounts in any calendar year being carried over to succeeding calendar years subject to a maximum of $35,000,000 in any calendar year (without giving effect to the following proviso); </w:t>
      </w:r>
      <w:r>
        <w:rPr>
          <w:rFonts w:ascii="Times New Roman" w:hAnsi="Times New Roman"/>
          <w:sz w:val="20"/>
          <w:u w:val="single"/>
        </w:rPr>
        <w:t>provided</w:t>
      </w:r>
      <w:r>
        <w:rPr>
          <w:rFonts w:ascii="Times New Roman" w:hAnsi="Times New Roman"/>
          <w:sz w:val="20"/>
        </w:rPr>
        <w:t xml:space="preserve"> 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carried forward to any subsequent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 other Restricted Payments made by the Borrower; </w:t>
      </w:r>
      <w:r>
        <w:rPr>
          <w:rFonts w:ascii="Times New Roman" w:hAnsi="Times New Roman"/>
          <w:sz w:val="20"/>
          <w:u w:val="single"/>
        </w:rPr>
        <w:t>provided</w:t>
      </w:r>
      <w:r>
        <w:rPr>
          <w:rFonts w:ascii="Times New Roman" w:hAnsi="Times New Roman"/>
          <w:sz w:val="20"/>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 </w:t>
      </w:r>
    </w:p>
    <w:p>
      <w:pPr>
        <w:pStyle w:val="TextBody"/>
        <w:bidi w:val="0"/>
        <w:spacing w:before="120" w:after="0"/>
        <w:jc w:val="left"/>
        <w:rPr>
          <w:rFonts w:ascii="Times New Roman" w:hAnsi="Times New Roman"/>
          <w:sz w:val="20"/>
        </w:rPr>
      </w:pPr>
      <w:r>
        <w:rPr>
          <w:rFonts w:ascii="Times New Roman" w:hAnsi="Times New Roman"/>
          <w:sz w:val="20"/>
        </w:rPr>
        <w:t xml:space="preserve">(vii) the Borrower and any Restricted Subsidiary may make Restricted Payments in cash to the Borrower, Holdings and any Intermediate Parent: </w:t>
      </w:r>
    </w:p>
    <w:p>
      <w:pPr>
        <w:pStyle w:val="TextBody"/>
        <w:bidi w:val="0"/>
        <w:spacing w:before="120" w:after="0"/>
        <w:jc w:val="left"/>
        <w:rPr>
          <w:rFonts w:ascii="Times New Roman" w:hAnsi="Times New Roman"/>
          <w:sz w:val="20"/>
        </w:rPr>
      </w:pPr>
      <w:r>
        <w:rPr>
          <w:rFonts w:ascii="Times New Roman" w:hAnsi="Times New Roman"/>
          <w:sz w:val="20"/>
        </w:rPr>
        <w:t>(A) 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Times New Roman" w:hAnsi="Times New Roman"/>
          <w:sz w:val="20"/>
          <w:u w:val="single"/>
        </w:rPr>
        <w:t>Tax Group</w:t>
      </w:r>
      <w:r>
        <w:rPr>
          <w:rFonts w:ascii="Times New Roman" w:hAnsi="Times New Roman"/>
          <w:sz w:val="20"/>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Times New Roman" w:hAnsi="Times New Roman"/>
          <w:sz w:val="20"/>
          <w:u w:val="single"/>
        </w:rPr>
        <w:t>provided</w:t>
      </w:r>
      <w:r>
        <w:rPr>
          <w:rFonts w:ascii="Times New Roman" w:hAnsi="Times New Roman"/>
          <w:sz w:val="20"/>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Times New Roman" w:hAnsi="Times New Roman"/>
          <w:sz w:val="20"/>
          <w:u w:val="single"/>
        </w:rPr>
        <w:t>Tax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 of Consolidated EBITDA for the most recently ended Test Period delivered pursuant to Section 5.01(a) as of the time of such Restricted Payment and (5) amounts that would otherwise be permitted to be paid pursuant to Section 6.08 (iii) or (xi); </w:t>
      </w:r>
    </w:p>
    <w:p>
      <w:pPr>
        <w:pStyle w:val="TextBody"/>
        <w:bidi w:val="0"/>
        <w:spacing w:before="120" w:after="0"/>
        <w:jc w:val="left"/>
        <w:rPr>
          <w:rFonts w:ascii="Times New Roman" w:hAnsi="Times New Roman"/>
          <w:sz w:val="20"/>
        </w:rPr>
      </w:pPr>
      <w:r>
        <w:rPr>
          <w:rFonts w:ascii="Times New Roman" w:hAnsi="Times New Roman"/>
          <w:sz w:val="20"/>
        </w:rPr>
        <w:t xml:space="preserve">(C) the proceeds of which shall be used by Holdings (or any Intermediate Parent or any direct or indirect parent of Holdings) to pay franchise and similar Taxes, and other fees and expenses, required to maintain its corporate or other legal existence; </w:t>
      </w:r>
    </w:p>
    <w:p>
      <w:pPr>
        <w:pStyle w:val="TextBody"/>
        <w:bidi w:val="0"/>
        <w:spacing w:before="120" w:after="0"/>
        <w:jc w:val="left"/>
        <w:rPr>
          <w:rFonts w:ascii="Times New Roman" w:hAnsi="Times New Roman"/>
          <w:sz w:val="20"/>
        </w:rPr>
      </w:pPr>
      <w:r>
        <w:rPr>
          <w:rFonts w:ascii="Times New Roman" w:hAnsi="Times New Roman"/>
          <w:sz w:val="20"/>
        </w:rPr>
        <w:t xml:space="preserve">(D) to finance any Investment made by Holdings or any Intermediate Parent that, if made by the Borrower, would be permitted to be made pursuant to Section 6.04; </w:t>
      </w:r>
      <w:r>
        <w:rPr>
          <w:rFonts w:ascii="Times New Roman" w:hAnsi="Times New Roman"/>
          <w:sz w:val="20"/>
          <w:u w:val="single"/>
        </w:rPr>
        <w:t>provided</w:t>
      </w:r>
      <w:r>
        <w:rPr>
          <w:rFonts w:ascii="Times New Roman" w:hAnsi="Times New Roman"/>
          <w:sz w:val="20"/>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 </w:t>
      </w:r>
    </w:p>
    <w:p>
      <w:pPr>
        <w:pStyle w:val="TextBody"/>
        <w:bidi w:val="0"/>
        <w:spacing w:before="120" w:after="0"/>
        <w:jc w:val="left"/>
        <w:rPr>
          <w:rFonts w:ascii="Times New Roman" w:hAnsi="Times New Roman"/>
          <w:sz w:val="20"/>
        </w:rPr>
      </w:pPr>
      <w:r>
        <w:rPr>
          <w:rFonts w:ascii="Times New Roman" w:hAnsi="Times New Roman"/>
          <w:sz w:val="20"/>
        </w:rPr>
        <w:t xml:space="preserve">(E) the proceeds of which shall be used to pay (or to make Restricted Payments to allow Holdings or any direct or indirect parent thereof or any Intermediate Parent thereof to pay) fees and expenses related to any equity or debt offering not prohibited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(G) the proceeds of which shall be used to make payments permitted by clause (b)(iv) and (b)(v) of Section 6.07; </w:t>
      </w:r>
    </w:p>
    <w:p>
      <w:pPr>
        <w:pStyle w:val="TextBody"/>
        <w:bidi w:val="0"/>
        <w:spacing w:before="120" w:after="0"/>
        <w:jc w:val="left"/>
        <w:rPr>
          <w:rFonts w:ascii="Times New Roman" w:hAnsi="Times New Roman"/>
          <w:sz w:val="20"/>
        </w:rPr>
      </w:pPr>
      <w:r>
        <w:rPr>
          <w:rFonts w:ascii="Times New Roman" w:hAnsi="Times New Roman"/>
          <w:sz w:val="20"/>
        </w:rPr>
        <w:t xml:space="preserve">(viii) 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Times New Roman" w:hAnsi="Times New Roman"/>
          <w:sz w:val="20"/>
          <w:u w:val="single"/>
        </w:rPr>
        <w:t>plus</w:t>
      </w:r>
      <w:r>
        <w:rPr>
          <w:rFonts w:ascii="Times New Roman" w:hAnsi="Times New Roman"/>
          <w:sz w:val="20"/>
        </w:rPr>
        <w:t xml:space="preserve"> (B) the Available Equity Amount that is Not Otherwise Applied as in effect immediately prior to the time of making of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(ix) redemptions in whole or in part of any of its Equity Interests for another class of its Equity Interests or with proceeds from substantially concurrent equity contributions or issuances of new Equity Interests; </w:t>
      </w:r>
      <w:r>
        <w:rPr>
          <w:rFonts w:ascii="Times New Roman" w:hAnsi="Times New Roman"/>
          <w:sz w:val="20"/>
          <w:u w:val="single"/>
        </w:rPr>
        <w:t>provided</w:t>
      </w:r>
      <w:r>
        <w:rPr>
          <w:rFonts w:ascii="Times New Roman" w:hAnsi="Times New Roman"/>
          <w:sz w:val="20"/>
        </w:rPr>
        <w:t xml:space="preserve">, that such new Equity Interests contain terms and provisions at least as advantageous to the Lenders in all respects material to their interests as those contained in the Equity Interests redeemed thereby; </w:t>
      </w:r>
    </w:p>
    <w:p>
      <w:pPr>
        <w:pStyle w:val="TextBody"/>
        <w:bidi w:val="0"/>
        <w:spacing w:before="120" w:after="0"/>
        <w:jc w:val="left"/>
        <w:rPr>
          <w:rFonts w:ascii="Times New Roman" w:hAnsi="Times New Roman"/>
          <w:sz w:val="20"/>
        </w:rPr>
      </w:pPr>
      <w:r>
        <w:rPr>
          <w:rFonts w:ascii="Times New Roman" w:hAnsi="Times New Roman"/>
          <w:sz w:val="20"/>
        </w:rPr>
        <w:t xml:space="preserve">(x) 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(xi) 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(xii) 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 </w:t>
      </w:r>
    </w:p>
    <w:p>
      <w:pPr>
        <w:pStyle w:val="TextBody"/>
        <w:bidi w:val="0"/>
        <w:spacing w:before="120" w:after="0"/>
        <w:jc w:val="left"/>
        <w:rPr>
          <w:rFonts w:ascii="Times New Roman" w:hAnsi="Times New Roman"/>
          <w:sz w:val="20"/>
        </w:rPr>
      </w:pPr>
      <w:r>
        <w:rPr>
          <w:rFonts w:ascii="Times New Roman" w:hAnsi="Times New Roman"/>
          <w:sz w:val="20"/>
        </w:rPr>
        <w:t xml:space="preserve">(xv) any distributions or payments of Securitization Fees.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 </w:t>
      </w:r>
    </w:p>
    <w:p>
      <w:pPr>
        <w:pStyle w:val="TextBody"/>
        <w:bidi w:val="0"/>
        <w:spacing w:before="120" w:after="0"/>
        <w:jc w:val="left"/>
        <w:rPr>
          <w:rFonts w:ascii="Times New Roman" w:hAnsi="Times New Roman"/>
          <w:sz w:val="20"/>
        </w:rPr>
      </w:pPr>
      <w:r>
        <w:rPr>
          <w:rFonts w:ascii="Times New Roman" w:hAnsi="Times New Roman"/>
          <w:sz w:val="20"/>
        </w:rPr>
        <w:t xml:space="preserve">(i) 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(ii) refinancings of Indebtedness to the extent permitted by Section 6.01; </w:t>
      </w:r>
    </w:p>
    <w:p>
      <w:pPr>
        <w:pStyle w:val="TextBody"/>
        <w:bidi w:val="0"/>
        <w:spacing w:before="120" w:after="0"/>
        <w:jc w:val="left"/>
        <w:rPr>
          <w:rFonts w:ascii="Times New Roman" w:hAnsi="Times New Roman"/>
          <w:sz w:val="20"/>
        </w:rPr>
      </w:pPr>
      <w:r>
        <w:rPr>
          <w:rFonts w:ascii="Times New Roman" w:hAnsi="Times New Roman"/>
          <w:sz w:val="20"/>
        </w:rPr>
        <w:t xml:space="preserve">(iii) 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 </w:t>
      </w:r>
    </w:p>
    <w:p>
      <w:pPr>
        <w:pStyle w:val="TextBody"/>
        <w:bidi w:val="0"/>
        <w:spacing w:before="120" w:after="0"/>
        <w:jc w:val="left"/>
        <w:rPr>
          <w:rFonts w:ascii="Times New Roman" w:hAnsi="Times New Roman"/>
          <w:sz w:val="20"/>
        </w:rPr>
      </w:pPr>
      <w:r>
        <w:rPr>
          <w:rFonts w:ascii="Times New Roman" w:hAnsi="Times New Roman"/>
          <w:sz w:val="20"/>
        </w:rPr>
        <w:t xml:space="preserve">(iv) 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$60,000,000 and (2) 15% of Consolidated EBITDA for the most recently ended Test Period after giving Pro Forma Effect to the making of such prepayment, redemption, purchase, defeasance or other payment, </w:t>
      </w:r>
      <w:r>
        <w:rPr>
          <w:rFonts w:ascii="Times New Roman" w:hAnsi="Times New Roman"/>
          <w:sz w:val="20"/>
          <w:u w:val="single"/>
        </w:rPr>
        <w:t>plus</w:t>
      </w:r>
      <w:r>
        <w:rPr>
          <w:rFonts w:ascii="Times New Roman" w:hAnsi="Times New Roman"/>
          <w:sz w:val="20"/>
        </w:rPr>
        <w:t xml:space="preserve"> (B)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Times New Roman" w:hAnsi="Times New Roman"/>
          <w:sz w:val="20"/>
          <w:u w:val="single"/>
        </w:rPr>
        <w:t>plus</w:t>
      </w:r>
      <w:r>
        <w:rPr>
          <w:rFonts w:ascii="Times New Roman" w:hAnsi="Times New Roman"/>
          <w:sz w:val="20"/>
        </w:rPr>
        <w:t xml:space="preserve"> (y) the Available Equity Amount that is Not Otherwise Applied as in effect immediately prior to the time of making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(v) payments made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(vi) prepayments, redemptions, purchases, defeasances and other payments in respect of Junior Financing prior to their scheduled maturity; </w:t>
      </w:r>
      <w:r>
        <w:rPr>
          <w:rFonts w:ascii="Times New Roman" w:hAnsi="Times New Roman"/>
          <w:sz w:val="20"/>
          <w:u w:val="single"/>
        </w:rPr>
        <w:t>provided</w:t>
      </w:r>
      <w:r>
        <w:rPr>
          <w:rFonts w:ascii="Times New Roman" w:hAnsi="Times New Roman"/>
          <w:sz w:val="20"/>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 and </w:t>
      </w:r>
    </w:p>
    <w:p>
      <w:pPr>
        <w:pStyle w:val="TextBody"/>
        <w:bidi w:val="0"/>
        <w:spacing w:before="120" w:after="0"/>
        <w:jc w:val="left"/>
        <w:rPr>
          <w:rFonts w:ascii="Times New Roman" w:hAnsi="Times New Roman"/>
          <w:sz w:val="20"/>
        </w:rPr>
      </w:pPr>
      <w:r>
        <w:rPr>
          <w:rFonts w:ascii="Times New Roman" w:hAnsi="Times New Roman"/>
          <w:sz w:val="20"/>
        </w:rPr>
        <w:t xml:space="preserve">(vii) prepayment of Junior Financing owed to the Borrower or any Restricted Subsidiary or the prepayment of Permitted Refinancing of such Indebtedness with the proceeds of any other Junior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Borrower or any Restricted Subsidiary or any entity that becomes a Restricted Subsidiary as a result of such transaction and (B) transactions involving aggregate payment or consideration of less than $40,000,000,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and (xvi) any other (A) Indebtedness permitted under Section 6.01 and Liens permitted under Section 6.02; </w:t>
      </w:r>
      <w:r>
        <w:rPr>
          <w:rFonts w:ascii="Times New Roman" w:hAnsi="Times New Roman"/>
          <w:sz w:val="20"/>
          <w:u w:val="single"/>
        </w:rPr>
        <w:t>provided</w:t>
      </w:r>
      <w:r>
        <w:rPr>
          <w:rFonts w:ascii="Times New Roman" w:hAnsi="Times New Roman"/>
          <w:sz w:val="20"/>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Restrictive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Times New Roman" w:hAnsi="Times New Roman"/>
          <w:sz w:val="20"/>
          <w:u w:val="single"/>
        </w:rPr>
        <w:t>provided</w:t>
      </w:r>
      <w:r>
        <w:rPr>
          <w:rFonts w:ascii="Times New Roman" w:hAnsi="Times New Roman"/>
          <w:sz w:val="20"/>
        </w:rPr>
        <w:t xml:space="preserve"> that the foregoing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 (6) any documentation governing Indebtedness incurred pursuant to Section 6.01(a)(xxiv) or Section 6.01(a)(vii), (viii), (ix), (xv), (xxii) or (xxvii) and (6) any documentation governing any Permitted Refinancing incurred to refinance any such Indebtedness referenced in clauses (1) through (5)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customary restrictions and conditions existing on the Effective Date and any extension, renewal, amendment, modification or replacement thereof, except to the extent any such amendment, modification or replacement expands the scope of any such restriction or condition; </w:t>
      </w:r>
    </w:p>
    <w:p>
      <w:pPr>
        <w:pStyle w:val="TextBody"/>
        <w:bidi w:val="0"/>
        <w:spacing w:before="120" w:after="0"/>
        <w:jc w:val="left"/>
        <w:rPr>
          <w:rFonts w:ascii="Times New Roman" w:hAnsi="Times New Roman"/>
          <w:sz w:val="20"/>
        </w:rPr>
      </w:pPr>
      <w:r>
        <w:rPr>
          <w:rFonts w:ascii="Times New Roman" w:hAnsi="Times New Roman"/>
          <w:sz w:val="20"/>
        </w:rPr>
        <w:t xml:space="preserve">(c) restrictions and conditions contained in agreements relating to the sale of a Subsidiary or any assets pending such sale; </w:t>
      </w:r>
      <w:r>
        <w:rPr>
          <w:rFonts w:ascii="Times New Roman" w:hAnsi="Times New Roman"/>
          <w:sz w:val="20"/>
          <w:u w:val="single"/>
        </w:rPr>
        <w:t>provided</w:t>
      </w:r>
      <w:r>
        <w:rPr>
          <w:rFonts w:ascii="Times New Roman" w:hAnsi="Times New Roman"/>
          <w:sz w:val="20"/>
        </w:rPr>
        <w:t xml:space="preserve"> that such restrictions and conditions apply only to the Subsidiary or assets that is or are to be sold and such sale is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(d) customary provisions in leases, licenses, sublicenses and other contracts (including licenses and sublicenses of Intellectual Property) restricting the assignment thereof; </w:t>
      </w:r>
    </w:p>
    <w:p>
      <w:pPr>
        <w:pStyle w:val="TextBody"/>
        <w:bidi w:val="0"/>
        <w:spacing w:before="120" w:after="0"/>
        <w:jc w:val="left"/>
        <w:rPr>
          <w:rFonts w:ascii="Times New Roman" w:hAnsi="Times New Roman"/>
          <w:sz w:val="20"/>
        </w:rPr>
      </w:pPr>
      <w:r>
        <w:rPr>
          <w:rFonts w:ascii="Times New Roman" w:hAnsi="Times New Roman"/>
          <w:sz w:val="20"/>
        </w:rPr>
        <w:t xml:space="preserve">(e) restrictions imposed by any agreement relating to secured Indebtedness permitted by this Agreement to the extent such restriction applies only to the property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(f) any restrictions or conditions set forth in any agreement in effect at any time any Person becomes a Restricted Subsidiary (but not any modification or amendment expanding the scope of any such restriction or condition); </w:t>
      </w:r>
      <w:r>
        <w:rPr>
          <w:rFonts w:ascii="Times New Roman" w:hAnsi="Times New Roman"/>
          <w:sz w:val="20"/>
          <w:u w:val="single"/>
        </w:rPr>
        <w:t>provided</w:t>
      </w:r>
      <w:r>
        <w:rPr>
          <w:rFonts w:ascii="Times New Roman" w:hAnsi="Times New Roman"/>
          <w:sz w:val="20"/>
        </w:rPr>
        <w:t xml:space="preserve"> that such agreement was not entered into in contemplation of such Person becoming a Restricted Subsidiary and the restriction or condition set forth in such agreement does not apply to the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restrictions on cash (or Permitted Investments) or other deposits imposed by agreements entered into in the ordinary course of business (or other restrictions on cash or deposits constituting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(i) restrictions set forth on Schedule 6.09 and any extension, renewal, amendment, modification or replacement thereof, except to the extent any such amendment, modification or replacement expands the scope of any such restriction or condition; </w:t>
      </w:r>
    </w:p>
    <w:p>
      <w:pPr>
        <w:pStyle w:val="TextBody"/>
        <w:bidi w:val="0"/>
        <w:spacing w:before="120" w:after="0"/>
        <w:jc w:val="left"/>
        <w:rPr>
          <w:rFonts w:ascii="Times New Roman" w:hAnsi="Times New Roman"/>
          <w:sz w:val="20"/>
        </w:rPr>
      </w:pPr>
      <w:r>
        <w:rPr>
          <w:rFonts w:ascii="Times New Roman" w:hAnsi="Times New Roman"/>
          <w:sz w:val="20"/>
        </w:rPr>
        <w:t xml:space="preserve">(j) customary provisions in joint venture agreements and other similar agreements applicable to joint ventures permitted by Section 6.04; </w:t>
      </w:r>
    </w:p>
    <w:p>
      <w:pPr>
        <w:pStyle w:val="TextBody"/>
        <w:bidi w:val="0"/>
        <w:spacing w:before="120" w:after="0"/>
        <w:jc w:val="left"/>
        <w:rPr>
          <w:rFonts w:ascii="Times New Roman" w:hAnsi="Times New Roman"/>
          <w:sz w:val="20"/>
        </w:rPr>
      </w:pPr>
      <w:r>
        <w:rPr>
          <w:rFonts w:ascii="Times New Roman" w:hAnsi="Times New Roman"/>
          <w:sz w:val="20"/>
        </w:rPr>
        <w:t xml:space="preserve">(k) customary restrictions contained in leases, subleases, licenses, sublicenses or asset sale agreements otherwise permitted hereby so long as such restrictions relate only to the assets subject thereto; </w:t>
      </w:r>
    </w:p>
    <w:p>
      <w:pPr>
        <w:pStyle w:val="TextBody"/>
        <w:bidi w:val="0"/>
        <w:spacing w:before="120" w:after="0"/>
        <w:jc w:val="left"/>
        <w:rPr>
          <w:rFonts w:ascii="Times New Roman" w:hAnsi="Times New Roman"/>
          <w:sz w:val="20"/>
        </w:rPr>
      </w:pPr>
      <w:r>
        <w:rPr>
          <w:rFonts w:ascii="Times New Roman" w:hAnsi="Times New Roman"/>
          <w:sz w:val="20"/>
        </w:rPr>
        <w:t xml:space="preserve">(l) customary provisions restricting subletting or assignment of any lease governing a leasehold interest of Holdings, any Intermediate Parent, the Borrower or any 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(m) 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Amendment of Junior 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Times New Roman" w:hAnsi="Times New Roman"/>
          <w:sz w:val="20"/>
          <w:u w:val="single"/>
        </w:rPr>
        <w:t>provided</w:t>
      </w:r>
      <w:r>
        <w:rPr>
          <w:rFonts w:ascii="Times New Roman" w:hAnsi="Times New Roman"/>
          <w:sz w:val="20"/>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Financial Performance Covenant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Times New Roman" w:hAnsi="Times New Roman"/>
          <w:sz w:val="20"/>
          <w:u w:val="single"/>
        </w:rPr>
        <w:t>plus</w:t>
      </w:r>
      <w:r>
        <w:rPr>
          <w:rFonts w:ascii="Times New Roman" w:hAnsi="Times New Roman"/>
          <w:sz w:val="20"/>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w:t>
      </w:r>
      <w:r>
        <w:rPr>
          <w:rFonts w:ascii="Times New Roman" w:hAnsi="Times New Roman"/>
          <w:strike/>
          <w:color w:val="FF0000"/>
          <w:sz w:val="20"/>
        </w:rPr>
        <w:t>180,000,000</w:t>
      </w:r>
      <w:r>
        <w:rPr>
          <w:rFonts w:ascii="Times New Roman" w:hAnsi="Times New Roman"/>
          <w:color w:val="0000FF"/>
          <w:sz w:val="20"/>
          <w:u w:val="single"/>
          <w:bdr w:val="double" w:sz="2" w:space="1" w:color="000000"/>
        </w:rPr>
        <w:t>169,500,000</w:t>
      </w:r>
      <w:r>
        <w:rPr>
          <w:rFonts w:ascii="Times New Roman" w:hAnsi="Times New Roman"/>
          <w:sz w:val="20"/>
        </w:rPr>
        <w:t xml:space="preserve">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Changes in Fiscal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not make any change in fiscal year;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limitation of this Section 6.12 shall not apply with respect to any short year resulting from the Transactions to occur on the Effective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any of the following events (any such event,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any Loan Party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any Loan Party shall fail to pay any interest on any Loan or any fee or any other amount (other than an amount referred to in paragraph (a) of this Section 7.01) payable under any First Lien Loan Document, when and as the same shall become due and payable, and such failure shall continue unremedied for a period of five (5) Business Days;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(d) (i)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Borrower or any of the Restricted Subsidiaries shall fail to observe or perform the Financial Performance Covenant; </w:t>
      </w:r>
      <w:r>
        <w:rPr>
          <w:rFonts w:ascii="Times New Roman" w:hAnsi="Times New Roman"/>
          <w:sz w:val="20"/>
          <w:u w:val="single"/>
        </w:rPr>
        <w:t>provided</w:t>
      </w:r>
      <w:r>
        <w:rPr>
          <w:rFonts w:ascii="Times New Roman" w:hAnsi="Times New Roman"/>
          <w:sz w:val="20"/>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 (b) 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 </w:t>
      </w:r>
    </w:p>
    <w:p>
      <w:pPr>
        <w:pStyle w:val="TextBody"/>
        <w:bidi w:val="0"/>
        <w:spacing w:before="120" w:after="0"/>
        <w:jc w:val="left"/>
        <w:rPr>
          <w:rFonts w:ascii="Times New Roman" w:hAnsi="Times New Roman"/>
          <w:sz w:val="20"/>
        </w:rPr>
      </w:pPr>
      <w:r>
        <w:rPr>
          <w:rFonts w:ascii="Times New Roman" w:hAnsi="Times New Roman"/>
          <w:sz w:val="20"/>
        </w:rPr>
        <w:t xml:space="preserve">(e) 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(f) 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 </w:t>
      </w:r>
    </w:p>
    <w:p>
      <w:pPr>
        <w:pStyle w:val="TextBody"/>
        <w:bidi w:val="0"/>
        <w:spacing w:before="120" w:after="0"/>
        <w:jc w:val="left"/>
        <w:rPr>
          <w:rFonts w:ascii="Times New Roman" w:hAnsi="Times New Roman"/>
          <w:sz w:val="20"/>
        </w:rPr>
      </w:pPr>
      <w:r>
        <w:rPr>
          <w:rFonts w:ascii="Times New Roman" w:hAnsi="Times New Roman"/>
          <w:sz w:val="20"/>
        </w:rPr>
        <w:t xml:space="preserve">(g)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Times New Roman" w:hAnsi="Times New Roman"/>
          <w:sz w:val="20"/>
          <w:u w:val="single"/>
        </w:rPr>
        <w:t>provided further</w:t>
      </w:r>
      <w:r>
        <w:rPr>
          <w:rFonts w:ascii="Times New Roman" w:hAnsi="Times New Roman"/>
          <w:sz w:val="20"/>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w:t>
      </w:r>
    </w:p>
    <w:p>
      <w:pPr>
        <w:pStyle w:val="TextBody"/>
        <w:bidi w:val="0"/>
        <w:spacing w:before="12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 </w:t>
      </w:r>
    </w:p>
    <w:p>
      <w:pPr>
        <w:pStyle w:val="TextBody"/>
        <w:bidi w:val="0"/>
        <w:spacing w:before="120" w:after="0"/>
        <w:jc w:val="left"/>
        <w:rPr>
          <w:rFonts w:ascii="Times New Roman" w:hAnsi="Times New Roman"/>
          <w:sz w:val="20"/>
        </w:rPr>
      </w:pPr>
      <w:r>
        <w:rPr>
          <w:rFonts w:ascii="Times New Roman" w:hAnsi="Times New Roman"/>
          <w:sz w:val="20"/>
        </w:rPr>
        <w:t xml:space="preserve">(i) 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one or more enforceable judgments for the payment of money in an aggregate amount in excess of $100,000,000 (to the extent not covered by insurance as to which the insurer has been notified of such judgment or order and has not denied coverage) shall be rendered against Holdings, any Intermediate Parent, the Borrower and any of its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any Intermediate Parent, the Borrower and the Restricted Subsidiaries, taken as a whole, to enforce any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an ERISA Event occurs that has resulted or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 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First Lien Loan Documents, (ii) as a result of the First Lien Administrative Agents failure to (A) maintain possession of any stock certificates, promissory notes or other instruments delivered to it under the Security Documents or (B) file Uniform Commercial Code amendment or continuation financing statements or (iii) as to Collateral consisting of Material Real Property to the extent that such losses are covered by a lenders title insurance policy and such insurer has not denied coverage or (iv) as a result of acts or omissions of the First Lien Administrative Agent or any Lender; </w:t>
      </w:r>
    </w:p>
    <w:p>
      <w:pPr>
        <w:pStyle w:val="TextBody"/>
        <w:bidi w:val="0"/>
        <w:spacing w:before="120" w:after="0"/>
        <w:jc w:val="left"/>
        <w:rPr>
          <w:rFonts w:ascii="Times New Roman" w:hAnsi="Times New Roman"/>
          <w:sz w:val="20"/>
        </w:rPr>
      </w:pPr>
      <w:r>
        <w:rPr>
          <w:rFonts w:ascii="Times New Roman" w:hAnsi="Times New Roman"/>
          <w:sz w:val="20"/>
        </w:rPr>
        <w:t xml:space="preserve">(m) 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 </w:t>
      </w:r>
    </w:p>
    <w:p>
      <w:pPr>
        <w:pStyle w:val="TextBody"/>
        <w:bidi w:val="0"/>
        <w:spacing w:before="120" w:after="0"/>
        <w:jc w:val="left"/>
        <w:rPr>
          <w:rFonts w:ascii="Times New Roman" w:hAnsi="Times New Roman"/>
          <w:sz w:val="20"/>
        </w:rPr>
      </w:pPr>
      <w:r>
        <w:rPr>
          <w:rFonts w:ascii="Times New Roman" w:hAnsi="Times New Roman"/>
          <w:sz w:val="20"/>
        </w:rPr>
        <w:t xml:space="preserve">(n) any Guarantees of the First Lien Loan Document Obligations by any Loan Party pursuant to the First Lien Guarantee Agreement shall cease to be in full force and effect (in each case, other than in accordance with the terms of the First Lien Loan Documents); or </w:t>
      </w:r>
    </w:p>
    <w:p>
      <w:pPr>
        <w:pStyle w:val="TextBody"/>
        <w:bidi w:val="0"/>
        <w:spacing w:before="120" w:after="0"/>
        <w:jc w:val="left"/>
        <w:rPr>
          <w:rFonts w:ascii="Times New Roman" w:hAnsi="Times New Roman"/>
          <w:sz w:val="20"/>
        </w:rPr>
      </w:pPr>
      <w:r>
        <w:rPr>
          <w:rFonts w:ascii="Times New Roman" w:hAnsi="Times New Roman"/>
          <w:sz w:val="20"/>
        </w:rPr>
        <w:t xml:space="preserve">(o) a Change of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 to Cure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Times New Roman" w:hAnsi="Times New Roman"/>
          <w:sz w:val="20"/>
          <w:u w:val="single"/>
        </w:rPr>
        <w:t>Cure Right</w:t>
      </w:r>
      <w:r>
        <w:rPr>
          <w:rFonts w:ascii="Times New Roman" w:hAnsi="Times New Roman"/>
          <w:sz w:val="20"/>
        </w:rPr>
        <w:t>), and upon the receipt by the Borrower of the Net Proceeds of such issuance (the </w:t>
      </w:r>
      <w:r>
        <w:rPr>
          <w:rFonts w:ascii="Times New Roman" w:hAnsi="Times New Roman"/>
          <w:sz w:val="20"/>
          <w:u w:val="single"/>
        </w:rPr>
        <w:t>Cure Amount</w:t>
      </w:r>
      <w:r>
        <w:rPr>
          <w:rFonts w:ascii="Times New Roman" w:hAnsi="Times New Roman"/>
          <w:sz w:val="20"/>
        </w:rPr>
        <w:t xml:space="preserve">) pursuant to the exercise by Holdings of such Cure Right the Financial Performance Covenant shall be recalculated giving effect to one of the following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 </w:t>
      </w:r>
    </w:p>
    <w:p>
      <w:pPr>
        <w:pStyle w:val="TextBody"/>
        <w:bidi w:val="0"/>
        <w:spacing w:before="120" w:after="0"/>
        <w:jc w:val="left"/>
        <w:rPr>
          <w:rFonts w:ascii="Times New Roman" w:hAnsi="Times New Roman"/>
          <w:sz w:val="20"/>
        </w:rPr>
      </w:pPr>
      <w:r>
        <w:rPr>
          <w:rFonts w:ascii="Times New Roman" w:hAnsi="Times New Roman"/>
          <w:sz w:val="20"/>
        </w:rPr>
        <w:t xml:space="preserve">(ii) 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 in each four consecutive fiscal quarter period of the Borrower there shall be at least one (1) fiscal quarter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Application of Proceeds</w:t>
      </w:r>
      <w:r>
        <w:rPr>
          <w:rFonts w:ascii="Times New Roman" w:hAnsi="Times New Roman"/>
          <w:sz w:val="20"/>
        </w:rPr>
        <w:t xml:space="preserve">. Subject to the terms of any applicable Intercreditor Agreement, the First Lien Collateral Agent shall apply the proceeds of any collection or sale of Collateral, including any Collateral consisting of cash, as follows: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to the payment in full of the Secured Obligations (the amounts so applied to be distributed among the Secured Parties pro rata in accordance with the amounts of the Secured Obligations owed to them on the date of any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THIRD, to any agent of any other junior secured debt, in accordance with any applicable intercreditor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FOURTH, to the Loan Parties, their successors or assigns, or as a court of competent jurisdiction may otherwise direct.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 and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Lenders and the Issuing Bank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 </w:t>
      </w:r>
    </w:p>
    <w:p>
      <w:pPr>
        <w:pStyle w:val="TextBody"/>
        <w:bidi w:val="0"/>
        <w:spacing w:before="120" w:after="0"/>
        <w:jc w:val="left"/>
        <w:rPr>
          <w:rFonts w:ascii="Times New Roman" w:hAnsi="Times New Roman"/>
          <w:sz w:val="20"/>
        </w:rPr>
      </w:pPr>
      <w:r>
        <w:rPr>
          <w:rFonts w:ascii="Times New Roman" w:hAnsi="Times New Roman"/>
          <w:sz w:val="20"/>
        </w:rPr>
        <w:t xml:space="preserve">(b) 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as a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First Lien Administrative Agent shall not have any duties or obligations except those expressly set forth herein and in the other First Lien Loan Documents. Without limiting the generality of the foregoing, the First Lien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Times New Roman" w:hAnsi="Times New Roman"/>
          <w:sz w:val="20"/>
          <w:u w:val="single"/>
        </w:rPr>
        <w:t>provided</w:t>
      </w:r>
      <w:r>
        <w:rPr>
          <w:rFonts w:ascii="Times New Roman" w:hAnsi="Times New Roman"/>
          <w:sz w:val="20"/>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 </w:t>
      </w:r>
    </w:p>
    <w:p>
      <w:pPr>
        <w:pStyle w:val="TextBody"/>
        <w:bidi w:val="0"/>
        <w:spacing w:before="120" w:after="0"/>
        <w:jc w:val="left"/>
        <w:rPr>
          <w:rFonts w:ascii="Times New Roman" w:hAnsi="Times New Roman"/>
          <w:sz w:val="20"/>
        </w:rPr>
      </w:pPr>
      <w:r>
        <w:rPr>
          <w:rFonts w:ascii="Times New Roman" w:hAnsi="Times New Roman"/>
          <w:sz w:val="20"/>
        </w:rPr>
        <w:t xml:space="preserve">(d) 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Times New Roman" w:hAnsi="Times New Roman"/>
          <w:sz w:val="20"/>
          <w:u w:val="single"/>
        </w:rPr>
        <w:t>provided</w:t>
      </w:r>
      <w:r>
        <w:rPr>
          <w:rFonts w:ascii="Times New Roman" w:hAnsi="Times New Roman"/>
          <w:sz w:val="20"/>
        </w:rPr>
        <w:t xml:space="preserve"> that the First Lien Administrative Agent shall be deemed not to have knowledge of any Default unless and until written notice describing such Default is given to the First Lien Administrative Agent by the Borrower, a Lender or the Issuing Bank; and </w:t>
      </w:r>
    </w:p>
    <w:p>
      <w:pPr>
        <w:pStyle w:val="TextBody"/>
        <w:bidi w:val="0"/>
        <w:spacing w:before="120" w:after="0"/>
        <w:jc w:val="left"/>
        <w:rPr>
          <w:rFonts w:ascii="Times New Roman" w:hAnsi="Times New Roman"/>
          <w:sz w:val="20"/>
        </w:rPr>
      </w:pPr>
      <w:r>
        <w:rPr>
          <w:rFonts w:ascii="Times New Roman" w:hAnsi="Times New Roman"/>
          <w:sz w:val="20"/>
        </w:rPr>
        <w:t xml:space="preserve">(e) 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First Lien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Delegation of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Resignation of First Lien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Times New Roman" w:hAnsi="Times New Roman"/>
          <w:sz w:val="20"/>
          <w:u w:val="single"/>
        </w:rPr>
        <w:t>Resignation Effective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 First Lien Administrative Agent shall notify the Borrower and the Lenders that no qualifying Person accepted such appointment, then such resignation shall nonetheless become effective in accordance with such notice. </w:t>
      </w:r>
    </w:p>
    <w:p>
      <w:pPr>
        <w:pStyle w:val="TextBody"/>
        <w:bidi w:val="0"/>
        <w:spacing w:before="240" w:after="0"/>
        <w:jc w:val="left"/>
        <w:rPr>
          <w:rFonts w:ascii="Times New Roman" w:hAnsi="Times New Roman"/>
          <w:sz w:val="20"/>
        </w:rPr>
      </w:pPr>
      <w:r>
        <w:rPr>
          <w:rFonts w:ascii="Times New Roman" w:hAnsi="Times New Roman"/>
          <w:sz w:val="20"/>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Non-Reliance on First Lien Administrative Agent and Other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No Other Duties,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First Lien Administrative Agent May File Proofs of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No Waiver; Cumulative Remedies; Enforcement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foregoing shall not prohibit (a) 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 further</w:t>
      </w:r>
      <w:r>
        <w:rPr>
          <w:rFonts w:ascii="Times New Roman" w:hAnsi="Times New Roman"/>
          <w:sz w:val="20"/>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First Lien Administrative Agent, in its sole discretion, and such Lender. </w:t>
      </w:r>
    </w:p>
    <w:p>
      <w:pPr>
        <w:pStyle w:val="TextBody"/>
        <w:bidi w:val="0"/>
        <w:spacing w:before="12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First Lien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 Document or any documents related hereto or thereto).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Holdings, the Borrower, the First Lien Administrative Agent, the Issuing Bank or the Swingline Lender, to the address, fax number, e-mail address or telephone number specified for such Person on Schedule 9.01;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First Lien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no event shall any Agent Party have any liability to Holdings, the Borrower, any Lender, the Issuing Bank or any other Person for indirect, special, incidental, consequential or punitive damages (as opposed to direct or actual damages).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 xml:space="preserve">Reliance by </w:t>
      </w:r>
      <w:r>
        <w:rPr>
          <w:rFonts w:ascii="Times New Roman" w:hAnsi="Times New Roman"/>
          <w:sz w:val="20"/>
        </w:rPr>
        <w:t xml:space="preserve">First Lien </w:t>
      </w:r>
      <w:r>
        <w:rPr>
          <w:rFonts w:ascii="Times New Roman" w:hAnsi="Times New Roman"/>
          <w:sz w:val="20"/>
          <w:u w:val="single"/>
        </w:rPr>
        <w:t>Administrative Agent, Issuing Bank and Lenders</w:t>
      </w:r>
      <w:r>
        <w:rPr>
          <w:rFonts w:ascii="Times New Roman" w:hAnsi="Times New Roman"/>
          <w:sz w:val="20"/>
        </w:rPr>
        <w:t xml:space="preserve">.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Times New Roman" w:hAnsi="Times New Roman"/>
          <w:sz w:val="20"/>
          <w:u w:val="single"/>
        </w:rPr>
        <w:t>provided</w:t>
      </w:r>
      <w:r>
        <w:rPr>
          <w:rFonts w:ascii="Times New Roman" w:hAnsi="Times New Roman"/>
          <w:sz w:val="20"/>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hAnsi="Times New Roman"/>
          <w:sz w:val="20"/>
          <w:u w:val="single"/>
        </w:rPr>
        <w:t>provided</w:t>
      </w:r>
      <w:r>
        <w:rPr>
          <w:rFonts w:ascii="Times New Roman" w:hAnsi="Times New Roman"/>
          <w:sz w:val="20"/>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Times New Roman" w:hAnsi="Times New Roman"/>
          <w:sz w:val="20"/>
          <w:u w:val="single"/>
        </w:rPr>
        <w:t>provided</w:t>
      </w:r>
      <w:r>
        <w:rPr>
          <w:rFonts w:ascii="Times New Roman" w:hAnsi="Times New Roman"/>
          <w:sz w:val="20"/>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 </w:t>
      </w:r>
    </w:p>
    <w:p>
      <w:pPr>
        <w:pStyle w:val="TextBody"/>
        <w:bidi w:val="0"/>
        <w:spacing w:before="120" w:after="0"/>
        <w:jc w:val="left"/>
        <w:rPr>
          <w:rFonts w:ascii="Times New Roman" w:hAnsi="Times New Roman"/>
          <w:sz w:val="20"/>
        </w:rPr>
      </w:pPr>
      <w:r>
        <w:rPr>
          <w:rFonts w:ascii="Times New Roman" w:hAnsi="Times New Roman"/>
          <w:sz w:val="20"/>
        </w:rPr>
        <w:t>(c) In connection with any proposed amendment, modification, waiver or termination (a </w:t>
      </w:r>
      <w:r>
        <w:rPr>
          <w:rFonts w:ascii="Times New Roman" w:hAnsi="Times New Roman"/>
          <w:sz w:val="20"/>
          <w:u w:val="single"/>
        </w:rPr>
        <w:t>Proposed Change</w:t>
      </w:r>
      <w:r>
        <w:rPr>
          <w:rFonts w:ascii="Times New Roman" w:hAnsi="Times New Roman"/>
          <w:sz w:val="20"/>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 w:hAnsi="Times New Roman"/>
          <w:sz w:val="20"/>
          <w:u w:val="single"/>
        </w:rPr>
        <w:t>Non-Consenting Lender</w:t>
      </w:r>
      <w:r>
        <w:rPr>
          <w:rFonts w:ascii="Times New Roman" w:hAnsi="Times New Roman"/>
          <w:sz w:val="20"/>
        </w:rPr>
        <w:t xml:space="preserve">), then, so long as the Lender that is acting as First Lien Administrative Agent is not a Non-Consenting Lender, the Borrower may, at its sole expense and effort, upon notice to such Non-Consenting Lender and the First Lien Administrative Agent, either (i) if exists, permanently prepay all of the Loans of any Class owing by it to, and terminating any Commitments of such Non-Consenting Lender or (ii)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hereunder (including any consent to any amendment or waiver pursuant to this Section 9.02); </w:t>
      </w:r>
      <w:r>
        <w:rPr>
          <w:rFonts w:ascii="Times New Roman" w:hAnsi="Times New Roman"/>
          <w:sz w:val="20"/>
          <w:u w:val="single"/>
        </w:rPr>
        <w:t>provided</w:t>
      </w:r>
      <w:r>
        <w:rPr>
          <w:rFonts w:ascii="Times New Roman" w:hAnsi="Times New Roman"/>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Times New Roman" w:hAnsi="Times New Roman"/>
          <w:sz w:val="20"/>
          <w:u w:val="single"/>
        </w:rPr>
        <w:t>Section 9.02(h)</w:t>
      </w:r>
      <w:r>
        <w:rPr>
          <w:rFonts w:ascii="Times New Roman" w:hAnsi="Times New Roman"/>
          <w:sz w:val="20"/>
        </w:rPr>
        <w:t xml:space="preserve"> (for the avoidance of doubt, other than a Net Short Lender that is also a Disqualified Lender, which shall be subject to the preceding </w:t>
      </w:r>
      <w:r>
        <w:rPr>
          <w:rFonts w:ascii="Times New Roman" w:hAnsi="Times New Roman"/>
          <w:sz w:val="20"/>
          <w:u w:val="single"/>
        </w:rPr>
        <w:t>clause (ii)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hAnsi="Times New Roman"/>
          <w:sz w:val="20"/>
          <w:u w:val="single"/>
        </w:rPr>
        <w:t>provided</w:t>
      </w:r>
      <w:r>
        <w:rPr>
          <w:rFonts w:ascii="Times New Roman" w:hAnsi="Times New Roman"/>
          <w:sz w:val="20"/>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 any Lender that is a Regulated Bank and (y) any Revolving Lender as of the Effective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w:t>
      </w:r>
      <w:r>
        <w:rPr>
          <w:rFonts w:ascii="Times New Roman" w:hAnsi="Times New Roman"/>
          <w:strike/>
          <w:color w:val="FF0000"/>
          <w:sz w:val="20"/>
        </w:rPr>
        <w:t>(i) Milbank LLP for any and all of the foregoing in connection with the Transactions and Amendment No.1 and other matters, including the primary syndication, to occur on or prior to or otherwise in connection with the Effective Date and the Amendment No. 1 Effective Date and (ii) </w:t>
      </w:r>
      <w:r>
        <w:rPr>
          <w:rFonts w:ascii="Times New Roman" w:hAnsi="Times New Roman"/>
          <w:sz w:val="20"/>
        </w:rPr>
        <w:t>Latham &amp; Watkins LLP for any and all of the foregoing in connection with Amendment No. 2</w:t>
      </w:r>
      <w:r>
        <w:rPr>
          <w:rFonts w:ascii="Times New Roman" w:hAnsi="Times New Roman"/>
          <w:color w:val="0000FF"/>
          <w:sz w:val="20"/>
          <w:u w:val="single"/>
          <w:bdr w:val="double" w:sz="2" w:space="1" w:color="000000"/>
        </w:rPr>
        <w:t xml:space="preserve"> and Amendment No. 3</w:t>
      </w:r>
      <w:r>
        <w:rPr>
          <w:rFonts w:ascii="Times New Roman" w:hAnsi="Times New Roman"/>
          <w:sz w:val="20"/>
        </w:rPr>
        <w:t xml:space="preserve">, including the primary syndication, to occur on or prior to or otherwise in connection with the Amendment No.2 Effective </w:t>
      </w:r>
      <w:r>
        <w:rPr>
          <w:rFonts w:ascii="Times New Roman" w:hAnsi="Times New Roman"/>
          <w:color w:val="0000FF"/>
          <w:sz w:val="20"/>
          <w:u w:val="single"/>
          <w:bdr w:val="double" w:sz="2" w:space="1" w:color="000000"/>
        </w:rPr>
        <w:t xml:space="preserve">Date or the Amendment No. 3 Effective </w:t>
      </w:r>
      <w:r>
        <w:rPr>
          <w:rFonts w:ascii="Times New Roman" w:hAnsi="Times New Roman"/>
          <w:sz w:val="20"/>
        </w:rPr>
        <w:t xml:space="preserve">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 </w:t>
      </w:r>
    </w:p>
    <w:p>
      <w:pPr>
        <w:pStyle w:val="TextBody"/>
        <w:bidi w:val="0"/>
        <w:spacing w:before="120" w:after="0"/>
        <w:jc w:val="left"/>
        <w:rPr>
          <w:rFonts w:ascii="Times New Roman" w:hAnsi="Times New Roman"/>
          <w:sz w:val="20"/>
        </w:rPr>
      </w:pPr>
      <w:r>
        <w:rPr>
          <w:rFonts w:ascii="Times New Roman" w:hAnsi="Times New Roman"/>
          <w:sz w:val="20"/>
        </w:rPr>
        <w:t>(b) 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Times New Roman" w:hAnsi="Times New Roman"/>
          <w:sz w:val="20"/>
          <w:u w:val="single"/>
        </w:rPr>
        <w:t>provided</w:t>
      </w:r>
      <w:r>
        <w:rPr>
          <w:rFonts w:ascii="Times New Roman" w:hAnsi="Times New Roman"/>
          <w:sz w:val="20"/>
        </w:rPr>
        <w:t xml:space="preserve">,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Times New Roman" w:hAnsi="Times New Roman"/>
          <w:sz w:val="20"/>
          <w:u w:val="single"/>
        </w:rPr>
        <w:t xml:space="preserve">provided </w:t>
      </w:r>
      <w:r>
        <w:rPr>
          <w:rFonts w:ascii="Times New Roman" w:hAnsi="Times New Roman"/>
          <w:sz w:val="20"/>
        </w:rPr>
        <w:t xml:space="preserve">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Times New Roman" w:hAnsi="Times New Roman"/>
          <w:i/>
          <w:sz w:val="20"/>
        </w:rPr>
        <w:t>mutatis mutandis</w:t>
      </w:r>
      <w:r>
        <w:rPr>
          <w:rFonts w:ascii="Times New Roman" w:hAnsi="Times New Roman"/>
          <w:sz w:val="20"/>
        </w:rPr>
        <w:t xml:space="preserve"> to the Lenders obligations under this paragraph (c)).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hAnsi="Times New Roman"/>
          <w:sz w:val="20"/>
          <w:u w:val="single"/>
        </w:rPr>
        <w:t>provided</w:t>
      </w:r>
      <w:r>
        <w:rPr>
          <w:rFonts w:ascii="Times New Roman" w:hAnsi="Times New Roman"/>
          <w:sz w:val="20"/>
        </w:rPr>
        <w:t xml:space="preserve"> that the foregoing shall in no event limit the Borrowers indemnification obligations under clause (b) above. </w:t>
      </w:r>
    </w:p>
    <w:p>
      <w:pPr>
        <w:pStyle w:val="TextBody"/>
        <w:bidi w:val="0"/>
        <w:spacing w:before="120" w:after="0"/>
        <w:jc w:val="left"/>
        <w:rPr>
          <w:rFonts w:ascii="Times New Roman" w:hAnsi="Times New Roman"/>
          <w:sz w:val="20"/>
        </w:rPr>
      </w:pPr>
      <w:r>
        <w:rPr>
          <w:rFonts w:ascii="Times New Roman" w:hAnsi="Times New Roman"/>
          <w:sz w:val="20"/>
        </w:rPr>
        <w:t xml:space="preserve">(e) In case any proceeding is instituted involving any Indemnitee for which indemnification is to be sought hereunder by such Indemnitee, then such Indemnitee will promptly notify the Borrower of the commencement of any proceeding;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Times New Roman" w:hAnsi="Times New Roman"/>
          <w:sz w:val="20"/>
          <w:u w:val="single"/>
        </w:rPr>
        <w:t>except</w:t>
      </w:r>
      <w:r>
        <w:rPr>
          <w:rFonts w:ascii="Times New Roman" w:hAnsi="Times New Roman"/>
          <w:sz w:val="20"/>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(g) All amounts due under this Section 9.03 shall be payable not later than ten (10) Business Days after written demand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Indemnitee shall promptly refund an indemnification payment received hereunder to the extent that there is a final judicial determination that such Indemnitee was not entitled to indemnification with respect to such payment pursuant to this Section 9.03.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Times New Roman" w:hAnsi="Times New Roman"/>
          <w:sz w:val="20"/>
          <w:u w:val="single"/>
        </w:rPr>
        <w:t>provided</w:t>
      </w:r>
      <w:r>
        <w:rPr>
          <w:rFonts w:ascii="Times New Roman" w:hAnsi="Times New Roman"/>
          <w:sz w:val="20"/>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Times New Roman" w:hAnsi="Times New Roman"/>
          <w:sz w:val="20"/>
          <w:u w:val="single"/>
        </w:rPr>
        <w:t>provided</w:t>
      </w:r>
      <w:r>
        <w:rPr>
          <w:rFonts w:ascii="Times New Roman" w:hAnsi="Times New Roman"/>
          <w:sz w:val="20"/>
        </w:rPr>
        <w:t xml:space="preserve"> that no consent of the First Lien Administrative Agent shall be required for an assignment of a Term Loan or assignments pursuant to the proviso in clause (z) of Section 9.04(b)(i)(A) to (x) a Revolving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Times New Roman" w:hAnsi="Times New Roman"/>
          <w:sz w:val="20"/>
          <w:u w:val="single"/>
        </w:rPr>
        <w:t>provided</w:t>
      </w:r>
      <w:r>
        <w:rPr>
          <w:rFonts w:ascii="Times New Roman" w:hAnsi="Times New Roman"/>
          <w:sz w:val="20"/>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in the case of Revolving Loans, not be less than $2,500,000 or, in the case of a Term Loan, $1,000,000,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Borrower and the First Lien Administrative Agent otherwise consent (in each case, such consent not to be unreasonably withheld or delayed);</w:t>
      </w:r>
      <w:r>
        <w:rPr>
          <w:rFonts w:ascii="Times New Roman" w:hAnsi="Times New Roman"/>
          <w:sz w:val="20"/>
          <w:u w:val="single"/>
        </w:rPr>
        <w:t xml:space="preserve"> provided</w:t>
      </w:r>
      <w:r>
        <w:rPr>
          <w:rFonts w:ascii="Times New Roman" w:hAnsi="Times New Roman"/>
          <w:sz w:val="20"/>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Times New Roman" w:hAnsi="Times New Roman"/>
          <w:sz w:val="20"/>
          <w:u w:val="single"/>
        </w:rPr>
        <w:t>provided</w:t>
      </w:r>
      <w:r>
        <w:rPr>
          <w:rFonts w:ascii="Times New Roman" w:hAnsi="Times New Roman"/>
          <w:sz w:val="20"/>
        </w:rPr>
        <w:t xml:space="preserve"> that the First Lien Administrative Agent, in its sole discretion, may elect to waive or reduce such processing and recordation fee; </w:t>
      </w:r>
      <w:r>
        <w:rPr>
          <w:rFonts w:ascii="Times New Roman" w:hAnsi="Times New Roman"/>
          <w:sz w:val="20"/>
          <w:u w:val="single"/>
        </w:rPr>
        <w:t>provided further</w:t>
      </w:r>
      <w:r>
        <w:rPr>
          <w:rFonts w:ascii="Times New Roman" w:hAnsi="Times New Roman"/>
          <w:sz w:val="20"/>
        </w:rPr>
        <w:t xml:space="preserve">, that such processing and recordation fee shall not be payable in the case of assignments by any Agent or any Lender to any of its Affiliates; </w:t>
      </w:r>
      <w:r>
        <w:rPr>
          <w:rFonts w:ascii="Times New Roman" w:hAnsi="Times New Roman"/>
          <w:sz w:val="20"/>
          <w:u w:val="single"/>
        </w:rPr>
        <w:t>provided further</w:t>
      </w:r>
      <w:r>
        <w:rPr>
          <w:rFonts w:ascii="Times New Roman" w:hAnsi="Times New Roman"/>
          <w:sz w:val="20"/>
        </w:rPr>
        <w:t xml:space="preserve"> that any such Assignment and Assumption shall include a representation by the assignee that the assignee is not a Disqualified Lender or an Affiliate of a Disqualified Lender; </w:t>
      </w:r>
      <w:r>
        <w:rPr>
          <w:rFonts w:ascii="Times New Roman" w:hAnsi="Times New Roman"/>
          <w:sz w:val="20"/>
          <w:u w:val="single"/>
        </w:rPr>
        <w:t>provided further</w:t>
      </w:r>
      <w:r>
        <w:rPr>
          <w:rFonts w:ascii="Times New Roman" w:hAnsi="Times New Roman"/>
          <w:sz w:val="20"/>
        </w:rPr>
        <w:t xml:space="preserve"> 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Times New Roman" w:hAnsi="Times New Roman"/>
          <w:sz w:val="20"/>
          <w:u w:val="single"/>
        </w:rPr>
        <w:t>provided</w:t>
      </w:r>
      <w:r>
        <w:rPr>
          <w:rFonts w:ascii="Times New Roman" w:hAnsi="Times New Roman"/>
          <w:sz w:val="20"/>
        </w:rPr>
        <w:t xml:space="preserve"> that no such consent of the Borrower shall be required if a Specified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 </w:t>
      </w:r>
    </w:p>
    <w:p>
      <w:pPr>
        <w:pStyle w:val="TextBody"/>
        <w:bidi w:val="0"/>
        <w:spacing w:before="120" w:after="0"/>
        <w:jc w:val="left"/>
        <w:rPr>
          <w:rFonts w:ascii="Times New Roman" w:hAnsi="Times New Roman"/>
          <w:sz w:val="20"/>
        </w:rPr>
      </w:pPr>
      <w:r>
        <w:rPr>
          <w:rFonts w:ascii="Times New Roman" w:hAnsi="Times New Roman"/>
          <w:sz w:val="20"/>
        </w:rPr>
        <w:t>(iv) 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120" w:after="0"/>
        <w:jc w:val="left"/>
        <w:rPr>
          <w:rFonts w:ascii="Times New Roman" w:hAnsi="Times New Roman"/>
          <w:sz w:val="20"/>
        </w:rPr>
      </w:pPr>
      <w:r>
        <w:rPr>
          <w:rFonts w:ascii="Times New Roman" w:hAnsi="Times New Roman"/>
          <w:sz w:val="20"/>
        </w:rPr>
        <w:t>(c) (i) Any Lender may, without the consent of the Borrower, the First Lien Administrative Agent, the Issuing Banks or the Swingline Lender, sell participations to one or more banks or other Persons (other than to a Person that is not an Eligible Assignee)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Section 2.18(c) as though it were a Lender. </w:t>
      </w:r>
    </w:p>
    <w:p>
      <w:pPr>
        <w:pStyle w:val="TextBody"/>
        <w:bidi w:val="0"/>
        <w:spacing w:before="120" w:after="0"/>
        <w:jc w:val="left"/>
        <w:rPr>
          <w:rFonts w:ascii="Times New Roman" w:hAnsi="Times New Roman"/>
          <w:sz w:val="20"/>
        </w:rPr>
      </w:pPr>
      <w:r>
        <w:rPr>
          <w:rFonts w:ascii="Times New Roman" w:hAnsi="Times New Roman"/>
          <w:sz w:val="20"/>
        </w:rPr>
        <w:t>(ii)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(iii) 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any Lender may, at any time, assign all or a portion of its rights and obligations under this Agreement to an Affiliated Lender subject to the following limitations: </w:t>
      </w:r>
    </w:p>
    <w:p>
      <w:pPr>
        <w:pStyle w:val="TextBody"/>
        <w:bidi w:val="0"/>
        <w:spacing w:before="120" w:after="0"/>
        <w:jc w:val="left"/>
        <w:rPr>
          <w:rFonts w:ascii="Times New Roman" w:hAnsi="Times New Roman"/>
          <w:sz w:val="20"/>
        </w:rPr>
      </w:pPr>
      <w:r>
        <w:rPr>
          <w:rFonts w:ascii="Times New Roman" w:hAnsi="Times New Roman"/>
          <w:sz w:val="20"/>
        </w:rPr>
        <w:t xml:space="preserve">(i) 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 </w:t>
      </w:r>
    </w:p>
    <w:p>
      <w:pPr>
        <w:pStyle w:val="TextBody"/>
        <w:bidi w:val="0"/>
        <w:spacing w:before="120" w:after="0"/>
        <w:jc w:val="left"/>
        <w:rPr>
          <w:rFonts w:ascii="Times New Roman" w:hAnsi="Times New Roman"/>
          <w:sz w:val="20"/>
        </w:rPr>
      </w:pPr>
      <w:r>
        <w:rPr>
          <w:rFonts w:ascii="Times New Roman" w:hAnsi="Times New Roman"/>
          <w:sz w:val="20"/>
        </w:rPr>
        <w:t xml:space="preserve">(ii) 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 w:hAnsi="Times New Roman"/>
          <w:sz w:val="20"/>
          <w:u w:val="single"/>
        </w:rPr>
        <w:t>provided</w:t>
      </w:r>
      <w:r>
        <w:rPr>
          <w:rFonts w:ascii="Times New Roman" w:hAnsi="Times New Roman"/>
          <w:sz w:val="20"/>
        </w:rPr>
        <w:t xml:space="preserve"> that Affiliated Debt Funds will not be subject to such voting limitations and will be entitled to vote as any other Lender; </w:t>
      </w:r>
      <w:r>
        <w:rPr>
          <w:rFonts w:ascii="Times New Roman" w:hAnsi="Times New Roman"/>
          <w:sz w:val="20"/>
          <w:u w:val="single"/>
        </w:rPr>
        <w:t>provided</w:t>
      </w:r>
      <w:r>
        <w:rPr>
          <w:rFonts w:ascii="Times New Roman" w:hAnsi="Times New Roman"/>
          <w:sz w:val="20"/>
        </w:rPr>
        <w:t xml:space="preserve"> further that Affiliated Debt Funds may not account for more than 49.9% of the Required Lenders in any Required Lender vote; </w:t>
      </w:r>
    </w:p>
    <w:p>
      <w:pPr>
        <w:pStyle w:val="TextBody"/>
        <w:bidi w:val="0"/>
        <w:spacing w:before="120" w:after="0"/>
        <w:jc w:val="left"/>
        <w:rPr>
          <w:rFonts w:ascii="Times New Roman" w:hAnsi="Times New Roman"/>
          <w:sz w:val="20"/>
        </w:rPr>
      </w:pPr>
      <w:r>
        <w:rPr>
          <w:rFonts w:ascii="Times New Roman" w:hAnsi="Times New Roman"/>
          <w:sz w:val="20"/>
        </w:rPr>
        <w:t xml:space="preserve">(iii) Affiliated Lenders may not purchase Revolving Loans, including pursuant to this Section 9.04;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 </w:t>
      </w:r>
    </w:p>
    <w:p>
      <w:pPr>
        <w:pStyle w:val="TextBody"/>
        <w:bidi w:val="0"/>
        <w:spacing w:before="120" w:after="0"/>
        <w:jc w:val="left"/>
        <w:rPr>
          <w:rFonts w:ascii="Times New Roman" w:hAnsi="Times New Roman"/>
          <w:sz w:val="20"/>
        </w:rPr>
      </w:pPr>
      <w:r>
        <w:rPr>
          <w:rFonts w:ascii="Times New Roman" w:hAnsi="Times New Roman"/>
          <w:sz w:val="20"/>
        </w:rPr>
        <w:t xml:space="preserve">(i) 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Times New Roman" w:hAnsi="Times New Roman"/>
          <w:sz w:val="20"/>
          <w:u w:val="single"/>
        </w:rPr>
        <w:t>provided</w:t>
      </w:r>
      <w:r>
        <w:rPr>
          <w:rFonts w:ascii="Times New Roman" w:hAnsi="Times New Roman"/>
          <w:sz w:val="20"/>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 </w:t>
      </w:r>
    </w:p>
    <w:p>
      <w:pPr>
        <w:pStyle w:val="TextBody"/>
        <w:bidi w:val="0"/>
        <w:spacing w:before="120" w:after="0"/>
        <w:jc w:val="left"/>
        <w:rPr>
          <w:rFonts w:ascii="Times New Roman" w:hAnsi="Times New Roman"/>
          <w:sz w:val="20"/>
        </w:rPr>
      </w:pPr>
      <w:r>
        <w:rPr>
          <w:rFonts w:ascii="Times New Roman" w:hAnsi="Times New Roman"/>
          <w:sz w:val="20"/>
        </w:rPr>
        <w:t xml:space="preserve">(vi) 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 </w:t>
      </w:r>
    </w:p>
    <w:p>
      <w:pPr>
        <w:pStyle w:val="TextBody"/>
        <w:bidi w:val="0"/>
        <w:spacing w:before="120" w:after="0"/>
        <w:jc w:val="left"/>
        <w:rPr>
          <w:rFonts w:ascii="Times New Roman" w:hAnsi="Times New Roman"/>
          <w:sz w:val="20"/>
        </w:rPr>
      </w:pPr>
      <w:r>
        <w:rPr>
          <w:rFonts w:ascii="Times New Roman" w:hAnsi="Times New Roman"/>
          <w:sz w:val="20"/>
        </w:rPr>
        <w:t xml:space="preserve">(g) 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Times New Roman" w:hAnsi="Times New Roman"/>
          <w:sz w:val="20"/>
          <w:u w:val="single"/>
        </w:rPr>
        <w:t>provided</w:t>
      </w:r>
      <w:r>
        <w:rPr>
          <w:rFonts w:ascii="Times New Roman" w:hAnsi="Times New Roman"/>
          <w:sz w:val="20"/>
        </w:rPr>
        <w:t xml:space="preserve"> that (i) the Borrower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Notwithstanding the foregoing, no assignment may be made or participation sold to a Disqualified Lender without the prior written consent of the Borrower; </w:t>
      </w:r>
      <w:r>
        <w:rPr>
          <w:rFonts w:ascii="Times New Roman" w:hAnsi="Times New Roman"/>
          <w:sz w:val="20"/>
          <w:u w:val="single"/>
        </w:rPr>
        <w:t>provided</w:t>
      </w:r>
      <w:r>
        <w:rPr>
          <w:rFonts w:ascii="Times New Roman" w:hAnsi="Times New Roman"/>
          <w:sz w:val="20"/>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Times New Roman" w:hAnsi="Times New Roman"/>
          <w:sz w:val="20"/>
          <w:u w:val="single"/>
        </w:rPr>
        <w:t>provided further</w:t>
      </w:r>
      <w:r>
        <w:rPr>
          <w:rFonts w:ascii="Times New Roman" w:hAnsi="Times New Roman"/>
          <w:sz w:val="20"/>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Times New Roman" w:hAnsi="Times New Roman"/>
          <w:sz w:val="20"/>
          <w:u w:val="single"/>
        </w:rPr>
        <w:t>provided</w:t>
      </w:r>
      <w:r>
        <w:rPr>
          <w:rFonts w:ascii="Times New Roman" w:hAnsi="Times New Roman"/>
          <w:sz w:val="20"/>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 w:hAnsi="Times New Roman"/>
          <w:sz w:val="20"/>
          <w:u w:val="single"/>
        </w:rPr>
        <w:t>provided</w:t>
      </w:r>
      <w:r>
        <w:rPr>
          <w:rFonts w:ascii="Times New Roman" w:hAnsi="Times New Roman"/>
          <w:sz w:val="20"/>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Times New Roman" w:hAnsi="Times New Roman"/>
          <w:sz w:val="20"/>
          <w:u w:val="single"/>
        </w:rPr>
        <w:t>provided</w:t>
      </w:r>
      <w:r>
        <w:rPr>
          <w:rFonts w:ascii="Times New Roman" w:hAnsi="Times New Roman"/>
          <w:sz w:val="20"/>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construed in accordance with and governed by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 </w:t>
      </w:r>
    </w:p>
    <w:p>
      <w:pPr>
        <w:pStyle w:val="TextBody"/>
        <w:bidi w:val="0"/>
        <w:spacing w:before="12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Section 9.01. Nothing in any First Lien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hAnsi="Times New Roman"/>
          <w:sz w:val="20"/>
          <w:u w:val="single"/>
        </w:rPr>
        <w:t>provided</w:t>
      </w:r>
      <w:r>
        <w:rPr>
          <w:rFonts w:ascii="Times New Roman" w:hAnsi="Times New Roman"/>
          <w:sz w:val="20"/>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Times New Roman" w:hAnsi="Times New Roman"/>
          <w:sz w:val="20"/>
          <w:u w:val="single"/>
        </w:rPr>
        <w:t>provided further</w:t>
      </w:r>
      <w:r>
        <w:rPr>
          <w:rFonts w:ascii="Times New Roman" w:hAnsi="Times New Roman"/>
          <w:sz w:val="20"/>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Times New Roman" w:hAnsi="Times New Roman"/>
          <w:sz w:val="20"/>
          <w:u w:val="single"/>
        </w:rPr>
        <w:t>provided</w:t>
      </w:r>
      <w:r>
        <w:rPr>
          <w:rFonts w:ascii="Times New Roman" w:hAnsi="Times New Roman"/>
          <w:sz w:val="20"/>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Times New Roman" w:hAnsi="Times New Roman"/>
          <w:sz w:val="20"/>
          <w:u w:val="single"/>
        </w:rPr>
        <w:t>Information</w:t>
      </w:r>
      <w:r>
        <w:rPr>
          <w:rFonts w:ascii="Times New Roman" w:hAnsi="Times New Roman"/>
          <w:sz w:val="20"/>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Times New Roman" w:hAnsi="Times New Roman"/>
          <w:sz w:val="20"/>
          <w:u w:val="single"/>
        </w:rPr>
        <w:t>provided</w:t>
      </w:r>
      <w:r>
        <w:rPr>
          <w:rFonts w:ascii="Times New Roman" w:hAnsi="Times New Roman"/>
          <w:sz w:val="20"/>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(b) 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(c) 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Release of Liens and Guarantees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Non-Wholly Owned Subsidiary); </w:t>
      </w:r>
      <w:r>
        <w:rPr>
          <w:rFonts w:ascii="Times New Roman" w:hAnsi="Times New Roman"/>
          <w:sz w:val="20"/>
          <w:u w:val="single"/>
        </w:rPr>
        <w:t>provided</w:t>
      </w:r>
      <w:r>
        <w:rPr>
          <w:rFonts w:ascii="Times New Roman" w:hAnsi="Times New Roman"/>
          <w:sz w:val="20"/>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 </w:t>
      </w:r>
    </w:p>
    <w:p>
      <w:pPr>
        <w:pStyle w:val="TextBody"/>
        <w:bidi w:val="0"/>
        <w:spacing w:before="120" w:after="0"/>
        <w:jc w:val="left"/>
        <w:rPr>
          <w:rFonts w:ascii="Times New Roman" w:hAnsi="Times New Roman"/>
          <w:sz w:val="20"/>
        </w:rPr>
      </w:pPr>
      <w:r>
        <w:rPr>
          <w:rFonts w:ascii="Times New Roman" w:hAnsi="Times New Roman"/>
          <w:sz w:val="20"/>
        </w:rPr>
        <w:t xml:space="preserve">(c) 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No Advisory or Fiduciary Responsibility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 (iii) 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Interest Rate Limitation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Acknowledgement and Consent to Bail-In of Affected Financial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that is an Affected Financial Institution;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Intercreditor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Cashless 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Acknowledgment Regarding Any Supported QFCs</w:t>
      </w:r>
      <w:r>
        <w:rPr>
          <w:rFonts w:ascii="Times New Roman" w:hAnsi="Times New Roman"/>
          <w:sz w:val="20"/>
        </w:rPr>
        <w:t>. To the extent that the First Lien Loan Documents provide support, through a guarantee or otherwise, for any Swap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9.21</w:t>
      </w:r>
      <w:r>
        <w:rPr>
          <w:rFonts w:ascii="Times New Roman" w:hAnsi="Times New Roman"/>
          <w:sz w:val="20"/>
        </w:rPr>
        <w:t xml:space="preserve">, the following terms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11"/>
        <w:gridCol w:w="93"/>
        <w:gridCol w:w="2778"/>
      </w:tblGrid>
      <w:tr>
        <w:trPr/>
        <w:tc>
          <w:tcPr>
            <w:tcW w:w="1211"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SOTERA HEALTH TOPCO, INC.,</w:t>
            </w:r>
          </w:p>
        </w:tc>
      </w:tr>
      <w:tr>
        <w:trPr/>
        <w:tc>
          <w:tcPr>
            <w:tcW w:w="4082" w:type="dxa"/>
            <w:gridSpan w:val="3"/>
            <w:tcBorders/>
          </w:tcPr>
          <w:p>
            <w:pPr>
              <w:pStyle w:val="TableContents"/>
              <w:bidi w:val="0"/>
              <w:spacing w:before="0" w:after="283"/>
              <w:jc w:val="left"/>
              <w:rPr/>
            </w:pPr>
            <w:r>
              <w:rPr/>
              <w:t>as Holdings</w:t>
            </w:r>
          </w:p>
        </w:tc>
      </w:tr>
      <w:tr>
        <w:trPr>
          <w:trHeight w:val="240" w:hRule="atLeast"/>
        </w:trPr>
        <w:tc>
          <w:tcPr>
            <w:tcW w:w="1211" w:type="dxa"/>
            <w:tcBorders/>
            <w:vAlign w:val="center"/>
          </w:tcPr>
          <w:p>
            <w:pPr>
              <w:pStyle w:val="TableContents"/>
              <w:bidi w:val="0"/>
              <w:spacing w:before="0" w:after="283"/>
              <w:jc w:val="left"/>
              <w:rPr>
                <w:sz w:val="4"/>
                <w:szCs w:val="4"/>
              </w:rPr>
            </w:pPr>
            <w:r>
              <w:rPr>
                <w:sz w:val="4"/>
                <w:szCs w:val="4"/>
              </w:rPr>
            </w:r>
          </w:p>
        </w:tc>
        <w:tc>
          <w:tcPr>
            <w:tcW w:w="2871"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2778" w:type="dxa"/>
            <w:tcBorders/>
          </w:tcPr>
          <w:p>
            <w:pPr>
              <w:pStyle w:val="TableContents"/>
              <w:pBdr>
                <w:bottom w:val="single" w:sz="2" w:space="1" w:color="000000"/>
              </w:pBdr>
              <w:bidi w:val="0"/>
              <w:spacing w:before="0" w:after="20"/>
              <w:jc w:val="left"/>
              <w:rPr/>
            </w:pPr>
            <w:r>
              <w:rPr/>
              <w:t> </w:t>
            </w:r>
          </w:p>
        </w:tc>
      </w:tr>
      <w:tr>
        <w:trPr/>
        <w:tc>
          <w:tcPr>
            <w:tcW w:w="1211" w:type="dxa"/>
            <w:tcBorders/>
          </w:tcPr>
          <w:p>
            <w:pPr>
              <w:pStyle w:val="TableContents"/>
              <w:bidi w:val="0"/>
              <w:spacing w:before="0" w:after="283"/>
              <w:jc w:val="left"/>
              <w:rPr/>
            </w:pPr>
            <w:r>
              <w:rPr/>
              <w:t>Name:</w:t>
            </w:r>
          </w:p>
        </w:tc>
        <w:tc>
          <w:tcPr>
            <w:tcW w:w="93" w:type="dxa"/>
            <w:tcBorders/>
            <w:vAlign w:val="bottom"/>
          </w:tcPr>
          <w:p>
            <w:pPr>
              <w:pStyle w:val="TableContents"/>
              <w:bidi w:val="0"/>
              <w:spacing w:before="0" w:after="283"/>
              <w:jc w:val="left"/>
              <w:rPr/>
            </w:pPr>
            <w:r>
              <w:rPr/>
              <w:t> </w:t>
            </w:r>
          </w:p>
        </w:tc>
        <w:tc>
          <w:tcPr>
            <w:tcW w:w="2778" w:type="dxa"/>
            <w:tcBorders/>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Title:</w:t>
            </w:r>
          </w:p>
        </w:tc>
        <w:tc>
          <w:tcPr>
            <w:tcW w:w="93" w:type="dxa"/>
            <w:tcBorders/>
            <w:vAlign w:val="bottom"/>
          </w:tcPr>
          <w:p>
            <w:pPr>
              <w:pStyle w:val="TableContents"/>
              <w:bidi w:val="0"/>
              <w:spacing w:before="0" w:after="283"/>
              <w:jc w:val="left"/>
              <w:rPr/>
            </w:pPr>
            <w:r>
              <w:rPr/>
              <w:t> </w:t>
            </w:r>
          </w:p>
        </w:tc>
        <w:tc>
          <w:tcPr>
            <w:tcW w:w="2778"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SOTERA HEALTH HOLDINGS, LLC</w:t>
            </w:r>
            <w:r>
              <w:rPr/>
              <w:t>, as Borrower</w:t>
            </w:r>
          </w:p>
        </w:tc>
      </w:tr>
      <w:tr>
        <w:trPr>
          <w:trHeight w:val="240" w:hRule="atLeast"/>
        </w:trPr>
        <w:tc>
          <w:tcPr>
            <w:tcW w:w="1211" w:type="dxa"/>
            <w:tcBorders/>
            <w:vAlign w:val="center"/>
          </w:tcPr>
          <w:p>
            <w:pPr>
              <w:pStyle w:val="TableContents"/>
              <w:bidi w:val="0"/>
              <w:spacing w:before="0" w:after="283"/>
              <w:jc w:val="left"/>
              <w:rPr>
                <w:sz w:val="4"/>
                <w:szCs w:val="4"/>
              </w:rPr>
            </w:pPr>
            <w:r>
              <w:rPr>
                <w:sz w:val="4"/>
                <w:szCs w:val="4"/>
              </w:rPr>
            </w:r>
          </w:p>
        </w:tc>
        <w:tc>
          <w:tcPr>
            <w:tcW w:w="2871" w:type="dxa"/>
            <w:gridSpan w:val="2"/>
            <w:tcBorders/>
            <w:vAlign w:val="center"/>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2778" w:type="dxa"/>
            <w:tcBorders/>
          </w:tcPr>
          <w:p>
            <w:pPr>
              <w:pStyle w:val="TableContents"/>
              <w:pBdr>
                <w:bottom w:val="single" w:sz="2" w:space="1" w:color="000000"/>
              </w:pBdr>
              <w:bidi w:val="0"/>
              <w:spacing w:before="0" w:after="20"/>
              <w:jc w:val="left"/>
              <w:rPr/>
            </w:pPr>
            <w:r>
              <w:rPr/>
              <w:t> </w:t>
            </w:r>
          </w:p>
        </w:tc>
      </w:tr>
      <w:tr>
        <w:trPr/>
        <w:tc>
          <w:tcPr>
            <w:tcW w:w="1211" w:type="dxa"/>
            <w:tcBorders/>
          </w:tcPr>
          <w:p>
            <w:pPr>
              <w:pStyle w:val="TableContents"/>
              <w:bidi w:val="0"/>
              <w:spacing w:before="0" w:after="283"/>
              <w:jc w:val="left"/>
              <w:rPr/>
            </w:pPr>
            <w:r>
              <w:rPr/>
              <w:t>Name:</w:t>
            </w:r>
          </w:p>
        </w:tc>
        <w:tc>
          <w:tcPr>
            <w:tcW w:w="93" w:type="dxa"/>
            <w:tcBorders/>
            <w:vAlign w:val="bottom"/>
          </w:tcPr>
          <w:p>
            <w:pPr>
              <w:pStyle w:val="TableContents"/>
              <w:bidi w:val="0"/>
              <w:spacing w:before="0" w:after="283"/>
              <w:jc w:val="left"/>
              <w:rPr/>
            </w:pPr>
            <w:r>
              <w:rPr/>
              <w:t> </w:t>
            </w:r>
          </w:p>
        </w:tc>
        <w:tc>
          <w:tcPr>
            <w:tcW w:w="2778" w:type="dxa"/>
            <w:tcBorders/>
          </w:tcPr>
          <w:p>
            <w:pPr>
              <w:pStyle w:val="TableContents"/>
              <w:bidi w:val="0"/>
              <w:spacing w:before="0" w:after="283"/>
              <w:jc w:val="left"/>
              <w:rPr>
                <w:sz w:val="4"/>
                <w:szCs w:val="4"/>
              </w:rPr>
            </w:pPr>
            <w:r>
              <w:rPr>
                <w:sz w:val="4"/>
                <w:szCs w:val="4"/>
              </w:rPr>
            </w:r>
          </w:p>
        </w:tc>
      </w:tr>
      <w:tr>
        <w:trPr/>
        <w:tc>
          <w:tcPr>
            <w:tcW w:w="1211" w:type="dxa"/>
            <w:tcBorders/>
          </w:tcPr>
          <w:p>
            <w:pPr>
              <w:pStyle w:val="TableContents"/>
              <w:bidi w:val="0"/>
              <w:spacing w:before="0" w:after="283"/>
              <w:jc w:val="left"/>
              <w:rPr/>
            </w:pPr>
            <w:r>
              <w:rPr/>
              <w:t>Title:</w:t>
            </w:r>
          </w:p>
        </w:tc>
        <w:tc>
          <w:tcPr>
            <w:tcW w:w="93" w:type="dxa"/>
            <w:tcBorders/>
            <w:vAlign w:val="bottom"/>
          </w:tcPr>
          <w:p>
            <w:pPr>
              <w:pStyle w:val="TableContents"/>
              <w:bidi w:val="0"/>
              <w:spacing w:before="0" w:after="283"/>
              <w:jc w:val="left"/>
              <w:rPr/>
            </w:pPr>
            <w:r>
              <w:rPr/>
              <w:t> </w:t>
            </w:r>
          </w:p>
        </w:tc>
        <w:tc>
          <w:tcPr>
            <w:tcW w:w="277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15"/>
        <w:gridCol w:w="60"/>
        <w:gridCol w:w="3507"/>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JEFFERIES FINANCE LLC</w:t>
            </w:r>
            <w:r>
              <w:rPr/>
              <w:t xml:space="preserve"> as Administrative Agent, an Issuing Bank and a Lender</w:t>
            </w:r>
          </w:p>
        </w:tc>
      </w:tr>
      <w:tr>
        <w:trPr>
          <w:trHeight w:val="240" w:hRule="atLeast"/>
        </w:trPr>
        <w:tc>
          <w:tcPr>
            <w:tcW w:w="515" w:type="dxa"/>
            <w:tcBorders/>
            <w:vAlign w:val="center"/>
          </w:tcPr>
          <w:p>
            <w:pPr>
              <w:pStyle w:val="TableContents"/>
              <w:bidi w:val="0"/>
              <w:spacing w:before="0" w:after="283"/>
              <w:jc w:val="left"/>
              <w:rPr>
                <w:sz w:val="4"/>
                <w:szCs w:val="4"/>
              </w:rPr>
            </w:pPr>
            <w:r>
              <w:rPr>
                <w:sz w:val="4"/>
                <w:szCs w:val="4"/>
              </w:rPr>
            </w:r>
          </w:p>
        </w:tc>
        <w:tc>
          <w:tcPr>
            <w:tcW w:w="3567"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pPr>
            <w:r>
              <w:rPr/>
              <w:t> </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w:t>
            </w:r>
          </w:p>
        </w:tc>
      </w:tr>
      <w:tr>
        <w:trPr>
          <w:trHeight w:val="240" w:hRule="atLeast"/>
        </w:trPr>
        <w:tc>
          <w:tcPr>
            <w:tcW w:w="515" w:type="dxa"/>
            <w:tcBorders/>
            <w:vAlign w:val="center"/>
          </w:tcPr>
          <w:p>
            <w:pPr>
              <w:pStyle w:val="TableContents"/>
              <w:bidi w:val="0"/>
              <w:spacing w:before="0" w:after="283"/>
              <w:jc w:val="left"/>
              <w:rPr>
                <w:sz w:val="4"/>
                <w:szCs w:val="4"/>
              </w:rPr>
            </w:pPr>
            <w:r>
              <w:rPr>
                <w:sz w:val="4"/>
                <w:szCs w:val="4"/>
              </w:rPr>
            </w:r>
          </w:p>
        </w:tc>
        <w:tc>
          <w:tcPr>
            <w:tcW w:w="3567"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tcPr>
          <w:p>
            <w:pPr>
              <w:pStyle w:val="TableContents"/>
              <w:bidi w:val="0"/>
              <w:spacing w:before="0" w:after="283"/>
              <w:jc w:val="left"/>
              <w:rPr/>
            </w:pPr>
            <w:r>
              <w:rPr/>
              <w:t>[__],</w:t>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as a Lender</w:t>
            </w:r>
          </w:p>
        </w:tc>
      </w:tr>
      <w:tr>
        <w:trPr>
          <w:trHeight w:val="240" w:hRule="atLeast"/>
        </w:trPr>
        <w:tc>
          <w:tcPr>
            <w:tcW w:w="515" w:type="dxa"/>
            <w:tcBorders/>
            <w:vAlign w:val="center"/>
          </w:tcPr>
          <w:p>
            <w:pPr>
              <w:pStyle w:val="TableContents"/>
              <w:bidi w:val="0"/>
              <w:spacing w:before="0" w:after="283"/>
              <w:jc w:val="left"/>
              <w:rPr>
                <w:sz w:val="4"/>
                <w:szCs w:val="4"/>
              </w:rPr>
            </w:pPr>
            <w:r>
              <w:rPr>
                <w:sz w:val="4"/>
                <w:szCs w:val="4"/>
              </w:rPr>
            </w:r>
          </w:p>
        </w:tc>
        <w:tc>
          <w:tcPr>
            <w:tcW w:w="3567"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pPr>
            <w:r>
              <w:rPr/>
              <w:t> </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 as a Lender</w:t>
            </w:r>
          </w:p>
        </w:tc>
      </w:tr>
      <w:tr>
        <w:trPr>
          <w:trHeight w:val="240" w:hRule="atLeast"/>
        </w:trPr>
        <w:tc>
          <w:tcPr>
            <w:tcW w:w="515" w:type="dxa"/>
            <w:tcBorders/>
            <w:vAlign w:val="center"/>
          </w:tcPr>
          <w:p>
            <w:pPr>
              <w:pStyle w:val="TableContents"/>
              <w:bidi w:val="0"/>
              <w:spacing w:before="0" w:after="283"/>
              <w:jc w:val="left"/>
              <w:rPr>
                <w:sz w:val="4"/>
                <w:szCs w:val="4"/>
              </w:rPr>
            </w:pPr>
            <w:r>
              <w:rPr>
                <w:sz w:val="4"/>
                <w:szCs w:val="4"/>
              </w:rPr>
            </w:r>
          </w:p>
        </w:tc>
        <w:tc>
          <w:tcPr>
            <w:tcW w:w="3567"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pPr>
            <w:r>
              <w:rPr/>
              <w:t> </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 as an Issuing Bank and a Lender</w:t>
            </w:r>
          </w:p>
        </w:tc>
      </w:tr>
      <w:tr>
        <w:trPr>
          <w:trHeight w:val="240" w:hRule="atLeast"/>
        </w:trPr>
        <w:tc>
          <w:tcPr>
            <w:tcW w:w="515" w:type="dxa"/>
            <w:tcBorders/>
            <w:vAlign w:val="center"/>
          </w:tcPr>
          <w:p>
            <w:pPr>
              <w:pStyle w:val="TableContents"/>
              <w:bidi w:val="0"/>
              <w:spacing w:before="0" w:after="283"/>
              <w:jc w:val="left"/>
              <w:rPr>
                <w:sz w:val="4"/>
                <w:szCs w:val="4"/>
              </w:rPr>
            </w:pPr>
            <w:r>
              <w:rPr>
                <w:sz w:val="4"/>
                <w:szCs w:val="4"/>
              </w:rPr>
            </w:r>
          </w:p>
        </w:tc>
        <w:tc>
          <w:tcPr>
            <w:tcW w:w="3567"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pBdr>
                <w:bottom w:val="single" w:sz="2" w:space="1" w:color="000000"/>
              </w:pBdr>
              <w:bidi w:val="0"/>
              <w:spacing w:before="0" w:after="20"/>
              <w:jc w:val="left"/>
              <w:rPr/>
            </w:pPr>
            <w:r>
              <w:rPr/>
              <w:t> </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Name:</w:t>
            </w:r>
          </w:p>
        </w:tc>
      </w:tr>
      <w:tr>
        <w:trPr/>
        <w:tc>
          <w:tcPr>
            <w:tcW w:w="5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7"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(Schedule 2.01) </w:t>
      </w:r>
    </w:p>
    <w:p>
      <w:pPr>
        <w:pStyle w:val="TextBody"/>
        <w:bidi w:val="0"/>
        <w:spacing w:before="240" w:after="0"/>
        <w:jc w:val="center"/>
        <w:rPr>
          <w:rFonts w:ascii="Times New Roman" w:hAnsi="Times New Roman"/>
          <w:b/>
          <w:sz w:val="20"/>
        </w:rPr>
      </w:pPr>
      <w:r>
        <w:rPr>
          <w:rFonts w:ascii="Times New Roman" w:hAnsi="Times New Roman"/>
          <w:b/>
          <w:sz w:val="20"/>
        </w:rPr>
        <w:t xml:space="preserve">As of the Amendment No. 3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2"/>
        <w:gridCol w:w="566"/>
        <w:gridCol w:w="259"/>
        <w:gridCol w:w="2273"/>
        <w:gridCol w:w="60"/>
        <w:gridCol w:w="566"/>
        <w:gridCol w:w="261"/>
        <w:gridCol w:w="2284"/>
        <w:gridCol w:w="64"/>
      </w:tblGrid>
      <w:tr>
        <w:trPr/>
        <w:tc>
          <w:tcPr>
            <w:tcW w:w="3872"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Revolving Lender</w:t>
            </w:r>
          </w:p>
        </w:tc>
        <w:tc>
          <w:tcPr>
            <w:tcW w:w="566" w:type="dxa"/>
            <w:tcBorders/>
            <w:vAlign w:val="bottom"/>
          </w:tcPr>
          <w:p>
            <w:pPr>
              <w:pStyle w:val="TableContents"/>
              <w:bidi w:val="0"/>
              <w:spacing w:before="0" w:after="283"/>
              <w:jc w:val="left"/>
              <w:rPr/>
            </w:pPr>
            <w:r>
              <w:rPr/>
              <w:t>  </w:t>
            </w:r>
          </w:p>
        </w:tc>
        <w:tc>
          <w:tcPr>
            <w:tcW w:w="2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Revolving Commitments</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Letter of Credit Sublimit</w:t>
            </w:r>
          </w:p>
        </w:tc>
        <w:tc>
          <w:tcPr>
            <w:tcW w:w="64" w:type="dxa"/>
            <w:tcBorders/>
            <w:vAlign w:val="bottom"/>
          </w:tcPr>
          <w:p>
            <w:pPr>
              <w:pStyle w:val="TableContents"/>
              <w:bidi w:val="0"/>
              <w:spacing w:before="0" w:after="283"/>
              <w:jc w:val="left"/>
              <w:rPr/>
            </w:pPr>
            <w:r>
              <w:rPr/>
              <w:t> </w:t>
            </w:r>
          </w:p>
        </w:tc>
      </w:tr>
      <w:tr>
        <w:trPr/>
        <w:tc>
          <w:tcPr>
            <w:tcW w:w="3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5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2273" w:type="dxa"/>
            <w:tcBorders/>
            <w:shd w:fill="CCEEFF" w:val="clear"/>
            <w:vAlign w:val="bottom"/>
          </w:tcPr>
          <w:p>
            <w:pPr>
              <w:pStyle w:val="TableContents"/>
              <w:bidi w:val="0"/>
              <w:spacing w:before="0" w:after="283"/>
              <w:jc w:val="right"/>
              <w:rPr/>
            </w:pPr>
            <w:r>
              <w:rPr/>
              <w:t>98,250,000</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2284" w:type="dxa"/>
            <w:tcBorders/>
            <w:shd w:fill="CCEEFF" w:val="clear"/>
            <w:vAlign w:val="bottom"/>
          </w:tcPr>
          <w:p>
            <w:pPr>
              <w:pStyle w:val="TableContents"/>
              <w:bidi w:val="0"/>
              <w:spacing w:before="0" w:after="283"/>
              <w:jc w:val="right"/>
              <w:rPr/>
            </w:pPr>
            <w:r>
              <w:rPr/>
              <w:t>98,250,000</w:t>
            </w:r>
          </w:p>
        </w:tc>
        <w:tc>
          <w:tcPr>
            <w:tcW w:w="64" w:type="dxa"/>
            <w:tcBorders/>
            <w:shd w:fill="CCEEFF" w:val="clear"/>
            <w:vAlign w:val="bottom"/>
          </w:tcPr>
          <w:p>
            <w:pPr>
              <w:pStyle w:val="TableContents"/>
              <w:bidi w:val="0"/>
              <w:spacing w:before="0" w:after="283"/>
              <w:jc w:val="left"/>
              <w:rPr/>
            </w:pPr>
            <w:r>
              <w:rPr/>
              <w:t> </w:t>
            </w:r>
          </w:p>
        </w:tc>
      </w:tr>
      <w:tr>
        <w:trPr/>
        <w:tc>
          <w:tcPr>
            <w:tcW w:w="387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2273" w:type="dxa"/>
            <w:tcBorders/>
            <w:vAlign w:val="bottom"/>
          </w:tcPr>
          <w:p>
            <w:pPr>
              <w:pStyle w:val="TableContents"/>
              <w:bidi w:val="0"/>
              <w:spacing w:before="0" w:after="283"/>
              <w:jc w:val="right"/>
              <w:rPr/>
            </w:pPr>
            <w:r>
              <w:rPr/>
              <w:t>49,000,000</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2284" w:type="dxa"/>
            <w:tcBorders/>
            <w:vAlign w:val="bottom"/>
          </w:tcPr>
          <w:p>
            <w:pPr>
              <w:pStyle w:val="TableContents"/>
              <w:bidi w:val="0"/>
              <w:spacing w:before="0" w:after="283"/>
              <w:jc w:val="right"/>
              <w:rPr/>
            </w:pPr>
            <w:r>
              <w:rPr/>
              <w:t>49,000,000</w:t>
            </w:r>
          </w:p>
        </w:tc>
        <w:tc>
          <w:tcPr>
            <w:tcW w:w="64" w:type="dxa"/>
            <w:tcBorders/>
            <w:vAlign w:val="bottom"/>
          </w:tcPr>
          <w:p>
            <w:pPr>
              <w:pStyle w:val="TableContents"/>
              <w:bidi w:val="0"/>
              <w:spacing w:before="0" w:after="283"/>
              <w:jc w:val="left"/>
              <w:rPr/>
            </w:pPr>
            <w:r>
              <w:rPr/>
              <w:t> </w:t>
            </w:r>
          </w:p>
        </w:tc>
      </w:tr>
      <w:tr>
        <w:trPr/>
        <w:tc>
          <w:tcPr>
            <w:tcW w:w="3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5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2273" w:type="dxa"/>
            <w:tcBorders/>
            <w:shd w:fill="CCEEFF" w:val="clear"/>
            <w:vAlign w:val="bottom"/>
          </w:tcPr>
          <w:p>
            <w:pPr>
              <w:pStyle w:val="TableContents"/>
              <w:bidi w:val="0"/>
              <w:spacing w:before="0" w:after="283"/>
              <w:jc w:val="right"/>
              <w:rPr/>
            </w:pPr>
            <w:r>
              <w:rPr/>
              <w:t>49,000,000</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2284" w:type="dxa"/>
            <w:tcBorders/>
            <w:shd w:fill="CCEEFF" w:val="clear"/>
            <w:vAlign w:val="bottom"/>
          </w:tcPr>
          <w:p>
            <w:pPr>
              <w:pStyle w:val="TableContents"/>
              <w:bidi w:val="0"/>
              <w:spacing w:before="0" w:after="283"/>
              <w:jc w:val="right"/>
              <w:rPr/>
            </w:pPr>
            <w:r>
              <w:rPr/>
              <w:t>49,000,000</w:t>
            </w:r>
          </w:p>
        </w:tc>
        <w:tc>
          <w:tcPr>
            <w:tcW w:w="64" w:type="dxa"/>
            <w:tcBorders/>
            <w:shd w:fill="CCEEFF" w:val="clear"/>
            <w:vAlign w:val="bottom"/>
          </w:tcPr>
          <w:p>
            <w:pPr>
              <w:pStyle w:val="TableContents"/>
              <w:bidi w:val="0"/>
              <w:spacing w:before="0" w:after="283"/>
              <w:jc w:val="left"/>
              <w:rPr/>
            </w:pPr>
            <w:r>
              <w:rPr/>
              <w:t> </w:t>
            </w:r>
          </w:p>
        </w:tc>
      </w:tr>
      <w:tr>
        <w:trPr/>
        <w:tc>
          <w:tcPr>
            <w:tcW w:w="3872" w:type="dxa"/>
            <w:tcBorders/>
          </w:tcPr>
          <w:p>
            <w:pPr>
              <w:pStyle w:val="TableContents"/>
              <w:bidi w:val="0"/>
              <w:spacing w:before="0" w:after="0"/>
              <w:jc w:val="left"/>
              <w:rPr>
                <w:rFonts w:ascii="Times New Roman" w:hAnsi="Times New Roman"/>
                <w:sz w:val="20"/>
              </w:rPr>
            </w:pPr>
            <w:r>
              <w:rPr>
                <w:rFonts w:ascii="Times New Roman" w:hAnsi="Times New Roman"/>
                <w:sz w:val="20"/>
              </w:rPr>
              <w:t>Jefferies Finance LLC</w:t>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2273"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2284" w:type="dxa"/>
            <w:tcBorders/>
            <w:vAlign w:val="bottom"/>
          </w:tcPr>
          <w:p>
            <w:pPr>
              <w:pStyle w:val="TableContents"/>
              <w:bidi w:val="0"/>
              <w:spacing w:before="0" w:after="283"/>
              <w:jc w:val="right"/>
              <w:rPr/>
            </w:pPr>
            <w:r>
              <w:rPr/>
              <w:t>15,000,000</w:t>
            </w:r>
          </w:p>
        </w:tc>
        <w:tc>
          <w:tcPr>
            <w:tcW w:w="64" w:type="dxa"/>
            <w:tcBorders/>
            <w:vAlign w:val="bottom"/>
          </w:tcPr>
          <w:p>
            <w:pPr>
              <w:pStyle w:val="TableContents"/>
              <w:bidi w:val="0"/>
              <w:spacing w:before="0" w:after="283"/>
              <w:jc w:val="left"/>
              <w:rPr/>
            </w:pPr>
            <w:r>
              <w:rPr/>
              <w:t> </w:t>
            </w:r>
          </w:p>
        </w:tc>
      </w:tr>
      <w:tr>
        <w:trPr/>
        <w:tc>
          <w:tcPr>
            <w:tcW w:w="3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 Bank of Canada</w:t>
            </w:r>
          </w:p>
        </w:tc>
        <w:tc>
          <w:tcPr>
            <w:tcW w:w="5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2273" w:type="dxa"/>
            <w:tcBorders/>
            <w:shd w:fill="CCEEFF" w:val="clear"/>
            <w:vAlign w:val="bottom"/>
          </w:tcPr>
          <w:p>
            <w:pPr>
              <w:pStyle w:val="TableContents"/>
              <w:bidi w:val="0"/>
              <w:spacing w:before="0" w:after="283"/>
              <w:jc w:val="right"/>
              <w:rPr/>
            </w:pPr>
            <w:r>
              <w:rPr/>
              <w:t>40,000,000</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2284" w:type="dxa"/>
            <w:tcBorders/>
            <w:shd w:fill="CCEEFF" w:val="clear"/>
            <w:vAlign w:val="bottom"/>
          </w:tcPr>
          <w:p>
            <w:pPr>
              <w:pStyle w:val="TableContents"/>
              <w:bidi w:val="0"/>
              <w:spacing w:before="0" w:after="283"/>
              <w:jc w:val="right"/>
              <w:rPr/>
            </w:pPr>
            <w:r>
              <w:rPr/>
              <w:t>40,000,000</w:t>
            </w:r>
          </w:p>
        </w:tc>
        <w:tc>
          <w:tcPr>
            <w:tcW w:w="64" w:type="dxa"/>
            <w:tcBorders/>
            <w:shd w:fill="CCEEFF" w:val="clear"/>
            <w:vAlign w:val="bottom"/>
          </w:tcPr>
          <w:p>
            <w:pPr>
              <w:pStyle w:val="TableContents"/>
              <w:bidi w:val="0"/>
              <w:spacing w:before="0" w:after="283"/>
              <w:jc w:val="left"/>
              <w:rPr/>
            </w:pPr>
            <w:r>
              <w:rPr/>
              <w:t> </w:t>
            </w:r>
          </w:p>
        </w:tc>
      </w:tr>
      <w:tr>
        <w:trPr/>
        <w:tc>
          <w:tcPr>
            <w:tcW w:w="3872" w:type="dxa"/>
            <w:tcBorders/>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2273" w:type="dxa"/>
            <w:tcBorders/>
            <w:vAlign w:val="bottom"/>
          </w:tcPr>
          <w:p>
            <w:pPr>
              <w:pStyle w:val="TableContents"/>
              <w:bidi w:val="0"/>
              <w:spacing w:before="0" w:after="283"/>
              <w:jc w:val="right"/>
              <w:rPr/>
            </w:pPr>
            <w:r>
              <w:rPr/>
              <w:t>40,000,000</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2284" w:type="dxa"/>
            <w:tcBorders/>
            <w:vAlign w:val="bottom"/>
          </w:tcPr>
          <w:p>
            <w:pPr>
              <w:pStyle w:val="TableContents"/>
              <w:bidi w:val="0"/>
              <w:spacing w:before="0" w:after="283"/>
              <w:jc w:val="right"/>
              <w:rPr/>
            </w:pPr>
            <w:r>
              <w:rPr/>
              <w:t>40,000,000</w:t>
            </w:r>
          </w:p>
        </w:tc>
        <w:tc>
          <w:tcPr>
            <w:tcW w:w="64" w:type="dxa"/>
            <w:tcBorders/>
            <w:vAlign w:val="bottom"/>
          </w:tcPr>
          <w:p>
            <w:pPr>
              <w:pStyle w:val="TableContents"/>
              <w:bidi w:val="0"/>
              <w:spacing w:before="0" w:after="283"/>
              <w:jc w:val="left"/>
              <w:rPr/>
            </w:pPr>
            <w:r>
              <w:rPr/>
              <w:t> </w:t>
            </w:r>
          </w:p>
        </w:tc>
      </w:tr>
      <w:tr>
        <w:trPr/>
        <w:tc>
          <w:tcPr>
            <w:tcW w:w="3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Banco Santander, S.A., New York Branch</w:t>
            </w:r>
          </w:p>
        </w:tc>
        <w:tc>
          <w:tcPr>
            <w:tcW w:w="5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2273"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2284" w:type="dxa"/>
            <w:tcBorders/>
            <w:shd w:fill="CCEEFF" w:val="clear"/>
            <w:vAlign w:val="bottom"/>
          </w:tcPr>
          <w:p>
            <w:pPr>
              <w:pStyle w:val="TableContents"/>
              <w:bidi w:val="0"/>
              <w:spacing w:before="0" w:after="283"/>
              <w:jc w:val="right"/>
              <w:rPr/>
            </w:pPr>
            <w:r>
              <w:rPr/>
              <w:t>37,500,000</w:t>
            </w:r>
          </w:p>
        </w:tc>
        <w:tc>
          <w:tcPr>
            <w:tcW w:w="64" w:type="dxa"/>
            <w:tcBorders/>
            <w:shd w:fill="CCEEFF" w:val="clear"/>
            <w:vAlign w:val="bottom"/>
          </w:tcPr>
          <w:p>
            <w:pPr>
              <w:pStyle w:val="TableContents"/>
              <w:bidi w:val="0"/>
              <w:spacing w:before="0" w:after="283"/>
              <w:jc w:val="left"/>
              <w:rPr/>
            </w:pPr>
            <w:r>
              <w:rPr/>
              <w:t> </w:t>
            </w:r>
          </w:p>
        </w:tc>
      </w:tr>
      <w:tr>
        <w:trPr/>
        <w:tc>
          <w:tcPr>
            <w:tcW w:w="3872" w:type="dxa"/>
            <w:tcBorders/>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2273"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2284" w:type="dxa"/>
            <w:tcBorders/>
            <w:vAlign w:val="bottom"/>
          </w:tcPr>
          <w:p>
            <w:pPr>
              <w:pStyle w:val="TableContents"/>
              <w:bidi w:val="0"/>
              <w:spacing w:before="0" w:after="283"/>
              <w:jc w:val="right"/>
              <w:rPr/>
            </w:pPr>
            <w:r>
              <w:rPr/>
              <w:t>32,500,000</w:t>
            </w:r>
          </w:p>
        </w:tc>
        <w:tc>
          <w:tcPr>
            <w:tcW w:w="64" w:type="dxa"/>
            <w:tcBorders/>
            <w:vAlign w:val="bottom"/>
          </w:tcPr>
          <w:p>
            <w:pPr>
              <w:pStyle w:val="TableContents"/>
              <w:bidi w:val="0"/>
              <w:spacing w:before="0" w:after="283"/>
              <w:jc w:val="left"/>
              <w:rPr/>
            </w:pPr>
            <w:r>
              <w:rPr/>
              <w:t> </w:t>
            </w:r>
          </w:p>
        </w:tc>
      </w:tr>
      <w:tr>
        <w:trPr/>
        <w:tc>
          <w:tcPr>
            <w:tcW w:w="3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5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2273"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2284"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3872" w:type="dxa"/>
            <w:tcBorders/>
          </w:tcPr>
          <w:p>
            <w:pPr>
              <w:pStyle w:val="TableContents"/>
              <w:bidi w:val="0"/>
              <w:spacing w:before="0" w:after="0"/>
              <w:jc w:val="left"/>
              <w:rPr>
                <w:rFonts w:ascii="Times New Roman" w:hAnsi="Times New Roman"/>
                <w:sz w:val="20"/>
              </w:rPr>
            </w:pPr>
            <w:r>
              <w:rPr>
                <w:rFonts w:ascii="Times New Roman" w:hAnsi="Times New Roman"/>
                <w:sz w:val="20"/>
              </w:rPr>
              <w:t>Citizens Bank, N.A.</w:t>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2273"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2284" w:type="dxa"/>
            <w:tcBorders/>
            <w:vAlign w:val="bottom"/>
          </w:tcPr>
          <w:p>
            <w:pPr>
              <w:pStyle w:val="TableContents"/>
              <w:bidi w:val="0"/>
              <w:spacing w:before="0" w:after="283"/>
              <w:jc w:val="right"/>
              <w:rPr/>
            </w:pPr>
            <w:r>
              <w:rPr/>
              <w:t>12,500,000</w:t>
            </w:r>
          </w:p>
        </w:tc>
        <w:tc>
          <w:tcPr>
            <w:tcW w:w="64" w:type="dxa"/>
            <w:tcBorders/>
            <w:vAlign w:val="bottom"/>
          </w:tcPr>
          <w:p>
            <w:pPr>
              <w:pStyle w:val="TableContents"/>
              <w:bidi w:val="0"/>
              <w:spacing w:before="0" w:after="283"/>
              <w:jc w:val="left"/>
              <w:rPr/>
            </w:pPr>
            <w:r>
              <w:rPr/>
              <w:t> </w:t>
            </w:r>
          </w:p>
        </w:tc>
      </w:tr>
      <w:tr>
        <w:trPr/>
        <w:tc>
          <w:tcPr>
            <w:tcW w:w="3872"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22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22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8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66"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b/>
              </w:rPr>
            </w:pPr>
            <w:r>
              <w:rPr>
                <w:b/>
              </w:rPr>
              <w:t>$</w:t>
            </w:r>
          </w:p>
        </w:tc>
        <w:tc>
          <w:tcPr>
            <w:tcW w:w="2273" w:type="dxa"/>
            <w:tcBorders/>
            <w:shd w:fill="CCEEFF" w:val="clear"/>
            <w:vAlign w:val="bottom"/>
          </w:tcPr>
          <w:p>
            <w:pPr>
              <w:pStyle w:val="TableContents"/>
              <w:bidi w:val="0"/>
              <w:spacing w:before="0" w:after="283"/>
              <w:jc w:val="right"/>
              <w:rPr>
                <w:b/>
              </w:rPr>
            </w:pPr>
            <w:r>
              <w:rPr>
                <w:b/>
              </w:rPr>
              <w:t>423,750,000</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b/>
              </w:rPr>
            </w:pPr>
            <w:r>
              <w:rPr>
                <w:b/>
              </w:rPr>
              <w:t>$</w:t>
            </w:r>
          </w:p>
        </w:tc>
        <w:tc>
          <w:tcPr>
            <w:tcW w:w="2284" w:type="dxa"/>
            <w:tcBorders/>
            <w:shd w:fill="CCEEFF" w:val="clear"/>
            <w:vAlign w:val="bottom"/>
          </w:tcPr>
          <w:p>
            <w:pPr>
              <w:pStyle w:val="TableContents"/>
              <w:bidi w:val="0"/>
              <w:spacing w:before="0" w:after="283"/>
              <w:jc w:val="right"/>
              <w:rPr>
                <w:b/>
              </w:rPr>
            </w:pPr>
            <w:r>
              <w:rPr>
                <w:b/>
              </w:rPr>
              <w:t>398,750,000</w:t>
            </w:r>
          </w:p>
        </w:tc>
        <w:tc>
          <w:tcPr>
            <w:tcW w:w="64" w:type="dxa"/>
            <w:tcBorders/>
            <w:shd w:fill="CCEEFF" w:val="clear"/>
            <w:vAlign w:val="bottom"/>
          </w:tcPr>
          <w:p>
            <w:pPr>
              <w:pStyle w:val="TableContents"/>
              <w:bidi w:val="0"/>
              <w:spacing w:before="0" w:after="283"/>
              <w:jc w:val="left"/>
              <w:rPr/>
            </w:pPr>
            <w:r>
              <w:rPr/>
              <w:t> </w:t>
            </w:r>
          </w:p>
        </w:tc>
      </w:tr>
      <w:tr>
        <w:trPr/>
        <w:tc>
          <w:tcPr>
            <w:tcW w:w="3872"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22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22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293</Pages>
  <Words>180411</Words>
  <Characters>944670</Characters>
  <CharactersWithSpaces>1122424</CharactersWithSpaces>
  <Paragraphs>4718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