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February 27, 2024</w:t>
      </w:r>
    </w:p>
    <w:p>
      <w:pPr>
        <w:spacing w:after="0" w:line="29" w:lineRule="exact"/>
        <w:rPr>
          <w:sz w:val="24"/>
          <w:szCs w:val="24"/>
          <w:color w:val="auto"/>
        </w:rPr>
      </w:pPr>
    </w:p>
    <w:p>
      <w:pPr>
        <w:ind w:left="9060"/>
        <w:spacing w:after="0"/>
        <w:rPr>
          <w:sz w:val="20"/>
          <w:szCs w:val="20"/>
          <w:color w:val="auto"/>
        </w:rPr>
      </w:pPr>
      <w:r>
        <w:rPr>
          <w:rFonts w:ascii="Times New Roman" w:cs="Times New Roman" w:eastAsia="Times New Roman" w:hAnsi="Times New Roman"/>
          <w:sz w:val="17"/>
          <w:szCs w:val="17"/>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92710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90170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jc w:val="center"/>
        <w:ind w:right="-119"/>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90170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SOTERA HEALTH COMPANY</w:t>
      </w:r>
    </w:p>
    <w:p>
      <w:pPr>
        <w:spacing w:after="0" w:line="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20"/>
          </w:cols>
          <w:pgMar w:left="320" w:top="226" w:right="459" w:bottom="1440" w:gutter="0" w:footer="0" w:header="0"/>
        </w:sectPr>
      </w:pPr>
    </w:p>
    <w:p>
      <w:pPr>
        <w:spacing w:after="0" w:line="225"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47-3531161</w:t>
      </w:r>
    </w:p>
    <w:p>
      <w:pPr>
        <w:spacing w:after="0" w:line="25" w:lineRule="exact"/>
        <w:rPr>
          <w:sz w:val="24"/>
          <w:szCs w:val="24"/>
          <w:color w:val="auto"/>
        </w:rPr>
      </w:pPr>
    </w:p>
    <w:p>
      <w:pPr>
        <w:sectPr>
          <w:pgSz w:w="11900" w:h="16838" w:orient="portrait"/>
          <w:cols w:equalWidth="0" w:num="2">
            <w:col w:w="7340" w:space="720"/>
            <w:col w:w="3060"/>
          </w:cols>
          <w:pgMar w:left="320" w:top="226" w:right="45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9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2" w:lineRule="exact"/>
        <w:rPr>
          <w:sz w:val="24"/>
          <w:szCs w:val="24"/>
          <w:color w:val="auto"/>
        </w:rPr>
      </w:pPr>
    </w:p>
    <w:p>
      <w:pPr>
        <w:sectPr>
          <w:pgSz w:w="11900" w:h="16838" w:orient="portrait"/>
          <w:cols w:equalWidth="0" w:num="2">
            <w:col w:w="7020" w:space="720"/>
            <w:col w:w="3380"/>
          </w:cols>
          <w:pgMar w:left="320" w:top="226" w:right="459" w:bottom="1440" w:gutter="0" w:footer="0" w:header="0"/>
          <w:type w:val="continuous"/>
        </w:sectPr>
      </w:pPr>
    </w:p>
    <w:p>
      <w:pPr>
        <w:ind w:left="4460"/>
        <w:spacing w:after="0"/>
        <w:rPr>
          <w:sz w:val="20"/>
          <w:szCs w:val="20"/>
          <w:color w:val="auto"/>
        </w:rPr>
      </w:pPr>
      <w:r>
        <w:rPr>
          <w:rFonts w:ascii="Times New Roman" w:cs="Times New Roman" w:eastAsia="Times New Roman" w:hAnsi="Times New Roman"/>
          <w:sz w:val="17"/>
          <w:szCs w:val="17"/>
          <w:b w:val="1"/>
          <w:bCs w:val="1"/>
          <w:color w:val="auto"/>
        </w:rPr>
        <w:t>9100 South Hills Blvd, Suite 300</w:t>
      </w:r>
    </w:p>
    <w:p>
      <w:pPr>
        <w:spacing w:after="0" w:line="29"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7"/>
          <w:szCs w:val="17"/>
          <w:b w:val="1"/>
          <w:bCs w:val="1"/>
          <w:color w:val="auto"/>
        </w:rPr>
        <w:t>Broadview Heights, Ohio 44147</w:t>
      </w:r>
    </w:p>
    <w:p>
      <w:pPr>
        <w:sectPr>
          <w:pgSz w:w="11900" w:h="16838" w:orient="portrait"/>
          <w:cols w:equalWidth="0" w:num="1">
            <w:col w:w="11120"/>
          </w:cols>
          <w:pgMar w:left="320" w:top="226" w:right="459" w:bottom="1440" w:gutter="0" w:footer="0" w:header="0"/>
          <w:type w:val="continuous"/>
        </w:sectPr>
      </w:pPr>
    </w:p>
    <w:p>
      <w:pPr>
        <w:spacing w:after="0" w:line="1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(440) 262-1410</w:t>
      </w:r>
    </w:p>
    <w:p>
      <w:pPr>
        <w:spacing w:after="0" w:line="2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Alex Dimitrief, Esq.</w:t>
      </w:r>
    </w:p>
    <w:p>
      <w:pPr>
        <w:spacing w:after="0" w:line="2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Senior Vice President and General Counsel</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Sotera Health Company</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9100 South Hills Blvd, Suite 300</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Broadview Heights, Ohio 44147</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(440) 262-1410</w:t>
      </w:r>
    </w:p>
    <w:p>
      <w:pPr>
        <w:spacing w:after="0" w:line="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i w:val="1"/>
          <w:iCs w:val="1"/>
          <w:color w:val="auto"/>
        </w:rPr>
        <w:t>With copies to:</w:t>
      </w:r>
    </w:p>
    <w:p>
      <w:pPr>
        <w:spacing w:after="0" w:line="5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David Lopez, Esq.</w:t>
      </w:r>
    </w:p>
    <w:p>
      <w:pPr>
        <w:spacing w:after="0" w:line="2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Cleary Gottlieb Steen &amp; Hamilton LLP</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One Liberty Plaza</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New York, New York 10006</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(212) 225-2000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100965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6" w:lineRule="exact"/>
        <w:rPr>
          <w:sz w:val="24"/>
          <w:szCs w:val="24"/>
          <w:color w:val="auto"/>
        </w:rPr>
      </w:pPr>
    </w:p>
    <w:p>
      <w:pPr>
        <w:ind w:left="120" w:right="16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Approximate date of commencement of the proposed sale to the public: </w:t>
      </w:r>
      <w:r>
        <w:rPr>
          <w:rFonts w:ascii="Times New Roman" w:cs="Times New Roman" w:eastAsia="Times New Roman" w:hAnsi="Times New Roman"/>
          <w:sz w:val="17"/>
          <w:szCs w:val="17"/>
          <w:color w:val="auto"/>
        </w:rPr>
        <w:t>From time to time after this Registration Statement becomes effective, as determined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by market and other factors.</w:t>
      </w:r>
    </w:p>
    <w:p>
      <w:pPr>
        <w:spacing w:after="0" w:line="1" w:lineRule="exact"/>
        <w:rPr>
          <w:sz w:val="24"/>
          <w:szCs w:val="24"/>
          <w:color w:val="auto"/>
        </w:rPr>
      </w:pPr>
    </w:p>
    <w:p>
      <w:pPr>
        <w:ind w:left="120" w:right="220"/>
        <w:spacing w:after="0" w:line="242"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2" w:lineRule="exact"/>
        <w:rPr>
          <w:sz w:val="24"/>
          <w:szCs w:val="24"/>
          <w:color w:val="auto"/>
        </w:rPr>
      </w:pPr>
    </w:p>
    <w:p>
      <w:pPr>
        <w:ind w:left="120" w:right="140"/>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 w:lineRule="exact"/>
        <w:rPr>
          <w:sz w:val="24"/>
          <w:szCs w:val="24"/>
          <w:color w:val="auto"/>
        </w:rPr>
      </w:pPr>
    </w:p>
    <w:p>
      <w:pPr>
        <w:ind w:left="120" w:right="20"/>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ind w:left="120"/>
        <w:spacing w:after="0" w:line="223" w:lineRule="exact"/>
        <w:rPr>
          <w:sz w:val="20"/>
          <w:szCs w:val="20"/>
          <w:color w:val="auto"/>
        </w:rPr>
      </w:pPr>
      <w:r>
        <w:rPr>
          <w:rFonts w:ascii="Times New Roman" w:cs="Times New Roman" w:eastAsia="Times New Roman" w:hAnsi="Times New Roman"/>
          <w:sz w:val="17"/>
          <w:szCs w:val="17"/>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7"/>
          <w:szCs w:val="17"/>
          <w:color w:val="auto"/>
        </w:rPr>
        <w:t>☒</w:t>
      </w:r>
    </w:p>
    <w:p>
      <w:pPr>
        <w:spacing w:after="0" w:line="2" w:lineRule="exact"/>
        <w:rPr>
          <w:sz w:val="24"/>
          <w:szCs w:val="24"/>
          <w:color w:val="auto"/>
        </w:rPr>
      </w:pPr>
    </w:p>
    <w:p>
      <w:pPr>
        <w:ind w:left="120" w:right="40"/>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 w:lineRule="exact"/>
        <w:rPr>
          <w:sz w:val="24"/>
          <w:szCs w:val="24"/>
          <w:color w:val="auto"/>
        </w:rPr>
      </w:pPr>
    </w:p>
    <w:p>
      <w:pPr>
        <w:ind w:left="120" w:right="60"/>
        <w:spacing w:after="0" w:line="25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303"/>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9"/>
        </w:trPr>
        <w:tc>
          <w:tcPr>
            <w:tcW w:w="1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18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ind w:left="120" w:right="300"/>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54610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97155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226" w:right="4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97155</wp:posOffset>
            </wp:positionV>
            <wp:extent cx="1551940" cy="522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194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Sotera Health Company (the “Company” or “we”) may offer, issue and sell an indeterminate amount of our common stock, par value $0.01 per share (“common stock”), from time to time in one or more offerings. In addition, this prospectus relates to the resale of common stock of the Company that may be offered and sold from time to time in one or more offerings by the selling stockholders named in this prospectus. This prospectus describes some of the general terms that may apply to an offering of our common stock. The Company will not receive any of the proceeds from the sale of the common stock by the selling stockholders.</w:t>
      </w:r>
    </w:p>
    <w:p>
      <w:pPr>
        <w:spacing w:after="0" w:line="183"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The common stock may be offered in amounts, at prices and on other terms to be determined at the time of the offering and described in an accompanying prospectus supplement. You should read this prospectus, any related prospectus supplement and any documents incorporated by reference carefully before you invest in our common stock.</w:t>
      </w:r>
    </w:p>
    <w:p>
      <w:pPr>
        <w:spacing w:after="0" w:line="176"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We or the selling stockholders may offer and sell common stock through one or more underwriters, dealers or agents, through underwriting syndicates managed or co-managed by one or more underwriters, or directly to purchasers, on a continuous or delayed basis. To the extent that any selling stockholder resells shares of our common stock, the selling stockholder may be required to provide you with this prospectus and a prospectus supplement identifying and containing specific information about the selling stockholder and the terms on which the common stock is offered. The prospectus supplement for each offering of common stock will describe in detail the plan of distribution for that offering.</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This prospectus is not an offer to sell our common stock, and it is not soliciting an offer to buy our common stock, in any state or other jurisdiction where the offer or sale is not permitted.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(“Nasdaq”) under the symbol “SHC.”</w:t>
      </w:r>
    </w:p>
    <w:p>
      <w:pPr>
        <w:spacing w:after="0" w:line="212" w:lineRule="exact"/>
        <w:rPr>
          <w:sz w:val="20"/>
          <w:szCs w:val="20"/>
          <w:color w:val="auto"/>
        </w:rPr>
      </w:pPr>
    </w:p>
    <w:p>
      <w:pPr>
        <w:jc w:val="both"/>
        <w:ind w:left="120" w:right="12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a number of risks. Before you make your investment decision, you should consider the risk factors described in any applicable prospectus supplement and in the documents we file from time to time with the Securities and Exchange Commission (the “SEC”).</w:t>
      </w:r>
    </w:p>
    <w:p>
      <w:pPr>
        <w:spacing w:after="0" w:line="176"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27, 2024.</w:t>
      </w:r>
    </w:p>
    <w:p>
      <w:pPr>
        <w:sectPr>
          <w:pgSz w:w="11900" w:h="16838" w:orient="portrait"/>
          <w:cols w:equalWidth="0" w:num="1">
            <w:col w:w="11120"/>
          </w:cols>
          <w:pgMar w:left="320" w:top="455"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7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SOTERA HEALTH COMPANY</w:t>
            </w:r>
          </w:p>
        </w:tc>
        <w:tc>
          <w:tcPr>
            <w:tcW w:w="558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4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04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COMMON STOCK</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29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568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40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3"/>
          </w:tcPr>
          <w:p>
            <w:pPr>
              <w:spacing w:after="0"/>
              <w:rPr>
                <w:sz w:val="17"/>
                <w:szCs w:val="17"/>
                <w:color w:val="auto"/>
              </w:rPr>
            </w:pPr>
          </w:p>
        </w:tc>
        <w:tc>
          <w:tcPr>
            <w:tcW w:w="482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16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We and the selling stockholders have not authorized anyone to provide you with information different from that contained or incorporated by reference in this prospectus, any amendment or supplement to this prospectus or in any free writing prospectus prepared by us or on our behalf. We do not accept any responsibility for, nor can we provide any assurance as to the reliability of, any information other than the information contained or incorporated by reference in this prospectus, any amendment or supplement to this prospectus or in any free writing prospectus prepared by us or on our behalf. We and the selling stockholders are not making an offer to sell these securities in any jurisdiction where the offer or sale is not permitted.</w:t>
      </w:r>
    </w:p>
    <w:p>
      <w:pPr>
        <w:spacing w:after="0" w:line="182"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You should assume that the information appearing in this prospectus, any accompanying prospectus supplement or in any free writing prospectus prepared by us is accurate only as of their respective dates or on the date or dates that are specified in such documents, and that any information in documents that we have incorporated by reference is accurate only as of the date of such document incorporated by reference. Our business, financial condition, liquidity, results of operations and prospects may have changed since those dates. Information contained in our website does not constitute part of this prospectus.</w:t>
      </w:r>
    </w:p>
    <w:p>
      <w:pPr>
        <w:spacing w:after="0" w:line="179"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You should carefully read both this prospectus, any accompanying prospectus supplement and any free writing prospectus prepared by or on behalf of us, together with the additional information described under the heading “Where You Can Find More Information.”</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“Sotera Health,” “Company,” “we,” “us,” and “our” in this document refer to Sotera Health Company, a Delaware corporation, and, where appropriate, its subsidiaries on a consolidated basis.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using an automatic shelf registration process as a “well-known seasoned issuer” as defined in Rule 405 of the Securities Act of 1933, as amended (the “Securities Act”). Under this shelf registration process, we and/or the selling stockholders named in this prospectus may periodically offer and sell the common stock described in this prospectus in one or more offerings. This prospectus only provides a general description of our common stock that we and/or the selling stockholders may offer. Each time we and/or any selling stockholders offer common stock, to the extent applicable, we and/or any selling stockholders may be required to provide you with this prospectus, and in certain cases, a prospectus supplement that will contain specific information about the terms of that offering. The prospectus supplement may also add, delete, update or change information, including information about us, contained in this prospectus. Therefore, before making your investment decision, you should carefully read:</w:t>
      </w:r>
    </w:p>
    <w:p>
      <w:pPr>
        <w:spacing w:after="0" w:line="97"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prospectus supplement; and</w:t>
      </w:r>
    </w:p>
    <w:p>
      <w:pPr>
        <w:spacing w:after="0" w:line="130" w:lineRule="exact"/>
        <w:rPr>
          <w:rFonts w:ascii="Times New Roman" w:cs="Times New Roman" w:eastAsia="Times New Roman" w:hAnsi="Times New Roman"/>
          <w:sz w:val="18"/>
          <w:szCs w:val="18"/>
          <w:color w:val="auto"/>
        </w:rPr>
      </w:pPr>
    </w:p>
    <w:p>
      <w:pPr>
        <w:ind w:left="5600" w:right="2400" w:hanging="4944"/>
        <w:spacing w:after="0" w:line="454" w:lineRule="auto"/>
        <w:tabs>
          <w:tab w:leader="none" w:pos="108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referred to in “Where You Can Find More Information” and “Incorporation by Reference.” i</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SOTERA HEALTH COMPANY</w:t>
      </w:r>
    </w:p>
    <w:p>
      <w:pPr>
        <w:spacing w:after="0" w:line="229" w:lineRule="exact"/>
        <w:rPr>
          <w:sz w:val="20"/>
          <w:szCs w:val="20"/>
          <w:color w:val="auto"/>
        </w:rPr>
      </w:pPr>
    </w:p>
    <w:p>
      <w:pPr>
        <w:ind w:left="120" w:right="40" w:firstLine="440"/>
        <w:spacing w:after="0" w:line="238" w:lineRule="auto"/>
        <w:rPr>
          <w:sz w:val="20"/>
          <w:szCs w:val="20"/>
          <w:color w:val="auto"/>
        </w:rPr>
      </w:pPr>
      <w:r>
        <w:rPr>
          <w:rFonts w:ascii="Times New Roman" w:cs="Times New Roman" w:eastAsia="Times New Roman" w:hAnsi="Times New Roman"/>
          <w:sz w:val="18"/>
          <w:szCs w:val="18"/>
          <w:color w:val="auto"/>
        </w:rPr>
        <w:t>We are a leading global provider of mission-critical end-to-end sterilization solutions, lab testing and advisory services for the healthcare industry. We are driven by our mission: Safeguarding Global Health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over 40 of the top 50 medical device companies and nine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w:t>
      </w:r>
    </w:p>
    <w:p>
      <w:pPr>
        <w:spacing w:after="0" w:line="20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a trusted partner to approximately 5,000 customers in over 50 countries. We give our customers confidence that their products meet regulatory, safety and effectiveness requirements. With our industry-recognized scientific and technological expertise, we help to ensure the safety of millions of patients and healthcare practitioners around the world every year. Across our 63 facilities worldwide, we have over 3,000 employees who are dedicated to safety and quality.</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Sotera Health Company was incorporated in Delaware in November 2017 as the parent company for Sterigenics, Nordion and Nelson Labs. Our corporate headquarters and principal executive offices are located at 9100 South Hills Boulevard, Suite 300, Broadview Heights, Ohio 44147. Our telephone number is (440) 262-1410.</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and any documents incorporated by reference may contain or incorporate by reference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94" w:lineRule="exact"/>
        <w:rPr>
          <w:sz w:val="20"/>
          <w:szCs w:val="20"/>
          <w:color w:val="auto"/>
        </w:rPr>
      </w:pPr>
    </w:p>
    <w:p>
      <w:pPr>
        <w:ind w:left="1080" w:right="34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the availability or supply of, or increases in the price of, ethylene oxide (“EO”), Cobalt-60 (“Co-60”) or our other direct materials, services and supplies, including as a result of geopolitical instability and/or sanctions against Russia by the United States, Canada, United Kingdom and European Union;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health and safety regulations or preferences, and general economic, social and business conditions;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risks associated with the use, storage, transportation and disposal of potentially hazardous materials such as EO and Co-60;</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outcome of current and future legal proceedings and liability claims, including litigation related to the use, emissions and releases of EO from our facilities in Illinois, Georgia and New Mexico and the possibility that other claims will be made in the future relating to these or other facilities;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our failure to properly perform services and potential product liability claims, recalls, penalties and reputational harm;</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extensive regulatory requirements to which we are subject, the related costs, and any failures to receive or maintain, or delays in receiving, required clearances or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industry trends;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we face;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changes, including inflationary trends, that impact our long-term supply contracts with variable price clauses and increase our cost of revenues;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continuity hazards, including supply chain disruptions and other risks associated with our operations;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doing business internationally, including global and regional economic and political instability and compliance with numerous and sometimes inconsistent laws and regulations in multiple jurisdictions;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capacity at existing facilities, build new facilities in a timely and cost-effective manner and renew leases for our leased facilities;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health events or environmental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breaches, unauthorized data disclosures, our dependence on information technology systems;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8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pursue strategic transactions, find suitable acquisition targets, or integrate strategic acquisitions into our business successfully;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controls over financial reporting;</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intellectual property to maintain our competitive position and the risk of claims from third parties that we have infringed or misappropriated, or are infringing or misappropriating, their intellectual property rights;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rapidly evolving data privacy and security laws and regulations in various jurisdictions and any ineffective compliance efforts with such laws and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profitability in the future;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our goodwill and other intangible assets with indefinite lives, as well as other long-lived assets and intangible assets with definite lives;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unionization efforts and labor regulations in countries in which we operate;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to our tax positions in U.S. or non-U.S. jurisdictions or the interpretation and application of recent U.S. tax legislation or other changes in U.S. or non-U.S. taxation of our operations;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indebtedness.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above factors, as well as the factors discussed elsewhere in this prospectus, as well as in the documents referred to in “Where You Can Find More Information” and “Incorporation by Reference.”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risks. Before deciding to invest in our securities, you should carefully consider the discussion of risks and uncertainties under the heading “Risk Factors” contained in any applicable prospectus supplement and in the documents referred to in “Where You Can Find More Information” and “Incorporation by Reference,” together with all of the other information included in this prospectus. The occurrence of any of these risks, as well as other risks and uncertainties, could cause you to lose all or part of your investment in the offered securities.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320" w:top="455"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set forth in a prospectus supplement, we intend to use the net proceeds from any sale of our common stock described in this prospectus for our general corporate purposes.</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set forth in a prospectus supplement, we will not receive any proceeds from any sale of our common stock by the selling stockholders.</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have one class of securities, common stock, par value $0.01 per share, registered pursuant to Section 12 of the Securities Exchange Act of 1934, as amended (the “Exchange Act”).</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following descriptions are summaries of the material terms of our amended and restated certificate of incorporation and amended and restated bylaws. These descriptions summarize the general terms of our common stock and contain all information which we consider to be material but may not contain all of the information that is important to you. To understand them fully, you should read our amended and restated certificate of incorporation and amended and restated bylaws, copies of which are filed with the Securities and Exchange Commission as exhibits to our Annual Report on Form 10-K. The summary below is subject to, and qualified in its entirety by, reference to the provisions of our amended and restated certificate of incorporation and amended and restated bylaws. The terms of these securities may also be affected by the Delaware General Corporation Law (“DGCL”).</w:t>
      </w:r>
    </w:p>
    <w:p>
      <w:pPr>
        <w:spacing w:after="0" w:line="18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may periodically issue shares of our common stock or other securities that can be exercised, converted or exchanged into shares of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Capitalization</w:t>
      </w:r>
    </w:p>
    <w:p>
      <w:pPr>
        <w:spacing w:after="0" w:line="121"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We are authorized to issue 1,200,000,000 shares of common stock, par value $0.01 per share, of which 282,832,200 shares were outstanding as of February 20, 2024, and 120,000,000 shares of preferred stock, par value $0.01 per share, of which no shares were outstanding as of February 20, 2024.</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common stock are entitled to one vote for each share held on all matters submitted to a vote of stockholders,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restrictions described below under the caption “—Anti-Takeover Effects of Provisions of Our Amended and Restated Certificate of Incorporation, Our Amended and Restated Bylaws and Delaware Law.” The holders of common stock do not have cumulative voting rights in the election of directors. Accordingly, holders of a majority of the shares of common stock entitled to vote in any election of directors may elect all of the directors standing for election. 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the DGCL, our amended and restated certificate of incorporation or amended and restated bylaws. The election of directors is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may designate and issue in the future.</w:t>
      </w:r>
    </w:p>
    <w:p>
      <w:pPr>
        <w:spacing w:after="0" w:line="192"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preferences that may be applicable to any then-outstanding preferred stock, holders of our common stock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ratably those dividends, if any, as may be declared by the board of directors out of legally available funds.</w:t>
      </w:r>
    </w:p>
    <w:p>
      <w:pPr>
        <w:spacing w:after="0" w:line="158" w:lineRule="exact"/>
        <w:rPr>
          <w:sz w:val="20"/>
          <w:szCs w:val="20"/>
          <w:color w:val="auto"/>
        </w:rPr>
      </w:pPr>
    </w:p>
    <w:p>
      <w:pPr>
        <w:ind w:left="120" w:right="2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Liquidation, Dissolution, and Winding Up</w:t>
      </w:r>
      <w:r>
        <w:rPr>
          <w:rFonts w:ascii="Times New Roman" w:cs="Times New Roman" w:eastAsia="Times New Roman" w:hAnsi="Times New Roman"/>
          <w:sz w:val="18"/>
          <w:szCs w:val="18"/>
          <w:color w:val="auto"/>
        </w:rPr>
        <w:t>. Upon our liquidation, dissolution or winding up, the holders of our common stock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equally and ratably in the net assets legally available for distribution to stockholders after the payment of all of our debts and other liabilities, subject to the prior rights of any preferred stock then outstanding.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No Preemptive or Similar Rights</w:t>
      </w:r>
      <w:r>
        <w:rPr>
          <w:rFonts w:ascii="Times New Roman" w:cs="Times New Roman" w:eastAsia="Times New Roman" w:hAnsi="Times New Roman"/>
          <w:sz w:val="18"/>
          <w:szCs w:val="18"/>
          <w:color w:val="auto"/>
        </w:rPr>
        <w:t>. Holders of our common stock have no preemptive or conversion rights or other subscription rights, and there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redemption or sinking fund provisions applicable to our common stock.</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Assessment</w:t>
      </w:r>
      <w:r>
        <w:rPr>
          <w:rFonts w:ascii="Times New Roman" w:cs="Times New Roman" w:eastAsia="Times New Roman" w:hAnsi="Times New Roman"/>
          <w:sz w:val="18"/>
          <w:szCs w:val="18"/>
          <w:color w:val="auto"/>
        </w:rPr>
        <w:t>. All outstanding shares of our common stock are fully paid and nonassessable.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Subject to limitations prescribed by Delaware law and the Nasdaq, our board of directors may issue preferred stock, without stockholder approval, in such series and with such designations, preferences, conversion or other rights, voting powers and qualifications, limitations or restrictions thereof, as the board of directors deems appropriate. Our board of directors could, without stockholder approval, issue preferred stock with voting, conversion and other rights that could adversely affect the voting power and impact other rights of the holders of the common stock. Our board of directors may issue preferred stock as an anti-takeover measure without any further action by the holders of common stock. The issuance of preferred stock, while providing flexibility in connection with possible acquisitions and other corporate purposes, may have the effect of delaying, deferring or preventing a change of control of our company by increasing the number of shares necessary to gain control of the company.</w:t>
      </w:r>
    </w:p>
    <w:p>
      <w:pPr>
        <w:spacing w:after="0" w:line="293"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Effects of Provisions of Our Amended and Restated Certificate of Incorporation, Our Amended and Restated Bylaws and Delaware Law</w:t>
      </w:r>
    </w:p>
    <w:p>
      <w:pPr>
        <w:spacing w:after="0" w:line="5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Delaware law contains, and our amended and restated certificate of incorporation and amended and restated bylaws contain, a number of provisions relating to corporate governance and to the rights of stockholders. Certain of these provisions may be deemed to have a potential “anti-takeover” effect in that such provisions may delay, defer or prevent a change of control or an unsolicited acquisition proposal that a stockholder might consider favorable, including a proposal that might result in the payment of a premium over the market price for the shares held by the stockholders. These provisions include:</w:t>
      </w:r>
    </w:p>
    <w:p>
      <w:pPr>
        <w:spacing w:after="0" w:line="181" w:lineRule="exact"/>
        <w:rPr>
          <w:sz w:val="20"/>
          <w:szCs w:val="20"/>
          <w:color w:val="auto"/>
        </w:rPr>
      </w:pPr>
    </w:p>
    <w:p>
      <w:pPr>
        <w:ind w:left="120" w:right="2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Classified board of directors; removal of directors</w:t>
      </w:r>
      <w:r>
        <w:rPr>
          <w:rFonts w:ascii="Times New Roman" w:cs="Times New Roman" w:eastAsia="Times New Roman" w:hAnsi="Times New Roman"/>
          <w:sz w:val="18"/>
          <w:szCs w:val="18"/>
          <w:color w:val="auto"/>
        </w:rPr>
        <w:t>. Our amended and restated certificate of incorporation provides that our board of directors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divided into three classes of directors, with the classes to be as nearly equal in number as possible, and with staggered three-year terms. As a result, approximately one-third of our board of directors will be elected each year.</w:t>
      </w:r>
    </w:p>
    <w:p>
      <w:pPr>
        <w:spacing w:after="0" w:line="17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provides that our directors may be removed only for cause by the affirmative vote of the holders of at least 75% of the voting power of our outstanding common stock; provided that for so long as investment funds and entities affiliated with either Warburg Pincus LLC (“Warburg Pincus”) or GTCR, LLC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Any vacancy on our board of directors, including a vacancy resulting from an enlargement of our board of directors, may be filled only by vote of a majority of our directors then in office; provided that for so long as investment funds and entities affiliated with either Warburg Pincus or GTCR have the right to designate at least one director for election to our board of directors, any vacancies will be filled in accordance with the designation provisions set forth in our stockholders’ agreement dated November 19, 2020, among Sotera Health and certain of our stockholders party thereto (the “Stockholders’ Agreement”).</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classification of our board of directors and the limitations on the removal of directors and filling of vacancies could make it more difficult for a third party to acquire, or discourage a third party from seeking to acquire, control of our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Advance notice requirements for stockholder proposals and director nominations</w:t>
      </w:r>
      <w:r>
        <w:rPr>
          <w:rFonts w:ascii="Times New Roman" w:cs="Times New Roman" w:eastAsia="Times New Roman" w:hAnsi="Times New Roman"/>
          <w:sz w:val="17"/>
          <w:szCs w:val="17"/>
          <w:color w:val="auto"/>
        </w:rPr>
        <w:t>. Our amended and restated bylaws provide advance notice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procedures for stockholders seeking to bring business before our annual meeting of stockholders or to nominate candidates for election as directors at our annual meeting of stockholders, other than nominations made by or at the direction of the board of directors or pursuant to the Stockholders’ Agreement.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7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Amendment of certificate of incorporation and bylaws provisions</w:t>
      </w:r>
      <w:r>
        <w:rPr>
          <w:rFonts w:ascii="Times New Roman" w:cs="Times New Roman" w:eastAsia="Times New Roman" w:hAnsi="Times New Roman"/>
          <w:sz w:val="18"/>
          <w:szCs w:val="18"/>
          <w:color w:val="auto"/>
        </w:rPr>
        <w:t>. Our amended and restated certificate of incorporation provides that approval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holding a majority of the then-outstanding voting power of our capital stock, so long as investment funds and entities affiliated with either Warburg Pincus or GTCR, collectively, hold at least a majority of our outstanding capital stock, is required for stockholders to amend or adopt certain provisions of our amended and restated certificate of incorporation and any provision of our amended and restated bylaws, and at all other times by the affirmative vote of at least 66 2/3% of the voting power of our outstanding common stock. So long as investment funds and entities affiliated with either Warburg Pincus or GTCR have the right to designate three directors for election to our board of directors, at least 75% of the board must approve any amendments to the amended and restated certificate of incorporation or amended and restated bylaws.</w:t>
      </w:r>
    </w:p>
    <w:p>
      <w:pPr>
        <w:spacing w:after="0" w:line="183"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Authorized but unissued or undesignated capital stock</w:t>
      </w:r>
      <w:r>
        <w:rPr>
          <w:rFonts w:ascii="Times New Roman" w:cs="Times New Roman" w:eastAsia="Times New Roman" w:hAnsi="Times New Roman"/>
          <w:sz w:val="18"/>
          <w:szCs w:val="18"/>
          <w:color w:val="auto"/>
        </w:rPr>
        <w:t>. Our authorized capital stock consists of 1,200,000,000 shares of common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1,200,000 shares of preferred stock. A large quantity of authorized but unissued shares may deter potential takeover attempts because of the ability of our board of directors to authorize the issuance of some or all of these shares to a friendly party, or to the public or in connection with a stockholder rights plan, which would make it more difficult for a potential acquirer to obtain control of us. This possibility may encourage persons seeking to acquire control of us to negotiate first with our board of directors. The authorized but unissued stock may be issued by the board of directors in one or more transactions. In this regard, our amended and restated certificate of incorporation grants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in control.</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Stockholder action; special meeting of stockholders</w:t>
      </w:r>
      <w:r>
        <w:rPr>
          <w:rFonts w:ascii="Times New Roman" w:cs="Times New Roman" w:eastAsia="Times New Roman" w:hAnsi="Times New Roman"/>
          <w:sz w:val="18"/>
          <w:szCs w:val="18"/>
          <w:color w:val="auto"/>
        </w:rPr>
        <w:t>. Our amended and restated certificate of incorporation provides that our stockholders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able to take action by written consent for any matter and may only take action at annual or special meetings. For so long as investment funds and entities affiliated with either Warburg Pincus or GTCR, collectively, hold a majority of our outstanding capital stock, however,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 Our amended and restated certificate of incorporation further provides that, except as otherwise required by law, special meetings of our stockholders may be called only by the majority of the board of directors or by the chairman of our board of directors or our chief executive officer, thus limiting the ability of a stockholder to call a special meeting. For so long as investment funds and entities affiliated with either Warburg Pincus or GTCR, collectively, hold a majority of our outstanding capital stock, however, special meetings of our stockholders may be called by the affirmative vote of the holders of a majority of our outstanding voting stock. These provisions might delay the ability of our stockholders to force consideration of a proposal or for stockholders controlling a majority of our capital stock to take any action, including the removal of directors.</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jc w:val="both"/>
        <w:ind w:left="120" w:right="2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The DGCL provides that stockholders are not entitled to cumulate votes in the election of directors unless a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provides otherwise. Our amended and restated certificate of incorporation does not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w:t>
      </w:r>
    </w:p>
    <w:p>
      <w:pPr>
        <w:spacing w:after="0" w:line="183"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Supermajority voting on board actions</w:t>
      </w:r>
      <w:r>
        <w:rPr>
          <w:rFonts w:ascii="Times New Roman" w:cs="Times New Roman" w:eastAsia="Times New Roman" w:hAnsi="Times New Roman"/>
          <w:sz w:val="18"/>
          <w:szCs w:val="18"/>
          <w:color w:val="auto"/>
        </w:rPr>
        <w:t>. For so long as investment funds and entities affiliated with either Warburg Pincus or GTCR have the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(individually) to designate at least three directors for election to our board of directors, the following actions may only be effected with the affirmative vote of 75% of our board of directors:</w:t>
      </w:r>
    </w:p>
    <w:p>
      <w:pPr>
        <w:spacing w:after="0" w:line="81"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acquisitions, mergers, other business combination transactions and dispositions;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repeal of any provision of the certificate of incorporation or bylaws;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size and composition of the board of directors or the compensation of its committees, other than in accordance with the Stockholders’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the chief executive officer or designation of a new chief executive officer;</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ordinary course compensation arrangements, entering into, or modifying, any compensation arrangements with an executive officer or any of an executive officer’s affiliates or associates;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additional shares of Company or subsidiaries’ capital stock, subject to certain limited exceptions;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certain indebtedness.</w:t>
      </w:r>
    </w:p>
    <w:p>
      <w:pPr>
        <w:spacing w:after="0" w:line="223"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Delaware Anti-Takeover Statute</w:t>
      </w:r>
      <w:r>
        <w:rPr>
          <w:rFonts w:ascii="Times New Roman" w:cs="Times New Roman" w:eastAsia="Times New Roman" w:hAnsi="Times New Roman"/>
          <w:sz w:val="18"/>
          <w:szCs w:val="18"/>
          <w:color w:val="auto"/>
        </w:rPr>
        <w:t>. We are not subject to the provisions of Section 203 of the DGCL. In general, Section 203 prohibits a publicly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Delaware corporation from engaging in a “business combination” with an “interested shareholder” for a three-year period following the time that the person becomes an interested shareholder, unless the business combination is approved in a prescribed manner. A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w:t>
      </w:r>
    </w:p>
    <w:p>
      <w:pPr>
        <w:spacing w:after="0" w:line="18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Section 203, a business combination between a corporation and an interested shareholder is prohibited unless it satisfies one of the following conditions: (1) before the shareholder became an interested shareholder, the board of directors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shareholder became an interested shareholder, the business combination was approved by the board of directors and authorized at an annual or special meeting of the shareholders by the affirmative vote of at least two-thirds of the outstanding voting stock which is not owned by the interested shareholder.</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certificate of incorporation or bylaws resulting from a shareholders’ amendment approved by at least a majority of the outstanding voting shares.</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have opted out of Section 203; however, our amended and restated certificate of incorporation contains similar provisions providing that we may not engage in certain “business combinations” with any “interested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 for a three-year period following the time that the shareholder became an interested shareholder, unless:</w:t>
      </w:r>
    </w:p>
    <w:p>
      <w:pPr>
        <w:spacing w:after="0" w:line="131" w:lineRule="exact"/>
        <w:rPr>
          <w:sz w:val="20"/>
          <w:szCs w:val="20"/>
          <w:color w:val="auto"/>
        </w:rPr>
      </w:pPr>
    </w:p>
    <w:p>
      <w:pPr>
        <w:ind w:left="1080" w:right="3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shareholder becoming an interested shareholder;</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shareholder becoming an interested shareholder, the interested shareholder owned at least 85% of our voting stock outstanding at the time the transaction commenced, excluding certain shares;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and by the affirmative vote of holders of at least 66 2/3% of our outstanding voting stock that is not owned by the interested shareholder.</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shareholder” to effect various business combinations with us for a three-year period. This provision may encourage companies interested in acquiring us to negotiate in advance with our board of directors because the shareholder approval requirement would be avoided if our board of directors approves either the business combination or the transaction which results in the shareholder becoming an interested shareholder. These provisions also may have the effect of preventing changes in our board of directors and may make it more difficult to accomplish transactions which shareholders may otherwise deem to be in their best interests.</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Warburg and GTCR, and any of their respective direct or indirect transferees and any group as to which such persons are a party, do not constitute “interested shareholders” for purposes of this provision.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21"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w:t>
      </w:r>
    </w:p>
    <w:p>
      <w:pPr>
        <w:spacing w:after="0" w:line="2" w:lineRule="exact"/>
        <w:rPr>
          <w:sz w:val="20"/>
          <w:szCs w:val="20"/>
          <w:color w:val="auto"/>
        </w:rPr>
      </w:pPr>
    </w:p>
    <w:p>
      <w:pPr>
        <w:ind w:left="120" w:hanging="4"/>
        <w:spacing w:after="0" w:line="251" w:lineRule="auto"/>
        <w:tabs>
          <w:tab w:leader="none" w:pos="3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Notwithstanding the foregoing, our amended and restated certificate of incorporation provides that the Delaware Forum Provision will not apply to suits brought to enforce a duty or liability created by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9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Additionally, our amended and restated certificate of incorporation provides that unless the Company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Any person or entity purchasing or otherwise acquiring any interest in shares of capital stock of the Company are deemed to have notice of and consented to this provision. The Supreme Court of Delaware has held that this type of exclusive federal forum provision is enforceable. There may be uncertainty, however, as to whether courts of other jurisdictions would enforce such provision, if applicable.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 of Officers and Directors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indemnification of directors and officers to the fullest extent permitted by law, including payment of expenses in advance of resolution of any such matter. Our amended and restated certificate of incorporation eliminates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Computershare Trust Company, N.A. acts as transfer agent and registrar for our common stock. The transfer agent and registrar’s address is 118 Fernwood Avenue, Edison, New Jersey 08837.</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under the symbol “SHC.”</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the date of this prospectus by each of the selling stockholders covered by this prospectus, including the number of shares of our common stock owned, the number of shares that may be offered by this prospectus and the number and percentage of outstanding shares that will be owned after the offering, assuming all shares covered by this prospectus are sold. The information concerning beneficial ownership has been provided by the selling stockholders. Information concerning the selling stockholders may change from time to time, and any changed information will be set forth if and when required in prospectus supplements or other appropriate forms permitted to be used by the SEC. Such selling stockholders may be parties to registration rights agreements with us, or we otherwise may have agreed or agree to register their shares of common stock for resale.</w:t>
      </w:r>
    </w:p>
    <w:p>
      <w:pPr>
        <w:spacing w:after="0" w:line="18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do not know when or in what amounts the selling stockholders may offer shares of our common stock for sale. The selling stockholders may choose not to sell any or all of the shares offered by this prospectus. Because the selling stockholders may offer all or some of the shares, we cannot accurately report the number of the shares that will be held by the selling stockholders after completion of the offering.</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on 282,832,200 shares of common stock outstanding, as of February 20, 2024. For purposes of calculating each person’s percentage ownership, common stock issuable pursuant to options exercisable within 60 days of the date of this prospectus and common stock issuable in connection with outstanding Restricted Stock Units (“RSUs”), which will vest within 60 days of this prospectus, are included as outstanding and beneficially owned for that person or group, and are deemed outstanding for purposes of computing the percentage ownership of that person only.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w:t>
      </w:r>
    </w:p>
    <w:p>
      <w:pPr>
        <w:spacing w:after="0" w:line="188"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table or footnotes below, the address for each beneficial owner is c/o Sotera Health, 9100 South Hills Blvd, Suite 300 Broadview Heights, Ohio 44147.</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6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7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6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6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7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6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7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6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48"/>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r>
              <w:rPr>
                <w:rFonts w:ascii="Times New Roman" w:cs="Times New Roman" w:eastAsia="Times New Roman" w:hAnsi="Times New Roman"/>
                <w:sz w:val="10"/>
                <w:szCs w:val="10"/>
                <w:b w:val="1"/>
                <w:bCs w:val="1"/>
                <w:color w:val="auto"/>
              </w:rPr>
              <w:t>(1)</w:t>
            </w:r>
          </w:p>
        </w:tc>
        <w:tc>
          <w:tcPr>
            <w:tcW w:w="16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7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6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0" w:type="dxa"/>
            <w:vAlign w:val="bottom"/>
          </w:tcPr>
          <w:p>
            <w:pPr>
              <w:spacing w:after="0"/>
              <w:rPr>
                <w:sz w:val="1"/>
                <w:szCs w:val="1"/>
                <w:color w:val="auto"/>
              </w:rPr>
            </w:pPr>
          </w:p>
        </w:tc>
      </w:tr>
      <w:tr>
        <w:trPr>
          <w:trHeight w:val="173"/>
        </w:trPr>
        <w:tc>
          <w:tcPr>
            <w:tcW w:w="5080" w:type="dxa"/>
            <w:vAlign w:val="bottom"/>
            <w:vMerge w:val="continue"/>
          </w:tcPr>
          <w:p>
            <w:pPr>
              <w:spacing w:after="0"/>
              <w:rPr>
                <w:sz w:val="15"/>
                <w:szCs w:val="15"/>
                <w:color w:val="auto"/>
              </w:rPr>
            </w:pPr>
          </w:p>
        </w:tc>
        <w:tc>
          <w:tcPr>
            <w:tcW w:w="16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17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16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0" w:type="dxa"/>
            <w:vAlign w:val="bottom"/>
          </w:tcPr>
          <w:p>
            <w:pPr>
              <w:spacing w:after="0"/>
              <w:rPr>
                <w:sz w:val="1"/>
                <w:szCs w:val="1"/>
                <w:color w:val="auto"/>
              </w:rPr>
            </w:pP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9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Investment funds and entities affiliated with Warburg</w:t>
            </w: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tcPr>
          <w:p>
            <w:pPr>
              <w:ind w:left="540"/>
              <w:spacing w:after="0" w:line="235" w:lineRule="exact"/>
              <w:rPr>
                <w:sz w:val="20"/>
                <w:szCs w:val="20"/>
                <w:color w:val="auto"/>
              </w:rPr>
            </w:pPr>
            <w:r>
              <w:rPr>
                <w:rFonts w:ascii="Times New Roman" w:cs="Times New Roman" w:eastAsia="Times New Roman" w:hAnsi="Times New Roman"/>
                <w:sz w:val="18"/>
                <w:szCs w:val="18"/>
                <w:color w:val="auto"/>
              </w:rPr>
              <w:t>Pincus</w:t>
            </w:r>
            <w:r>
              <w:rPr>
                <w:rFonts w:ascii="Times New Roman" w:cs="Times New Roman" w:eastAsia="Times New Roman" w:hAnsi="Times New Roman"/>
                <w:sz w:val="26"/>
                <w:szCs w:val="26"/>
                <w:color w:val="auto"/>
                <w:vertAlign w:val="superscript"/>
              </w:rPr>
              <w:t>(2)</w:t>
            </w: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105,417,315</w:t>
            </w:r>
          </w:p>
        </w:tc>
        <w:tc>
          <w:tcPr>
            <w:tcW w:w="17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37.27%</w:t>
            </w:r>
          </w:p>
        </w:tc>
        <w:tc>
          <w:tcPr>
            <w:tcW w:w="16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Investment funds and entities affiliated with GTCR</w:t>
            </w:r>
            <w:r>
              <w:rPr>
                <w:rFonts w:ascii="Times New Roman" w:cs="Times New Roman" w:eastAsia="Times New Roman" w:hAnsi="Times New Roman"/>
                <w:sz w:val="25"/>
                <w:szCs w:val="25"/>
                <w:color w:val="auto"/>
                <w:vertAlign w:val="superscript"/>
              </w:rPr>
              <w:t>(3)</w:t>
            </w:r>
          </w:p>
        </w:tc>
        <w:tc>
          <w:tcPr>
            <w:tcW w:w="16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70,278,209</w:t>
            </w:r>
          </w:p>
        </w:tc>
        <w:tc>
          <w:tcPr>
            <w:tcW w:w="17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24.85%</w:t>
            </w:r>
          </w:p>
        </w:tc>
        <w:tc>
          <w:tcPr>
            <w:tcW w:w="16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Selling Stockholders:</w:t>
            </w: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Michael B. Petras, Jr.</w:t>
            </w:r>
            <w:r>
              <w:rPr>
                <w:rFonts w:ascii="Times New Roman" w:cs="Times New Roman" w:eastAsia="Times New Roman" w:hAnsi="Times New Roman"/>
                <w:sz w:val="25"/>
                <w:szCs w:val="25"/>
                <w:color w:val="auto"/>
                <w:vertAlign w:val="superscript"/>
              </w:rPr>
              <w:t>(4)</w:t>
            </w:r>
          </w:p>
        </w:tc>
        <w:tc>
          <w:tcPr>
            <w:tcW w:w="16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8,587,855</w:t>
            </w:r>
          </w:p>
        </w:tc>
        <w:tc>
          <w:tcPr>
            <w:tcW w:w="17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3.04%</w:t>
            </w:r>
          </w:p>
        </w:tc>
        <w:tc>
          <w:tcPr>
            <w:tcW w:w="16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Michael P. Rutz</w:t>
            </w:r>
            <w:r>
              <w:rPr>
                <w:rFonts w:ascii="Times New Roman" w:cs="Times New Roman" w:eastAsia="Times New Roman" w:hAnsi="Times New Roman"/>
                <w:sz w:val="25"/>
                <w:szCs w:val="25"/>
                <w:color w:val="auto"/>
                <w:vertAlign w:val="superscript"/>
              </w:rPr>
              <w:t>(5)</w:t>
            </w: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709,336</w:t>
            </w: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Ann R. Klee</w:t>
            </w:r>
            <w:r>
              <w:rPr>
                <w:rFonts w:ascii="Times New Roman" w:cs="Times New Roman" w:eastAsia="Times New Roman" w:hAnsi="Times New Roman"/>
                <w:sz w:val="25"/>
                <w:szCs w:val="25"/>
                <w:color w:val="auto"/>
                <w:vertAlign w:val="superscript"/>
              </w:rPr>
              <w:t>(6)</w:t>
            </w:r>
          </w:p>
        </w:tc>
        <w:tc>
          <w:tcPr>
            <w:tcW w:w="16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76,773</w:t>
            </w:r>
          </w:p>
        </w:tc>
        <w:tc>
          <w:tcPr>
            <w:tcW w:w="17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540" w:right="140" w:hanging="424"/>
        <w:spacing w:after="0" w:line="25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shown in the table above include shares held in the selling stockholder’s name or jointly with others, or in the name of a bank, nominee or trustee for the selling stockholder’s account.</w:t>
      </w:r>
    </w:p>
    <w:p>
      <w:pPr>
        <w:ind w:left="540" w:right="240" w:hanging="424"/>
        <w:spacing w:after="0" w:line="26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84,363,406 shares held of record by Bull Holdco L.P., a Delaware limited partnership (“Bull Holdco”) and (ii) 21,053,909 shares held of record by Bull Co-Invest L.P., a Delaware limited partnership (“Bull Co-Invest”).</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Effective August 5, 2021, the WP XI Funds (as defined below) contributed their shares of common stock (the “Contributed Shares”) to Bull Holdco, pursuant to the terms of a Contribution and Exchange Agreement among such persons and Bull Holdco. The WP XI Funds (as defined below)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w:t>
      </w:r>
    </w:p>
    <w:p>
      <w:pPr>
        <w:spacing w:after="0" w:line="75" w:lineRule="exact"/>
        <w:rPr>
          <w:sz w:val="20"/>
          <w:szCs w:val="20"/>
          <w:color w:val="auto"/>
        </w:rPr>
      </w:pPr>
    </w:p>
    <w:p>
      <w:pPr>
        <w:ind w:left="560" w:right="20"/>
        <w:spacing w:after="0" w:line="251" w:lineRule="auto"/>
        <w:rPr>
          <w:sz w:val="20"/>
          <w:szCs w:val="20"/>
          <w:color w:val="auto"/>
        </w:rPr>
      </w:pPr>
      <w:r>
        <w:rPr>
          <w:rFonts w:ascii="Times New Roman" w:cs="Times New Roman" w:eastAsia="Times New Roman" w:hAnsi="Times New Roman"/>
          <w:sz w:val="18"/>
          <w:szCs w:val="18"/>
          <w:color w:val="auto"/>
        </w:rPr>
        <w:t>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 Partners”), Warburg Pincus XI Partners, L.P., a Delaware limited partnership (“Warburg Pincus XI Partners”) and Bull Co-Invest. Warburg Pincus XI, L.P., a Delaware limited partnership (“WP XI GP”), is the general partner of each of (i) WP XI, (ii) WP XI-B, (iii) WP XI Partners and (iv) Warburg Pincus XI Partners.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 Warburg Pincus (Cayman) XI, L.P., a Cayman Islands exempted limited partnership (“WP XI Cayman GP”), is the general partner of WP XI-C (WP XI-C and, together with WP XI, WP XI-B, WP XI Partners and Warburg Pincus XI Partners,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 WP Bull Manager LLC, a Delaware limited Liability company (“WP Bull Manager”), is the general partner of Bull Co-Invest. WP is managing member of WP Bull Manager. Warburg Pincus LLC, a New York limited liability company (“WP LLC”), is the manager of the WP XI Funds. The address of the Warburg Pincus Sponsors is 450 Lexington Avenue, New York, New York 10017.</w:t>
      </w:r>
    </w:p>
    <w:p>
      <w:pPr>
        <w:spacing w:after="0" w:line="11" w:lineRule="exact"/>
        <w:rPr>
          <w:sz w:val="20"/>
          <w:szCs w:val="20"/>
          <w:color w:val="auto"/>
        </w:rPr>
      </w:pPr>
    </w:p>
    <w:p>
      <w:pPr>
        <w:ind w:left="540" w:right="80" w:hanging="424"/>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55,778,268 shares held of record by GTCR Fund XI/A LP, (ii) 14,052,901 shares held of record by GTCR Fund XI/C LP and (iii) 447,040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Petras is the grantor and trustee of estate planning trusts (the “Petras Trusts”). As a result, Mr. Petras may have voting and investment control over, and may be deemed to be the beneficial owner of, an aggregate of 6,377,185 shares of common stock owned by the Petras Trusts. Also includes 152,199 shares of common stock, 133,469 shares of common stock issuable in connection with outstanding RSUs, which will vest within 60 days of February 27, 2024, and 1,925,002 shares underlying options that are currently exercisable or exercisable within 60 days of February 27, 2024.</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547,161 shares of common stock, of which 139,536 shares are restricted and remain subject to vesting, 17,795 shares of common stock issuable in connection with outstanding RSUs, which will vest within 60 days of February 27, 2024, and 144,380 shares underlying options that are currently exercisable or exercisable within 60 days of February 27, 2024.</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76,773 shares of common stock, of which 8,638 shares are restricted and remain subject to vesting.</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We and/or the selling stockholders may offer and sell the securities covered by this prospectus from time to time, in one or more or any combination of the following transactions:</w:t>
      </w:r>
    </w:p>
    <w:p>
      <w:pPr>
        <w:spacing w:after="0" w:line="67"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filed with the SEC;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securities at a stipulated price per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under the Securities Act, to or through a market maker or into an existing trading market, on an exchange or otherwise;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including in a block trade in which a broker-dealer will attempt to sell the offered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 pursuant to this prospectus;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w:t>
      </w:r>
    </w:p>
    <w:p>
      <w:pPr>
        <w:spacing w:after="0" w:line="225"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and/or selling stockholders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or borrowed from us, the selling stockholders or others to settle those sales or to close out any related open borrowings of stock and may use securities received from us, the selling stockholders or others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to the registration statement of which this prospectus forms a part).</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At any time a particular offering of securities covered by this prospectus is made, a revised prospectus or prospectus supplement, if required, will set forth the amount of securities covered by this prospectus being offered and terms of the offering, including:</w:t>
      </w:r>
    </w:p>
    <w:p>
      <w:pPr>
        <w:spacing w:after="0" w:line="67" w:lineRule="exact"/>
        <w:rPr>
          <w:sz w:val="20"/>
          <w:szCs w:val="20"/>
          <w:color w:val="auto"/>
        </w:rPr>
      </w:pPr>
    </w:p>
    <w:p>
      <w:pPr>
        <w:ind w:left="1080" w:right="3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brokers or agents and the amounts of securities underwritten or purchased by each of them; and</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of the securities, if a fixed price offering, and the proceeds to us or any selling stockholders and, to the extent required, any discounts, commissions or concessions allowed or reallowed or paid to dealers.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Any such required prospectus or prospectus supplement, and, if necessary, a post-effective amendment to the registration statement of which this prospectus is a part, will be filed with the SEC to reflect the disclosure of additional information with respect to the distribution of our common stock covered by this prospectus.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320" w:top="455" w:right="5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Underwriters or the third parties described above may offer and sell the offered securities from time to time in one or more transactions, including negotiated transactions, at a fixed public offering price or at varying prices determined at the time of sale. If underwriters are used in the sale of any securities, the securities will be acquired by the underwriters for their own account and may be resold from time to time in one or more transactions described above. The securities may be offered to the public either through underwriting syndicates represented by managing underwriters or directly by underwriters. The obligations of the underwriters to purchase the securities will be subject to the conditions set forth in the applicable underwriting agreement. The underwriters will be obligated to purchase all of the offered securities if they purchase any of the offered securities.</w:t>
      </w:r>
    </w:p>
    <w:p>
      <w:pPr>
        <w:spacing w:after="0" w:line="187"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and/or the selling stockholders may sell the securities at prices then prevailing or related to the then current market price or at negotiated prices. The offering price of the securities from time to time will be determined by us or the selling stockholders, as applicable, and, at the time of the determination, may be higher or lower than the market price of the securities on any securities exchanges on which the securities may be listed.</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To facilitate a securities offering, certain persons participating in the offering may engage in transactions that stabilize, maintain or otherwise affect the price of the securities. Specifically, in connection with underwritten offerings of the offered securities and in accordance with applicable law and industry practice, the underwriters may over-allot and may bid for, and purchase, the securities in the open market. The applicable prospectus supplement will describe any such activities. Should any of these activities be undertaken, they may be discontinued at any time.</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selling stockholders and any agents, underwriters and other third parties described above that participate in the distribution of the offered securities may be underwriters as defined in the Securities Act, and any discounts or commissions they receive from us and any profit on their resale of the securities may be treated as underwriting discounts and commissions under the Securities Act. We or the selling stockholders may have agreements with the agents, underwriters and those other third parties to indemnify them against specified civil liabilities, including liabilities under the Securities Act, or to contribute to payments they may be required to make in respect of those liabilities. Agents, underwriters and those other third parties may engage in transactions with or perform services for us in the ordinary course of their businesses.</w:t>
      </w:r>
    </w:p>
    <w:p>
      <w:pPr>
        <w:spacing w:after="0" w:line="187"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To comply with applicable state securities laws, the securities covered by this prospectus will be sold, if necessary, in such jurisdictions only through registered or licensed brokers or dealers. In addition, the securities may not be sold in some states absent registration or pursuant to an exemption from applicable state securities laws.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including the filings that are incorporated by reference into this prospectus, are available to the public over the Internet at the SEC’s website at www.sec.gov. Copies of certain information filed by us with the SEC are also available on our website at www.investors.soterahealth.com. Information accessible on or through our website is not a part of this prospectus.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40"/>
          </w:cols>
          <w:pgMar w:left="320" w:top="455" w:right="5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w:t>
      </w:r>
    </w:p>
    <w:p>
      <w:pPr>
        <w:spacing w:after="0" w:line="89"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February 27, 2024;</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43">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xml:space="preserve">, filed with the SEC on April 13, 2023 (solely to the extent specifically incorporated by reference into our Annual Report on </w:t>
      </w:r>
      <w:hyperlink r:id="rId4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additional documents that we file with the SEC under Sections 13(a), 13(c), 14 or 15(d) of the Securities and Exchange Act of 1934 between the date of this prospectus and the end of the offering of the securities described in this prospectus. Those documents include Annual Reports on Form 10-K, Quarterly Reports on Form 10-Q, and Current Reports on Form 8-K mailed to our stockholders.</w:t>
      </w:r>
    </w:p>
    <w:p>
      <w:pPr>
        <w:spacing w:after="0" w:line="176" w:lineRule="exact"/>
        <w:rPr>
          <w:rFonts w:ascii="Times New Roman" w:cs="Times New Roman" w:eastAsia="Times New Roman" w:hAnsi="Times New Roman"/>
          <w:sz w:val="18"/>
          <w:szCs w:val="18"/>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spacing w:after="0" w:line="176" w:lineRule="exact"/>
        <w:rPr>
          <w:rFonts w:ascii="Times New Roman" w:cs="Times New Roman" w:eastAsia="Times New Roman" w:hAnsi="Times New Roman"/>
          <w:sz w:val="18"/>
          <w:szCs w:val="18"/>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Sotera Health Company, 9100 South Hills Blvd, Suite 300 Broadview Heights, Ohio 44147.</w:t>
      </w:r>
    </w:p>
    <w:p>
      <w:pPr>
        <w:spacing w:after="0" w:line="176" w:lineRule="exact"/>
        <w:rPr>
          <w:rFonts w:ascii="Times New Roman" w:cs="Times New Roman" w:eastAsia="Times New Roman" w:hAnsi="Times New Roman"/>
          <w:sz w:val="18"/>
          <w:szCs w:val="18"/>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Exhibits to any documents incorporated by reference in this prospectus will not be sent, however, unless those exhibits have been specifically referenced in this prospectus.</w:t>
      </w:r>
    </w:p>
    <w:p>
      <w:pPr>
        <w:spacing w:after="0" w:line="94" w:lineRule="exact"/>
        <w:rPr>
          <w:rFonts w:ascii="Times New Roman" w:cs="Times New Roman" w:eastAsia="Times New Roman" w:hAnsi="Times New Roman"/>
          <w:sz w:val="18"/>
          <w:szCs w:val="18"/>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320" w:top="455" w:right="5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Cleary Gottlieb Steen &amp; Hamilton LLP, New York, New York will pass upon the legality of the shares of common stock covered by this prospectus. Any underwriters will be advised about legal matters by their own counsel, which will be named in an accompanying prospectus supplement. Certain legal matters with respect to any selling stockholder will be passed upon by their own counsel, which will be named in an accompanying prospectus supplement.</w:t>
      </w:r>
    </w:p>
    <w:p>
      <w:pPr>
        <w:spacing w:after="0" w:line="1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360"/>
          </w:cols>
          <w:pgMar w:left="320" w:top="455" w:right="12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Sotera Health Company appearing in Sotera Health Company’s Annual Report on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PART II INFORMATION NOT REQUIRED IN PROSPECTUS</w:t>
      </w:r>
    </w:p>
    <w:p>
      <w:pPr>
        <w:spacing w:after="0" w:line="252"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various expenses payable by the registrant in connection with the securities being registered hereby. Except as otherwise noted, all of the fees set forth below are estimates.</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92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 xml:space="preserve">$  </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2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 reliance on Rules 456(b) and 457(r) under the Securities Act.</w:t>
      </w:r>
    </w:p>
    <w:p>
      <w:pPr>
        <w:spacing w:after="0" w:line="27" w:lineRule="exact"/>
        <w:rPr>
          <w:sz w:val="20"/>
          <w:szCs w:val="20"/>
          <w:color w:val="auto"/>
        </w:rPr>
      </w:pPr>
    </w:p>
    <w:p>
      <w:pPr>
        <w:ind w:left="540" w:right="540" w:hanging="424"/>
        <w:spacing w:after="0" w:line="26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in connection with the issuance and distribution of the securities are not currently determinable. An estimate of the aggregate amount of these expenses will be reflected in the applicable prospectus supplement.</w:t>
      </w:r>
    </w:p>
    <w:p>
      <w:pPr>
        <w:spacing w:after="0" w:line="326"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Section 145 of the DGCL provides that a corporation may indemnify directors and officers as well as other employees and individuals against expenses, including attorneys’ fees, judgments, fines and amounts paid in settlement in connection with specified actions, suits and proceedings whether civil, criminal, administrative or investigative, other than a derivative action by or in the right of the corporation,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extends only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certificate of incorporation, bylaws, disinterested director vote, stockholder vote, agreement or otherwise.</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indemnification of directors and officers to the fullest extent permitted by law, including payment of expenses in advance of resolution of any such matter. Our amended and restated certificate of incorporation eliminates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entered into separate indemnification agreements with our directors and officers that may be broader than the specific indemnification provisions contained in the DGCL. Each indemnification agreement provides, among other things, for indemnification to the fullest extent permitted by law and our amended and restated certificate of incorporation and amended and restated bylaws against any and all expenses, judgments, fines and amounts paid in settlement of any claim. The indemnification agreements provide for the advancement or payment of all expenses to the indemnitee and for reimbursement to us if it is found that such indemnitee is not entitled to such indemnification under applicable law and our amended and restated certificate of incorporation and amended and restated bylaws. We believe that these agreements are necessary to attract and retain qualified individuals to serve as directors and officers.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included in our amended and restated certificate of incorporation and the indemnification agreements that we have entered into with our directors and officers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w:t>
      </w:r>
    </w:p>
    <w:p>
      <w:pPr>
        <w:spacing w:after="0" w:line="183"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We maintain standard policies of insurance under which, subject to the limitations of the policies, coverage is provided to our directors and officers against loss rising from claims made by reason of breach of duty or other wrongful acts as a director or officer, including claims relating to public securities matters.</w:t>
      </w:r>
    </w:p>
    <w:p>
      <w:pPr>
        <w:spacing w:after="0" w:line="176"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and/or indemnified against certain liabilities incurred in their capacity as members of our board of directors. Although directors designated for election to our board of directors by investment funds and entities affiliated with either Warburg Pincus or GTCR may have certain rights to indemnification, advancement of expenses or insurance provided or obtained by investment funds and entities affiliated with either Warburg Pincus or GTCR, respectively, we have agreed in our Stockholders’ Agreement that we will be the indemnitor of first resort, will advance the full amount of expenses incurred by each such director and, to the extent that investment funds and entities affiliated with either Warburg Pincus or GTCR or their insurers make any payment to, or advance any expenses to, any such director, we will reimburse those investment funds and entities and their insurers for such amounts.</w:t>
      </w:r>
    </w:p>
    <w:p>
      <w:pPr>
        <w:spacing w:after="0" w:line="18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We expect that any underwriting agreement will provide for indemnification, under certain circumstances, by the underwriters of us and our officers and directors for certain liabilities arising under the Securities Act or otherwise.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1022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List of Exhibits.</w:t>
            </w:r>
          </w:p>
        </w:tc>
        <w:tc>
          <w:tcPr>
            <w:tcW w:w="0" w:type="dxa"/>
            <w:vAlign w:val="bottom"/>
          </w:tcPr>
          <w:p>
            <w:pPr>
              <w:spacing w:after="0"/>
              <w:rPr>
                <w:sz w:val="1"/>
                <w:szCs w:val="1"/>
                <w:color w:val="auto"/>
              </w:rPr>
            </w:pPr>
          </w:p>
        </w:tc>
      </w:tr>
      <w:tr>
        <w:trPr>
          <w:trHeight w:val="648"/>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800" w:type="dxa"/>
            <w:vAlign w:val="bottom"/>
            <w:gridSpan w:val="6"/>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60" w:type="dxa"/>
            <w:vAlign w:val="bottom"/>
          </w:tcPr>
          <w:p>
            <w:pPr>
              <w:spacing w:after="0"/>
              <w:rPr>
                <w:sz w:val="24"/>
                <w:szCs w:val="24"/>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w:t>
            </w:r>
          </w:p>
        </w:tc>
        <w:tc>
          <w:tcPr>
            <w:tcW w:w="320" w:type="dxa"/>
            <w:vAlign w:val="bottom"/>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20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1.1*</w:t>
            </w:r>
          </w:p>
        </w:tc>
        <w:tc>
          <w:tcPr>
            <w:tcW w:w="320" w:type="dxa"/>
            <w:vAlign w:val="bottom"/>
          </w:tcPr>
          <w:p>
            <w:pPr>
              <w:spacing w:after="0"/>
              <w:rPr>
                <w:sz w:val="24"/>
                <w:szCs w:val="24"/>
                <w:color w:val="auto"/>
              </w:rPr>
            </w:pPr>
          </w:p>
        </w:tc>
        <w:tc>
          <w:tcPr>
            <w:tcW w:w="99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83"/>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3.1</w:t>
            </w:r>
          </w:p>
        </w:tc>
        <w:tc>
          <w:tcPr>
            <w:tcW w:w="320" w:type="dxa"/>
            <w:vAlign w:val="bottom"/>
          </w:tcPr>
          <w:p>
            <w:pPr>
              <w:spacing w:after="0"/>
              <w:rPr>
                <w:sz w:val="24"/>
                <w:szCs w:val="24"/>
                <w:color w:val="auto"/>
              </w:rPr>
            </w:pPr>
          </w:p>
        </w:tc>
        <w:tc>
          <w:tcPr>
            <w:tcW w:w="9900" w:type="dxa"/>
            <w:vAlign w:val="bottom"/>
            <w:gridSpan w:val="7"/>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Amended and Restated Certificate of Incorporation of the Registrant (incorporated by reference to Exhibit 3.1 of the Annual Report on</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Form 10-K filed by Sotera Health Company on March 9, 2021)</w:t>
              </w:r>
            </w:hyperlink>
          </w:p>
        </w:tc>
        <w:tc>
          <w:tcPr>
            <w:tcW w:w="5140" w:type="dxa"/>
            <w:vAlign w:val="bottom"/>
            <w:tcBorders>
              <w:top w:val="single" w:sz="8" w:color="0000EE"/>
            </w:tcBorders>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3.2</w:t>
            </w:r>
          </w:p>
        </w:tc>
        <w:tc>
          <w:tcPr>
            <w:tcW w:w="320" w:type="dxa"/>
            <w:vAlign w:val="bottom"/>
          </w:tcPr>
          <w:p>
            <w:pPr>
              <w:spacing w:after="0"/>
              <w:rPr>
                <w:sz w:val="24"/>
                <w:szCs w:val="24"/>
                <w:color w:val="auto"/>
              </w:rPr>
            </w:pPr>
          </w:p>
        </w:tc>
        <w:tc>
          <w:tcPr>
            <w:tcW w:w="97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Amended and Restated Bylaws of the Registrant (incorporated by reference to Exhibit 3.2 of the Annual Report on Form 10-K filed by</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900" w:type="dxa"/>
            <w:vAlign w:val="bottom"/>
            <w:gridSpan w:val="7"/>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Sotera Health Company on March 9, 2021)</w:t>
              </w:r>
            </w:hyperlink>
          </w:p>
        </w:tc>
        <w:tc>
          <w:tcPr>
            <w:tcW w:w="0" w:type="dxa"/>
            <w:vAlign w:val="bottom"/>
          </w:tcPr>
          <w:p>
            <w:pPr>
              <w:spacing w:after="0"/>
              <w:rPr>
                <w:sz w:val="1"/>
                <w:szCs w:val="1"/>
                <w:color w:val="auto"/>
              </w:rPr>
            </w:pPr>
          </w:p>
        </w:tc>
      </w:tr>
      <w:tr>
        <w:trPr>
          <w:trHeight w:val="20"/>
        </w:trPr>
        <w:tc>
          <w:tcPr>
            <w:tcW w:w="8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4.1</w:t>
            </w:r>
          </w:p>
        </w:tc>
        <w:tc>
          <w:tcPr>
            <w:tcW w:w="320" w:type="dxa"/>
            <w:vAlign w:val="bottom"/>
          </w:tcPr>
          <w:p>
            <w:pPr>
              <w:spacing w:after="0"/>
              <w:rPr>
                <w:sz w:val="24"/>
                <w:szCs w:val="24"/>
                <w:color w:val="auto"/>
              </w:rPr>
            </w:pPr>
          </w:p>
        </w:tc>
        <w:tc>
          <w:tcPr>
            <w:tcW w:w="95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Amended and Restated Registration Rights Agreement (incorporated by reference to Exhibit 4.2 of the Annual Report on Form 10-K</w:t>
              </w:r>
            </w:hyperlink>
          </w:p>
        </w:tc>
        <w:tc>
          <w:tcPr>
            <w:tcW w:w="3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900" w:type="dxa"/>
            <w:vAlign w:val="bottom"/>
            <w:gridSpan w:val="7"/>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filed by Sotera Health Company on March 9, 2021)</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00" w:hanging="84"/>
        <w:spacing w:after="0"/>
        <w:tabs>
          <w:tab w:leader="none" w:pos="2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5.1**</w:t>
      </w:r>
      <w:r>
        <w:rPr>
          <w:rFonts w:ascii="Times New Roman" w:cs="Times New Roman" w:eastAsia="Times New Roman" w:hAnsi="Times New Roman"/>
          <w:sz w:val="17"/>
          <w:szCs w:val="17"/>
          <w:u w:val="single" w:color="auto"/>
          <w:color w:val="0000EE"/>
        </w:rPr>
        <w:t>Opinion of Cleary Gottlieb Steen &amp; Hamilton LLP</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10.1</w:t>
            </w:r>
          </w:p>
        </w:tc>
        <w:tc>
          <w:tcPr>
            <w:tcW w:w="91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Stockholders’ Agreement (incorporated by reference to Exhibit 10.9 of the Annual Report on Form 10-K filed by Sotera Health</w:t>
              </w:r>
            </w:hyperlink>
          </w:p>
        </w:tc>
      </w:tr>
      <w:tr>
        <w:trPr>
          <w:trHeight w:val="196"/>
        </w:trPr>
        <w:tc>
          <w:tcPr>
            <w:tcW w:w="1120" w:type="dxa"/>
            <w:vAlign w:val="bottom"/>
          </w:tcPr>
          <w:p>
            <w:pPr>
              <w:spacing w:after="0"/>
              <w:rPr>
                <w:sz w:val="17"/>
                <w:szCs w:val="17"/>
                <w:color w:val="auto"/>
              </w:rPr>
            </w:pPr>
          </w:p>
        </w:tc>
        <w:tc>
          <w:tcPr>
            <w:tcW w:w="9180" w:type="dxa"/>
            <w:vAlign w:val="bottom"/>
            <w:gridSpan w:val="2"/>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Company on March 9, 2021)</w:t>
              </w:r>
            </w:hyperlink>
          </w:p>
        </w:tc>
      </w:tr>
      <w:tr>
        <w:trPr>
          <w:trHeight w:val="20"/>
        </w:trPr>
        <w:tc>
          <w:tcPr>
            <w:tcW w:w="112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200" w:hanging="84"/>
        <w:spacing w:after="0"/>
        <w:tabs>
          <w:tab w:leader="none" w:pos="2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23.1**</w:t>
      </w:r>
      <w:r>
        <w:rPr>
          <w:rFonts w:ascii="Times New Roman" w:cs="Times New Roman" w:eastAsia="Times New Roman" w:hAnsi="Times New Roman"/>
          <w:sz w:val="17"/>
          <w:szCs w:val="17"/>
          <w:u w:val="single" w:color="auto"/>
          <w:color w:val="0000EE"/>
        </w:rPr>
        <w:t>Consent of Cleary Gottlieb Steen &amp; Hamilton LLP (included in Exhibit 5.1)</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23.2**</w:t>
      </w:r>
      <w:r>
        <w:rPr>
          <w:rFonts w:ascii="Times New Roman" w:cs="Times New Roman" w:eastAsia="Times New Roman" w:hAnsi="Times New Roman"/>
          <w:sz w:val="17"/>
          <w:szCs w:val="17"/>
          <w:u w:val="single" w:color="auto"/>
          <w:color w:val="0000EE"/>
        </w:rPr>
        <w:t>Consent of Ernst &amp; Young LLP, Independent Registered Public Accounting Firm</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24.1**</w:t>
      </w:r>
      <w:r>
        <w:rPr>
          <w:rFonts w:ascii="Times New Roman" w:cs="Times New Roman" w:eastAsia="Times New Roman" w:hAnsi="Times New Roman"/>
          <w:sz w:val="18"/>
          <w:szCs w:val="18"/>
          <w:u w:val="single" w:color="auto"/>
          <w:color w:val="0000EE"/>
        </w:rPr>
        <w:t>Power of Attorney (included on signature page)</w:t>
      </w:r>
    </w:p>
    <w:p>
      <w:pPr>
        <w:spacing w:after="0" w:line="117" w:lineRule="exact"/>
        <w:rPr>
          <w:sz w:val="20"/>
          <w:szCs w:val="20"/>
          <w:color w:val="auto"/>
        </w:rPr>
      </w:pPr>
    </w:p>
    <w:p>
      <w:pPr>
        <w:ind w:left="120"/>
        <w:spacing w:after="0"/>
        <w:tabs>
          <w:tab w:leader="none" w:pos="1220" w:val="left"/>
        </w:tabs>
        <w:rPr>
          <w:sz w:val="20"/>
          <w:szCs w:val="20"/>
          <w:color w:val="auto"/>
        </w:rPr>
      </w:pPr>
      <w:r>
        <w:rPr>
          <w:rFonts w:ascii="Times New Roman" w:cs="Times New Roman" w:eastAsia="Times New Roman" w:hAnsi="Times New Roman"/>
          <w:sz w:val="18"/>
          <w:szCs w:val="18"/>
          <w:color w:val="auto"/>
        </w:rPr>
        <w:t>107.1**</w:t>
      </w:r>
      <w:r>
        <w:rPr>
          <w:sz w:val="20"/>
          <w:szCs w:val="20"/>
          <w:color w:val="auto"/>
        </w:rPr>
        <w:tab/>
      </w:r>
      <w:r>
        <w:rPr>
          <w:rFonts w:ascii="Times New Roman" w:cs="Times New Roman" w:eastAsia="Times New Roman" w:hAnsi="Times New Roman"/>
          <w:sz w:val="17"/>
          <w:szCs w:val="17"/>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2" w:lineRule="exact"/>
        <w:rPr>
          <w:sz w:val="20"/>
          <w:szCs w:val="20"/>
          <w:color w:val="auto"/>
        </w:rPr>
      </w:pPr>
    </w:p>
    <w:p>
      <w:pPr>
        <w:ind w:left="120" w:right="1860" w:hanging="4"/>
        <w:spacing w:after="0" w:line="282" w:lineRule="auto"/>
        <w:tabs>
          <w:tab w:leader="none" w:pos="5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if necessary, as an exhibit to one or more Current Reports on Form 8-K and incorporated by reference herein. ** Filed herewith.</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sz w:val="20"/>
          <w:szCs w:val="20"/>
          <w:color w:val="auto"/>
        </w:rPr>
      </w:pPr>
    </w:p>
    <w:p>
      <w:pPr>
        <w:ind w:left="820" w:hanging="264"/>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ind w:left="560" w:right="120" w:firstLine="419"/>
        <w:spacing w:after="0" w:line="255" w:lineRule="auto"/>
        <w:tabs>
          <w:tab w:leader="none" w:pos="124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0" w:lineRule="exact"/>
        <w:rPr>
          <w:rFonts w:ascii="Times New Roman" w:cs="Times New Roman" w:eastAsia="Times New Roman" w:hAnsi="Times New Roman"/>
          <w:sz w:val="18"/>
          <w:szCs w:val="18"/>
          <w:color w:val="auto"/>
        </w:rPr>
      </w:pPr>
    </w:p>
    <w:p>
      <w:pPr>
        <w:ind w:left="560" w:right="100" w:firstLine="419"/>
        <w:spacing w:after="0" w:line="282" w:lineRule="auto"/>
        <w:tabs>
          <w:tab w:leader="none" w:pos="129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(i), (ii) and (iii) of this section do not apply if the information required to be included in a post-effective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those paragraphs is contained in reports filed with or furnished to the SEC by the registrant pursuant to Section 13 or Section 15(d) of the Exchange Act that are incorporated by reference in this registration statement, or is contained in a form of prospectus filed pursuant to Rule 424(b) that is part of this registration statement.</w:t>
      </w:r>
    </w:p>
    <w:p>
      <w:pPr>
        <w:spacing w:after="0" w:line="182" w:lineRule="exact"/>
        <w:rPr>
          <w:sz w:val="20"/>
          <w:szCs w:val="20"/>
          <w:color w:val="auto"/>
        </w:rPr>
      </w:pPr>
    </w:p>
    <w:p>
      <w:pPr>
        <w:ind w:left="120" w:right="140" w:firstLine="436"/>
        <w:spacing w:after="0" w:line="266"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120" w:right="640" w:firstLine="436"/>
        <w:spacing w:after="0" w:line="282"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ind w:left="560" w:right="160" w:firstLine="419"/>
        <w:spacing w:after="0" w:line="282" w:lineRule="auto"/>
        <w:tabs>
          <w:tab w:leader="none" w:pos="119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this registration statement as of the date the filed prospectus was deemed part of and included in this registration statement; and</w:t>
      </w:r>
    </w:p>
    <w:p>
      <w:pPr>
        <w:spacing w:after="0" w:line="53" w:lineRule="exact"/>
        <w:rPr>
          <w:rFonts w:ascii="Times New Roman" w:cs="Times New Roman" w:eastAsia="Times New Roman" w:hAnsi="Times New Roman"/>
          <w:sz w:val="18"/>
          <w:szCs w:val="18"/>
          <w:color w:val="auto"/>
        </w:rPr>
      </w:pPr>
    </w:p>
    <w:p>
      <w:pPr>
        <w:ind w:left="560" w:firstLine="419"/>
        <w:spacing w:after="0" w:line="253" w:lineRule="auto"/>
        <w:tabs>
          <w:tab w:leader="none" w:pos="12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this registration statement or made in a document incorporated or deemed incorporated by reference into this registration statement or prospectus that is part of this registration statement will, as to a purchaser with a time of contract of sale prior to such effective date, supersede or modify any statement that was made in this registration statement or prospectus that was part of this registration statement or made in any such document immediately prior to such effective date.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36"/>
        <w:spacing w:after="0" w:line="258"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17" w:lineRule="exact"/>
        <w:rPr>
          <w:rFonts w:ascii="Times New Roman" w:cs="Times New Roman" w:eastAsia="Times New Roman" w:hAnsi="Times New Roman"/>
          <w:sz w:val="18"/>
          <w:szCs w:val="18"/>
          <w:color w:val="auto"/>
        </w:rPr>
      </w:pPr>
    </w:p>
    <w:p>
      <w:pPr>
        <w:ind w:left="560" w:right="220" w:firstLine="419"/>
        <w:spacing w:after="0" w:line="282" w:lineRule="auto"/>
        <w:tabs>
          <w:tab w:leader="none" w:pos="12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560" w:firstLine="419"/>
        <w:spacing w:after="0" w:line="282" w:lineRule="auto"/>
        <w:tabs>
          <w:tab w:leader="none" w:pos="129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1280" w:hanging="301"/>
        <w:spacing w:after="0"/>
        <w:tabs>
          <w:tab w:leader="none" w:pos="12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the city of Broadview Heights, State of Ohio on February 27, 2024.</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Michael B. Petras, Jr.</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0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undersigned directors and officers of Sotera Health Company hereby constitute and appoint Michael B. Petras, Jr., Jonathan M. Lyons and Alex Dimitrief, and each of them, any of whom may act without joinder of the other, the individual’s true and lawful attorneys-in-fact and agents, with full power of substitution and resubstituion, for the person and in his or her name, place and stead, and in any and all capacities, to sign this Registration Statement and any and all amendments, including post-effective amendments to the Registration Statement, including a prospectus or an amended prospectus therein and any Registration Statement for the same offering that is to be effective upon filing pursuant to Rule 462 under the Securities Act of 1933, as amended, and to file the same, with all exhibits thereto,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as agents or any of them, or his or her substitute or substitutes, may lawfully do or cause to be done by virtue hereof.</w:t>
      </w:r>
    </w:p>
    <w:p>
      <w:pPr>
        <w:spacing w:after="0" w:line="194"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on Form S-3 has been signed by the following persons in the capacities indicated on February 27, 2024.</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5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10"/>
        </w:trPr>
        <w:tc>
          <w:tcPr>
            <w:tcW w:w="3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B. Petras, Jr.</w:t>
            </w:r>
          </w:p>
        </w:tc>
        <w:tc>
          <w:tcPr>
            <w:tcW w:w="120" w:type="dxa"/>
            <w:vAlign w:val="bottom"/>
          </w:tcPr>
          <w:p>
            <w:pPr>
              <w:spacing w:after="0"/>
              <w:rPr>
                <w:sz w:val="18"/>
                <w:szCs w:val="18"/>
                <w:color w:val="auto"/>
              </w:rPr>
            </w:pPr>
          </w:p>
        </w:tc>
        <w:tc>
          <w:tcPr>
            <w:tcW w:w="5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c>
          <w:tcPr>
            <w:tcW w:w="200" w:type="dxa"/>
            <w:vAlign w:val="bottom"/>
          </w:tcPr>
          <w:p>
            <w:pPr>
              <w:spacing w:after="0"/>
              <w:rPr>
                <w:sz w:val="18"/>
                <w:szCs w:val="18"/>
                <w:color w:val="auto"/>
              </w:rPr>
            </w:pPr>
          </w:p>
        </w:tc>
        <w:tc>
          <w:tcPr>
            <w:tcW w:w="1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B. Petras, Jr.</w:t>
            </w:r>
          </w:p>
        </w:tc>
        <w:tc>
          <w:tcPr>
            <w:tcW w:w="120" w:type="dxa"/>
            <w:vAlign w:val="bottom"/>
          </w:tcPr>
          <w:p>
            <w:pPr>
              <w:spacing w:after="0"/>
              <w:rPr>
                <w:sz w:val="19"/>
                <w:szCs w:val="19"/>
                <w:color w:val="auto"/>
              </w:rPr>
            </w:pPr>
          </w:p>
        </w:tc>
        <w:tc>
          <w:tcPr>
            <w:tcW w:w="5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8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Jonathan M. Lyons</w:t>
            </w:r>
          </w:p>
        </w:tc>
        <w:tc>
          <w:tcPr>
            <w:tcW w:w="120" w:type="dxa"/>
            <w:vAlign w:val="bottom"/>
          </w:tcPr>
          <w:p>
            <w:pPr>
              <w:spacing w:after="0"/>
              <w:rPr>
                <w:sz w:val="24"/>
                <w:szCs w:val="24"/>
                <w:color w:val="auto"/>
              </w:rPr>
            </w:pPr>
          </w:p>
        </w:tc>
        <w:tc>
          <w:tcPr>
            <w:tcW w:w="5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Jonathan M. Lyons</w:t>
            </w:r>
          </w:p>
        </w:tc>
        <w:tc>
          <w:tcPr>
            <w:tcW w:w="120" w:type="dxa"/>
            <w:vAlign w:val="bottom"/>
          </w:tcPr>
          <w:p>
            <w:pPr>
              <w:spacing w:after="0"/>
              <w:rPr>
                <w:sz w:val="19"/>
                <w:szCs w:val="19"/>
                <w:color w:val="auto"/>
              </w:rPr>
            </w:pPr>
          </w:p>
        </w:tc>
        <w:tc>
          <w:tcPr>
            <w:tcW w:w="5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8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Ruoxi Chen</w:t>
            </w:r>
          </w:p>
        </w:tc>
        <w:tc>
          <w:tcPr>
            <w:tcW w:w="120" w:type="dxa"/>
            <w:vAlign w:val="bottom"/>
          </w:tcPr>
          <w:p>
            <w:pPr>
              <w:spacing w:after="0"/>
              <w:rPr>
                <w:sz w:val="24"/>
                <w:szCs w:val="24"/>
                <w:color w:val="auto"/>
              </w:rPr>
            </w:pPr>
          </w:p>
        </w:tc>
        <w:tc>
          <w:tcPr>
            <w:tcW w:w="5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Ruoxi Chen</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Sean L. Cunningham</w:t>
            </w:r>
          </w:p>
        </w:tc>
        <w:tc>
          <w:tcPr>
            <w:tcW w:w="120" w:type="dxa"/>
            <w:vAlign w:val="bottom"/>
          </w:tcPr>
          <w:p>
            <w:pPr>
              <w:spacing w:after="0"/>
              <w:rPr>
                <w:sz w:val="24"/>
                <w:szCs w:val="24"/>
                <w:color w:val="auto"/>
              </w:rPr>
            </w:pPr>
          </w:p>
        </w:tc>
        <w:tc>
          <w:tcPr>
            <w:tcW w:w="5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Sean L. Cunningham</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A. Donnini</w:t>
            </w:r>
          </w:p>
        </w:tc>
        <w:tc>
          <w:tcPr>
            <w:tcW w:w="120" w:type="dxa"/>
            <w:vAlign w:val="bottom"/>
          </w:tcPr>
          <w:p>
            <w:pPr>
              <w:spacing w:after="0"/>
              <w:rPr>
                <w:sz w:val="24"/>
                <w:szCs w:val="24"/>
                <w:color w:val="auto"/>
              </w:rPr>
            </w:pPr>
          </w:p>
        </w:tc>
        <w:tc>
          <w:tcPr>
            <w:tcW w:w="5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A. Donnini</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Karen A. Flynn</w:t>
            </w:r>
          </w:p>
        </w:tc>
        <w:tc>
          <w:tcPr>
            <w:tcW w:w="120" w:type="dxa"/>
            <w:vAlign w:val="bottom"/>
          </w:tcPr>
          <w:p>
            <w:pPr>
              <w:spacing w:after="0"/>
              <w:rPr>
                <w:sz w:val="24"/>
                <w:szCs w:val="24"/>
                <w:color w:val="auto"/>
              </w:rPr>
            </w:pPr>
          </w:p>
        </w:tc>
        <w:tc>
          <w:tcPr>
            <w:tcW w:w="5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Karen A. Flynn</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Ann R. Klee</w:t>
            </w:r>
          </w:p>
        </w:tc>
        <w:tc>
          <w:tcPr>
            <w:tcW w:w="120" w:type="dxa"/>
            <w:vAlign w:val="bottom"/>
          </w:tcPr>
          <w:p>
            <w:pPr>
              <w:spacing w:after="0"/>
              <w:rPr>
                <w:sz w:val="24"/>
                <w:szCs w:val="24"/>
                <w:color w:val="auto"/>
              </w:rPr>
            </w:pPr>
          </w:p>
        </w:tc>
        <w:tc>
          <w:tcPr>
            <w:tcW w:w="5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Ann R. Klee</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60"/>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II-6</w:t>
            </w:r>
          </w:p>
        </w:tc>
        <w:tc>
          <w:tcPr>
            <w:tcW w:w="18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B. Knauss</w:t>
            </w:r>
          </w:p>
        </w:tc>
        <w:tc>
          <w:tcPr>
            <w:tcW w:w="120" w:type="dxa"/>
            <w:vAlign w:val="bottom"/>
          </w:tcPr>
          <w:p>
            <w:pPr>
              <w:spacing w:after="0"/>
              <w:rPr>
                <w:sz w:val="24"/>
                <w:szCs w:val="24"/>
                <w:color w:val="auto"/>
              </w:rPr>
            </w:pPr>
          </w:p>
        </w:tc>
        <w:tc>
          <w:tcPr>
            <w:tcW w:w="5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Robert B. Knauss</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Constantine S. Mihas</w:t>
            </w:r>
          </w:p>
        </w:tc>
        <w:tc>
          <w:tcPr>
            <w:tcW w:w="120" w:type="dxa"/>
            <w:vAlign w:val="bottom"/>
          </w:tcPr>
          <w:p>
            <w:pPr>
              <w:spacing w:after="0"/>
              <w:rPr>
                <w:sz w:val="24"/>
                <w:szCs w:val="24"/>
                <w:color w:val="auto"/>
              </w:rPr>
            </w:pPr>
          </w:p>
        </w:tc>
        <w:tc>
          <w:tcPr>
            <w:tcW w:w="5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Constantine S. Mihas</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Neary</w:t>
            </w:r>
          </w:p>
        </w:tc>
        <w:tc>
          <w:tcPr>
            <w:tcW w:w="120" w:type="dxa"/>
            <w:vAlign w:val="bottom"/>
          </w:tcPr>
          <w:p>
            <w:pPr>
              <w:spacing w:after="0"/>
              <w:rPr>
                <w:sz w:val="24"/>
                <w:szCs w:val="24"/>
                <w:color w:val="auto"/>
              </w:rPr>
            </w:pPr>
          </w:p>
        </w:tc>
        <w:tc>
          <w:tcPr>
            <w:tcW w:w="5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C. Neary</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Vincent K. Petrella</w:t>
            </w:r>
          </w:p>
        </w:tc>
        <w:tc>
          <w:tcPr>
            <w:tcW w:w="120" w:type="dxa"/>
            <w:vAlign w:val="bottom"/>
          </w:tcPr>
          <w:p>
            <w:pPr>
              <w:spacing w:after="0"/>
              <w:rPr>
                <w:sz w:val="24"/>
                <w:szCs w:val="24"/>
                <w:color w:val="auto"/>
              </w:rPr>
            </w:pPr>
          </w:p>
        </w:tc>
        <w:tc>
          <w:tcPr>
            <w:tcW w:w="5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Vincent K. Petrella</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E. Wheadon</w:t>
            </w:r>
          </w:p>
        </w:tc>
        <w:tc>
          <w:tcPr>
            <w:tcW w:w="120" w:type="dxa"/>
            <w:vAlign w:val="bottom"/>
          </w:tcPr>
          <w:p>
            <w:pPr>
              <w:spacing w:after="0"/>
              <w:rPr>
                <w:sz w:val="24"/>
                <w:szCs w:val="24"/>
                <w:color w:val="auto"/>
              </w:rPr>
            </w:pPr>
          </w:p>
        </w:tc>
        <w:tc>
          <w:tcPr>
            <w:tcW w:w="5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28"/>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E. Wheadon</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60"/>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II-7</w:t>
            </w:r>
          </w:p>
        </w:tc>
        <w:tc>
          <w:tcPr>
            <w:tcW w:w="18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6429375" cy="2048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6429375"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2280" w:right="7640" w:hanging="31"/>
        <w:spacing w:after="0" w:line="261" w:lineRule="auto"/>
        <w:tabs>
          <w:tab w:leader="none" w:pos="2429"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+1212 225 2632 dlopez@cgsh.com</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27,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9100 South Hills Blvd,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Broadview Heights, Ohio 44147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have acted as special counsel to Sotera Health Company, a corporation organized under the laws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of the Company’s registration statement on Form S-3 (including the documents incorporated by reference therein,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relating to the offering from time to time by the Company or the selling stockholders contemplated thereby (the “</w:t>
      </w:r>
      <w:r>
        <w:rPr>
          <w:rFonts w:ascii="Times New Roman" w:cs="Times New Roman" w:eastAsia="Times New Roman" w:hAnsi="Times New Roman"/>
          <w:sz w:val="18"/>
          <w:szCs w:val="18"/>
          <w:u w:val="single" w:color="auto"/>
          <w:color w:val="auto"/>
        </w:rPr>
        <w:t>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of shares of the Company’s common stock, par value $0.01 per share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The Securities being registered under the Registration Statement will have an indeterminate aggregate initial offering price and will be offered on a continuous or delayed basis pursuant to the provisions of Rule 415 under the Securities 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arriving at the opinions expressed below, we have reviewed the following documents:</w:t>
      </w:r>
    </w:p>
    <w:p>
      <w:pPr>
        <w:spacing w:after="0" w:line="131" w:lineRule="exact"/>
        <w:rPr>
          <w:sz w:val="20"/>
          <w:szCs w:val="20"/>
          <w:color w:val="auto"/>
        </w:rPr>
      </w:pPr>
    </w:p>
    <w:p>
      <w:pPr>
        <w:ind w:left="1420" w:hanging="439"/>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Company, certified by the Secretary of State of the State of Delaware.</w:t>
      </w:r>
    </w:p>
    <w:p>
      <w:pPr>
        <w:spacing w:after="0" w:line="225" w:lineRule="exact"/>
        <w:rPr>
          <w:sz w:val="20"/>
          <w:szCs w:val="20"/>
          <w:color w:val="auto"/>
        </w:rPr>
      </w:pPr>
    </w:p>
    <w:p>
      <w:pPr>
        <w:jc w:val="both"/>
        <w:ind w:right="260"/>
        <w:spacing w:after="0" w:line="312" w:lineRule="auto"/>
        <w:rPr>
          <w:sz w:val="20"/>
          <w:szCs w:val="20"/>
          <w:color w:val="auto"/>
        </w:rPr>
      </w:pPr>
      <w:r>
        <w:rPr>
          <w:rFonts w:ascii="Times New Roman" w:cs="Times New Roman" w:eastAsia="Times New Roman" w:hAnsi="Times New Roman"/>
          <w:sz w:val="17"/>
          <w:szCs w:val="17"/>
          <w:color w:val="auto"/>
        </w:rPr>
        <w:t>In addition, we have reviewed the originals or copies certified or otherwise identified to our satisfaction of all such corporate records of the Company and such other documents, and we have made such investigations of law, as we have deemed appropriate as a basis for the opinions expressed below.</w:t>
      </w:r>
    </w:p>
    <w:p>
      <w:pPr>
        <w:spacing w:after="0" w:line="14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rendering the opinions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foregoing and subject to the further assumptions and qualifications set forth below, it is our opinion that:</w:t>
      </w:r>
    </w:p>
    <w:p>
      <w:pPr>
        <w:spacing w:after="0" w:line="131" w:lineRule="exact"/>
        <w:rPr>
          <w:sz w:val="20"/>
          <w:szCs w:val="20"/>
          <w:color w:val="auto"/>
        </w:rPr>
      </w:pPr>
    </w:p>
    <w:p>
      <w:pPr>
        <w:ind w:left="1500" w:right="920" w:hanging="1072"/>
        <w:spacing w:after="0" w:line="495" w:lineRule="auto"/>
        <w:tabs>
          <w:tab w:leader="none" w:pos="973"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to be offered and sold by the Company will be validly issued by the Company and fully paid and nonassessable. Cleary Gottlieb Steen &amp; Hamilton LLP or an affiliated entity has an office in each of the locations listed above.</w:t>
      </w:r>
    </w:p>
    <w:p>
      <w:pPr>
        <w:sectPr>
          <w:pgSz w:w="11900" w:h="16838" w:orient="portrait"/>
          <w:cols w:equalWidth="0" w:num="1">
            <w:col w:w="11020"/>
          </w:cols>
          <w:pgMar w:left="440" w:top="117" w:right="439" w:bottom="1440" w:gutter="0" w:footer="0" w:header="0"/>
        </w:sectPr>
      </w:pPr>
    </w:p>
    <w:bookmarkStart w:id="32" w:name="page33"/>
    <w:bookmarkEnd w:id="32"/>
    <w:p>
      <w:pPr>
        <w:ind w:left="960" w:hanging="532"/>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Securities to be offered and sold by the Selling Stockholders are validly issued by the Company and fully paid and nonassessable.</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rendering the opinion in numbered paragraph 1, we have further assumed that (i) prior to any issuance of Securities by the Company, the Company will authorize the offering and issuance of such Securities; (ii) the Securities will be offered, issued, sold and delivered in compliance with applicable law and any requirements therefor set forth in any corporate action authorizing such Securities and in the manner contemplated by the Registration Statement; (iii) the Securities will be offered, sold and delivered to, and paid for by, the purchasers thereof at the price specified in, and in accordance with the terms of, an agreement or agreements duly authorized, executed and delivered by the parties thereto, which price shall not be less than the par value thereof; and (iv) if issued in certificated form, certificates representing the Securities will be duly executed and delivered by the Company and duly countersigned and registered by the transfer agent and registrar of the Company, and if issued in book-entry form, the Securities will be duly registered or otherwise established in the systems of The Depository Trust Company. In rendering the opinion in numbered paragraph 2, we have further assumed that (i) the Securities will be offered, sold and delivered in compliance with applicable law and in the manner contemplated by the Registration Statement and (ii) the Securities will be offered, sold and delivered to, and paid for by, the purchasers thereof at the price specified in, and in accordance with the terms of, an agreement or agreements duly authorized, executed and delivered by the parties thereto.</w:t>
      </w:r>
    </w:p>
    <w:p>
      <w:pPr>
        <w:spacing w:after="0" w:line="19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foregoing opinions are limited to the General Corporation Law of the State of Delaware, including the applicable provisions of the Delaware Constitution and reported judicial decisions interpreting such laws.</w:t>
      </w:r>
    </w:p>
    <w:p>
      <w:pPr>
        <w:spacing w:after="0" w:line="162"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 to this firm under the heading “Legal Matters” in the Registration Statement and the related prospectus included in the Registration Statement. In giving such consent, we do not thereby admit that we are within the category of persons whose consent is required under Section 7 of the Securities Act or the rules and regulations of the Commission thereunder.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David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David Lopez, a Partner</w:t>
      </w:r>
    </w:p>
    <w:p>
      <w:pPr>
        <w:sectPr>
          <w:pgSz w:w="11900" w:h="16838" w:orient="portrait"/>
          <w:cols w:equalWidth="0" w:num="1">
            <w:col w:w="10980"/>
          </w:cols>
          <w:pgMar w:left="440" w:top="270" w:right="4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Registration Statement (Form S-3) and related Prospectus of Sotera Health Company for the registration of its common stock and to the incorporation by reference therein of our reports dated February 27, 2024, with respect to the consolidated financial statements and schedule of Sotera Health Company, and the effectiveness of internal control over financial reporting of Sotera Health Company, included in its Annual Report (Form 10-K) for the year ended December 31, 2023, filed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2024</w:t>
      </w:r>
    </w:p>
    <w:p>
      <w:pPr>
        <w:sectPr>
          <w:pgSz w:w="11900" w:h="16838" w:orient="portrait"/>
          <w:cols w:equalWidth="0" w:num="1">
            <w:col w:w="11020"/>
          </w:cols>
          <w:pgMar w:left="440" w:top="117" w:right="4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54" w:lineRule="exact"/>
        <w:rPr>
          <w:sz w:val="20"/>
          <w:szCs w:val="20"/>
          <w:color w:val="auto"/>
        </w:rPr>
      </w:pPr>
    </w:p>
    <w:tbl>
      <w:tblPr>
        <w:tblLayout w:type="fixed"/>
        <w:tblInd w:w="14" w:type="dxa"/>
        <w:tblCellMar>
          <w:top w:w="0" w:type="dxa"/>
          <w:left w:w="0" w:type="dxa"/>
          <w:bottom w:w="0" w:type="dxa"/>
          <w:right w:w="0" w:type="dxa"/>
        </w:tblCellMar>
      </w:tblPr>
      <w:tr>
        <w:trPr>
          <w:trHeight w:val="137"/>
        </w:trPr>
        <w:tc>
          <w:tcPr>
            <w:tcW w:w="1300" w:type="dxa"/>
            <w:vAlign w:val="bottom"/>
            <w:tcBorders>
              <w:top w:val="single" w:sz="8" w:color="auto"/>
              <w:left w:val="single" w:sz="8" w:color="auto"/>
              <w:right w:val="single" w:sz="8" w:color="auto"/>
            </w:tcBorders>
          </w:tcPr>
          <w:p>
            <w:pPr>
              <w:spacing w:after="0"/>
              <w:rPr>
                <w:sz w:val="11"/>
                <w:szCs w:val="11"/>
                <w:color w:val="auto"/>
              </w:rPr>
            </w:pPr>
          </w:p>
        </w:tc>
        <w:tc>
          <w:tcPr>
            <w:tcW w:w="660" w:type="dxa"/>
            <w:vAlign w:val="bottom"/>
            <w:tcBorders>
              <w:top w:val="single" w:sz="8" w:color="auto"/>
              <w:right w:val="single" w:sz="8" w:color="auto"/>
            </w:tcBorders>
          </w:tcPr>
          <w:p>
            <w:pPr>
              <w:spacing w:after="0"/>
              <w:rPr>
                <w:sz w:val="11"/>
                <w:szCs w:val="11"/>
                <w:color w:val="auto"/>
              </w:rPr>
            </w:pPr>
          </w:p>
        </w:tc>
        <w:tc>
          <w:tcPr>
            <w:tcW w:w="1360" w:type="dxa"/>
            <w:vAlign w:val="bottom"/>
            <w:tcBorders>
              <w:top w:val="single" w:sz="8" w:color="auto"/>
              <w:right w:val="single" w:sz="8" w:color="auto"/>
            </w:tcBorders>
          </w:tcPr>
          <w:p>
            <w:pPr>
              <w:spacing w:after="0"/>
              <w:rPr>
                <w:sz w:val="11"/>
                <w:szCs w:val="11"/>
                <w:color w:val="auto"/>
              </w:rPr>
            </w:pPr>
          </w:p>
        </w:tc>
        <w:tc>
          <w:tcPr>
            <w:tcW w:w="860" w:type="dxa"/>
            <w:vAlign w:val="bottom"/>
            <w:tcBorders>
              <w:top w:val="single" w:sz="8" w:color="auto"/>
              <w:right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right w:val="single" w:sz="8" w:color="auto"/>
            </w:tcBorders>
          </w:tcPr>
          <w:p>
            <w:pPr>
              <w:spacing w:after="0"/>
              <w:rPr>
                <w:sz w:val="11"/>
                <w:szCs w:val="11"/>
                <w:color w:val="auto"/>
              </w:rPr>
            </w:pPr>
          </w:p>
        </w:tc>
        <w:tc>
          <w:tcPr>
            <w:tcW w:w="740" w:type="dxa"/>
            <w:vAlign w:val="bottom"/>
            <w:tcBorders>
              <w:top w:val="single" w:sz="8" w:color="auto"/>
              <w:right w:val="single" w:sz="8" w:color="auto"/>
            </w:tcBorders>
          </w:tcPr>
          <w:p>
            <w:pPr>
              <w:spacing w:after="0"/>
              <w:rPr>
                <w:sz w:val="11"/>
                <w:szCs w:val="11"/>
                <w:color w:val="auto"/>
              </w:rPr>
            </w:pPr>
          </w:p>
        </w:tc>
        <w:tc>
          <w:tcPr>
            <w:tcW w:w="780" w:type="dxa"/>
            <w:vAlign w:val="bottom"/>
            <w:tcBorders>
              <w:top w:val="single" w:sz="8" w:color="auto"/>
              <w:right w:val="single" w:sz="8" w:color="auto"/>
            </w:tcBorders>
          </w:tcPr>
          <w:p>
            <w:pPr>
              <w:spacing w:after="0"/>
              <w:rPr>
                <w:sz w:val="11"/>
                <w:szCs w:val="11"/>
                <w:color w:val="auto"/>
              </w:rPr>
            </w:pPr>
          </w:p>
        </w:tc>
        <w:tc>
          <w:tcPr>
            <w:tcW w:w="440" w:type="dxa"/>
            <w:vAlign w:val="bottom"/>
            <w:tcBorders>
              <w:top w:val="single" w:sz="8" w:color="auto"/>
              <w:right w:val="single" w:sz="8" w:color="auto"/>
            </w:tcBorders>
          </w:tcPr>
          <w:p>
            <w:pPr>
              <w:spacing w:after="0"/>
              <w:rPr>
                <w:sz w:val="11"/>
                <w:szCs w:val="11"/>
                <w:color w:val="auto"/>
              </w:rPr>
            </w:pPr>
          </w:p>
        </w:tc>
        <w:tc>
          <w:tcPr>
            <w:tcW w:w="860" w:type="dxa"/>
            <w:vAlign w:val="bottom"/>
            <w:tcBorders>
              <w:top w:val="single" w:sz="8" w:color="auto"/>
              <w:right w:val="single" w:sz="8" w:color="auto"/>
            </w:tcBorders>
          </w:tcPr>
          <w:p>
            <w:pPr>
              <w:spacing w:after="0"/>
              <w:rPr>
                <w:sz w:val="11"/>
                <w:szCs w:val="11"/>
                <w:color w:val="auto"/>
              </w:rPr>
            </w:pPr>
          </w:p>
        </w:tc>
        <w:tc>
          <w:tcPr>
            <w:tcW w:w="680" w:type="dxa"/>
            <w:vAlign w:val="bottom"/>
            <w:tcBorders>
              <w:top w:val="single" w:sz="8" w:color="auto"/>
              <w:right w:val="single" w:sz="8" w:color="auto"/>
            </w:tcBorders>
          </w:tcPr>
          <w:p>
            <w:pPr>
              <w:spacing w:after="0"/>
              <w:rPr>
                <w:sz w:val="11"/>
                <w:szCs w:val="11"/>
                <w:color w:val="auto"/>
              </w:rPr>
            </w:pPr>
          </w:p>
        </w:tc>
        <w:tc>
          <w:tcPr>
            <w:tcW w:w="720" w:type="dxa"/>
            <w:vAlign w:val="bottom"/>
            <w:tcBorders>
              <w:top w:val="single" w:sz="8" w:color="auto"/>
              <w:right w:val="single" w:sz="8" w:color="auto"/>
            </w:tcBorders>
          </w:tcPr>
          <w:p>
            <w:pPr>
              <w:spacing w:after="0"/>
              <w:rPr>
                <w:sz w:val="11"/>
                <w:szCs w:val="11"/>
                <w:color w:val="auto"/>
              </w:rPr>
            </w:pPr>
          </w:p>
        </w:tc>
        <w:tc>
          <w:tcPr>
            <w:tcW w:w="720" w:type="dxa"/>
            <w:vAlign w:val="bottom"/>
            <w:tcBorders>
              <w:top w:val="single" w:sz="8" w:color="auto"/>
              <w:right w:val="single" w:sz="8" w:color="auto"/>
            </w:tcBorders>
          </w:tcPr>
          <w:p>
            <w:pPr>
              <w:spacing w:after="0"/>
              <w:rPr>
                <w:sz w:val="11"/>
                <w:szCs w:val="11"/>
                <w:color w:val="auto"/>
              </w:rPr>
            </w:pPr>
          </w:p>
        </w:tc>
        <w:tc>
          <w:tcPr>
            <w:tcW w:w="940" w:type="dxa"/>
            <w:vAlign w:val="bottom"/>
            <w:tcBorders>
              <w:top w:val="single" w:sz="8" w:color="auto"/>
              <w:right w:val="single" w:sz="8" w:color="auto"/>
            </w:tcBorders>
            <w:gridSpan w:val="3"/>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Filing Fee</w:t>
            </w:r>
          </w:p>
        </w:tc>
        <w:tc>
          <w:tcPr>
            <w:tcW w:w="0" w:type="dxa"/>
            <w:vAlign w:val="bottom"/>
          </w:tcPr>
          <w:p>
            <w:pPr>
              <w:spacing w:after="0"/>
              <w:rPr>
                <w:sz w:val="1"/>
                <w:szCs w:val="1"/>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0" w:type="dxa"/>
            <w:vAlign w:val="bottom"/>
          </w:tcPr>
          <w:p>
            <w:pPr>
              <w:spacing w:after="0"/>
              <w:rPr>
                <w:sz w:val="1"/>
                <w:szCs w:val="1"/>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0" w:type="dxa"/>
            <w:vAlign w:val="bottom"/>
          </w:tcPr>
          <w:p>
            <w:pPr>
              <w:spacing w:after="0"/>
              <w:rPr>
                <w:sz w:val="1"/>
                <w:szCs w:val="1"/>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Connection</w:t>
            </w:r>
          </w:p>
        </w:tc>
        <w:tc>
          <w:tcPr>
            <w:tcW w:w="0" w:type="dxa"/>
            <w:vAlign w:val="bottom"/>
          </w:tcPr>
          <w:p>
            <w:pPr>
              <w:spacing w:after="0"/>
              <w:rPr>
                <w:sz w:val="1"/>
                <w:szCs w:val="1"/>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vMerge w:val="restart"/>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Fee</w:t>
            </w:r>
          </w:p>
        </w:tc>
        <w:tc>
          <w:tcPr>
            <w:tcW w:w="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78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Carry</w:t>
            </w:r>
          </w:p>
        </w:tc>
        <w:tc>
          <w:tcPr>
            <w:tcW w:w="64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w w:val="98"/>
              </w:rPr>
              <w:t>with</w:t>
            </w:r>
          </w:p>
        </w:tc>
        <w:tc>
          <w:tcPr>
            <w:tcW w:w="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4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w:t>
            </w:r>
          </w:p>
        </w:tc>
        <w:tc>
          <w:tcPr>
            <w:tcW w:w="720" w:type="dxa"/>
            <w:vAlign w:val="bottom"/>
            <w:tcBorders>
              <w:right w:val="single" w:sz="8" w:color="auto"/>
            </w:tcBorders>
            <w:vMerge w:val="continue"/>
          </w:tcPr>
          <w:p>
            <w:pPr>
              <w:spacing w:after="0"/>
              <w:rPr>
                <w:sz w:val="12"/>
                <w:szCs w:val="12"/>
                <w:color w:val="auto"/>
              </w:rPr>
            </w:pPr>
          </w:p>
        </w:tc>
        <w:tc>
          <w:tcPr>
            <w:tcW w:w="940" w:type="dxa"/>
            <w:vAlign w:val="bottom"/>
            <w:tcBorders>
              <w:right w:val="single" w:sz="8" w:color="auto"/>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Unsold</w:t>
            </w:r>
          </w:p>
        </w:tc>
        <w:tc>
          <w:tcPr>
            <w:tcW w:w="0" w:type="dxa"/>
            <w:vAlign w:val="bottom"/>
          </w:tcPr>
          <w:p>
            <w:pPr>
              <w:spacing w:after="0"/>
              <w:rPr>
                <w:sz w:val="1"/>
                <w:szCs w:val="1"/>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tcBorders>
              <w:right w:val="single" w:sz="8" w:color="auto"/>
            </w:tcBorders>
            <w:vMerge w:val="continue"/>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68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940" w:type="dxa"/>
            <w:vAlign w:val="bottom"/>
            <w:tcBorders>
              <w:right w:val="single" w:sz="8" w:color="auto"/>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360" w:type="dxa"/>
            <w:vAlign w:val="bottom"/>
            <w:tcBorders>
              <w:right w:val="single" w:sz="8" w:color="auto"/>
            </w:tcBorders>
            <w:vMerge w:val="restart"/>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Security Class</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Carry</w:t>
            </w:r>
          </w:p>
        </w:tc>
        <w:tc>
          <w:tcPr>
            <w:tcW w:w="60" w:type="dxa"/>
            <w:vAlign w:val="bottom"/>
          </w:tcPr>
          <w:p>
            <w:pPr>
              <w:spacing w:after="0"/>
              <w:rPr>
                <w:sz w:val="12"/>
                <w:szCs w:val="12"/>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4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Fee</w:t>
            </w:r>
          </w:p>
        </w:tc>
        <w:tc>
          <w:tcPr>
            <w:tcW w:w="86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Initial</w:t>
            </w:r>
          </w:p>
        </w:tc>
        <w:tc>
          <w:tcPr>
            <w:tcW w:w="640" w:type="dxa"/>
            <w:vAlign w:val="bottom"/>
            <w:gridSpan w:val="2"/>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136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tcPr>
          <w:p>
            <w:pPr>
              <w:jc w:val="center"/>
              <w:ind w:left="9"/>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6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44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6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Form</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File</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940" w:type="dxa"/>
            <w:vAlign w:val="bottom"/>
            <w:tcBorders>
              <w:right w:val="single" w:sz="8" w:color="auto"/>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Carried</w:t>
            </w:r>
          </w:p>
        </w:tc>
        <w:tc>
          <w:tcPr>
            <w:tcW w:w="0" w:type="dxa"/>
            <w:vAlign w:val="bottom"/>
          </w:tcPr>
          <w:p>
            <w:pPr>
              <w:spacing w:after="0"/>
              <w:rPr>
                <w:sz w:val="1"/>
                <w:szCs w:val="1"/>
                <w:color w:val="auto"/>
              </w:rPr>
            </w:pPr>
          </w:p>
        </w:tc>
      </w:tr>
      <w:tr>
        <w:trPr>
          <w:trHeight w:val="173"/>
        </w:trPr>
        <w:tc>
          <w:tcPr>
            <w:tcW w:w="1300" w:type="dxa"/>
            <w:vAlign w:val="bottom"/>
            <w:tcBorders>
              <w:left w:val="single" w:sz="8" w:color="auto"/>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360" w:type="dxa"/>
            <w:vAlign w:val="bottom"/>
            <w:tcBorders>
              <w:bottom w:val="single" w:sz="8" w:color="auto"/>
              <w:right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Rate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9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0" w:type="dxa"/>
            <w:vAlign w:val="bottom"/>
          </w:tcPr>
          <w:p>
            <w:pPr>
              <w:spacing w:after="0"/>
              <w:rPr>
                <w:sz w:val="1"/>
                <w:szCs w:val="1"/>
                <w:color w:val="auto"/>
              </w:rPr>
            </w:pPr>
          </w:p>
        </w:tc>
      </w:tr>
      <w:tr>
        <w:trPr>
          <w:trHeight w:val="142"/>
        </w:trPr>
        <w:tc>
          <w:tcPr>
            <w:tcW w:w="130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w w:val="80"/>
              </w:rPr>
              <w:t>Newly</w:t>
            </w: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Registered</w:t>
            </w:r>
          </w:p>
        </w:tc>
        <w:tc>
          <w:tcPr>
            <w:tcW w:w="7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300" w:type="dxa"/>
            <w:vAlign w:val="bottom"/>
            <w:tcBorders>
              <w:left w:val="single" w:sz="8" w:color="auto"/>
              <w:right w:val="single" w:sz="8" w:color="auto"/>
            </w:tcBorders>
          </w:tcPr>
          <w:p>
            <w:pPr>
              <w:jc w:val="center"/>
              <w:ind w:left="51"/>
              <w:spacing w:after="0" w:line="119" w:lineRule="exact"/>
              <w:rPr>
                <w:sz w:val="20"/>
                <w:szCs w:val="20"/>
                <w:color w:val="auto"/>
              </w:rPr>
            </w:pPr>
            <w:r>
              <w:rPr>
                <w:rFonts w:ascii="Times New Roman" w:cs="Times New Roman" w:eastAsia="Times New Roman" w:hAnsi="Times New Roman"/>
                <w:sz w:val="13"/>
                <w:szCs w:val="13"/>
                <w:b w:val="1"/>
                <w:bCs w:val="1"/>
                <w:color w:val="auto"/>
              </w:rPr>
              <w:t>Fees to Be Paid</w:t>
            </w:r>
          </w:p>
        </w:tc>
        <w:tc>
          <w:tcPr>
            <w:tcW w:w="660" w:type="dxa"/>
            <w:vAlign w:val="bottom"/>
            <w:tcBorders>
              <w:right w:val="single" w:sz="8" w:color="auto"/>
            </w:tcBorders>
          </w:tcPr>
          <w:p>
            <w:pPr>
              <w:jc w:val="center"/>
              <w:ind w:left="9"/>
              <w:spacing w:after="0" w:line="119" w:lineRule="exact"/>
              <w:rPr>
                <w:sz w:val="20"/>
                <w:szCs w:val="20"/>
                <w:color w:val="auto"/>
              </w:rPr>
            </w:pPr>
            <w:r>
              <w:rPr>
                <w:rFonts w:ascii="Times New Roman" w:cs="Times New Roman" w:eastAsia="Times New Roman" w:hAnsi="Times New Roman"/>
                <w:sz w:val="13"/>
                <w:szCs w:val="13"/>
                <w:color w:val="auto"/>
              </w:rPr>
              <w:t>Equity</w:t>
            </w:r>
          </w:p>
        </w:tc>
        <w:tc>
          <w:tcPr>
            <w:tcW w:w="1360" w:type="dxa"/>
            <w:vAlign w:val="bottom"/>
            <w:tcBorders>
              <w:right w:val="single" w:sz="8" w:color="auto"/>
            </w:tcBorders>
          </w:tcPr>
          <w:p>
            <w:pPr>
              <w:jc w:val="center"/>
              <w:ind w:left="9"/>
              <w:spacing w:after="0" w:line="119" w:lineRule="exact"/>
              <w:rPr>
                <w:sz w:val="20"/>
                <w:szCs w:val="20"/>
                <w:color w:val="auto"/>
              </w:rPr>
            </w:pPr>
            <w:r>
              <w:rPr>
                <w:rFonts w:ascii="Times New Roman" w:cs="Times New Roman" w:eastAsia="Times New Roman" w:hAnsi="Times New Roman"/>
                <w:sz w:val="13"/>
                <w:szCs w:val="13"/>
                <w:color w:val="auto"/>
              </w:rPr>
              <w:t>Common Stock, par</w:t>
            </w:r>
          </w:p>
        </w:tc>
        <w:tc>
          <w:tcPr>
            <w:tcW w:w="86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Rule 457(r)</w:t>
            </w:r>
          </w:p>
        </w:tc>
        <w:tc>
          <w:tcPr>
            <w:tcW w:w="60" w:type="dxa"/>
            <w:vAlign w:val="bottom"/>
          </w:tcPr>
          <w:p>
            <w:pPr>
              <w:spacing w:after="0"/>
              <w:rPr>
                <w:sz w:val="10"/>
                <w:szCs w:val="10"/>
                <w:color w:val="auto"/>
              </w:rPr>
            </w:pPr>
          </w:p>
        </w:tc>
        <w:tc>
          <w:tcPr>
            <w:tcW w:w="68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w:t>
            </w:r>
          </w:p>
        </w:tc>
        <w:tc>
          <w:tcPr>
            <w:tcW w:w="740" w:type="dxa"/>
            <w:vAlign w:val="bottom"/>
            <w:tcBorders>
              <w:right w:val="single" w:sz="8" w:color="auto"/>
            </w:tcBorders>
          </w:tcPr>
          <w:p>
            <w:pPr>
              <w:jc w:val="right"/>
              <w:ind w:right="189"/>
              <w:spacing w:after="0" w:line="119" w:lineRule="exact"/>
              <w:rPr>
                <w:sz w:val="20"/>
                <w:szCs w:val="20"/>
                <w:color w:val="auto"/>
              </w:rPr>
            </w:pPr>
            <w:r>
              <w:rPr>
                <w:rFonts w:ascii="Times New Roman" w:cs="Times New Roman" w:eastAsia="Times New Roman" w:hAnsi="Times New Roman"/>
                <w:sz w:val="13"/>
                <w:szCs w:val="13"/>
                <w:color w:val="auto"/>
              </w:rPr>
              <w:t>(1)</w:t>
            </w:r>
          </w:p>
        </w:tc>
        <w:tc>
          <w:tcPr>
            <w:tcW w:w="780" w:type="dxa"/>
            <w:vAlign w:val="bottom"/>
            <w:tcBorders>
              <w:right w:val="single" w:sz="8" w:color="auto"/>
            </w:tcBorders>
          </w:tcPr>
          <w:p>
            <w:pPr>
              <w:jc w:val="center"/>
              <w:ind w:left="69"/>
              <w:spacing w:after="0" w:line="119" w:lineRule="exact"/>
              <w:rPr>
                <w:sz w:val="20"/>
                <w:szCs w:val="20"/>
                <w:color w:val="auto"/>
              </w:rPr>
            </w:pPr>
            <w:r>
              <w:rPr>
                <w:rFonts w:ascii="Times New Roman" w:cs="Times New Roman" w:eastAsia="Times New Roman" w:hAnsi="Times New Roman"/>
                <w:sz w:val="13"/>
                <w:szCs w:val="13"/>
                <w:color w:val="auto"/>
              </w:rPr>
              <w:t>(1)</w:t>
            </w:r>
          </w:p>
        </w:tc>
        <w:tc>
          <w:tcPr>
            <w:tcW w:w="440" w:type="dxa"/>
            <w:vAlign w:val="bottom"/>
            <w:tcBorders>
              <w:right w:val="single" w:sz="8" w:color="auto"/>
            </w:tcBorders>
          </w:tcPr>
          <w:p>
            <w:pPr>
              <w:jc w:val="right"/>
              <w:ind w:right="30"/>
              <w:spacing w:after="0" w:line="119" w:lineRule="exact"/>
              <w:rPr>
                <w:sz w:val="20"/>
                <w:szCs w:val="20"/>
                <w:color w:val="auto"/>
              </w:rPr>
            </w:pPr>
            <w:r>
              <w:rPr>
                <w:rFonts w:ascii="Times New Roman" w:cs="Times New Roman" w:eastAsia="Times New Roman" w:hAnsi="Times New Roman"/>
                <w:sz w:val="13"/>
                <w:szCs w:val="13"/>
                <w:color w:val="auto"/>
              </w:rPr>
              <w:t>(2)</w:t>
            </w:r>
          </w:p>
        </w:tc>
        <w:tc>
          <w:tcPr>
            <w:tcW w:w="86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(2)</w:t>
            </w:r>
          </w:p>
        </w:tc>
        <w:tc>
          <w:tcPr>
            <w:tcW w:w="6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30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rPr>
              <w:t>value $0.01 per share</w:t>
            </w:r>
          </w:p>
        </w:tc>
        <w:tc>
          <w:tcPr>
            <w:tcW w:w="86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1300" w:type="dxa"/>
            <w:vAlign w:val="bottom"/>
            <w:tcBorders>
              <w:left w:val="single" w:sz="8" w:color="auto"/>
              <w:right w:val="single" w:sz="8" w:color="auto"/>
            </w:tcBorders>
          </w:tcPr>
          <w:p>
            <w:pPr>
              <w:jc w:val="center"/>
              <w:ind w:left="51"/>
              <w:spacing w:after="0" w:line="118" w:lineRule="exact"/>
              <w:rPr>
                <w:sz w:val="20"/>
                <w:szCs w:val="20"/>
                <w:color w:val="auto"/>
              </w:rPr>
            </w:pPr>
            <w:r>
              <w:rPr>
                <w:rFonts w:ascii="Times New Roman" w:cs="Times New Roman" w:eastAsia="Times New Roman" w:hAnsi="Times New Roman"/>
                <w:sz w:val="13"/>
                <w:szCs w:val="13"/>
                <w:b w:val="1"/>
                <w:bCs w:val="1"/>
                <w:color w:val="auto"/>
              </w:rPr>
              <w:t>Fees Previously</w:t>
            </w:r>
          </w:p>
        </w:tc>
        <w:tc>
          <w:tcPr>
            <w:tcW w:w="660" w:type="dxa"/>
            <w:vAlign w:val="bottom"/>
            <w:tcBorders>
              <w:right w:val="single" w:sz="8" w:color="auto"/>
            </w:tcBorders>
            <w:vMerge w:val="restart"/>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Borders>
              <w:right w:val="single" w:sz="8" w:color="auto"/>
            </w:tcBorders>
            <w:vMerge w:val="restart"/>
          </w:tcPr>
          <w:p>
            <w:pPr>
              <w:jc w:val="center"/>
              <w:ind w:left="29"/>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right w:val="single" w:sz="8" w:color="auto"/>
            </w:tcBorders>
            <w:vMerge w:val="restart"/>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0"/>
                <w:szCs w:val="1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right w:val="single" w:sz="8" w:color="auto"/>
            </w:tcBorders>
            <w:vMerge w:val="restart"/>
          </w:tcPr>
          <w:p>
            <w:pPr>
              <w:jc w:val="center"/>
              <w:ind w:left="6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300" w:type="dxa"/>
            <w:vAlign w:val="bottom"/>
            <w:tcBorders>
              <w:left w:val="single" w:sz="8" w:color="auto"/>
              <w:right w:val="single" w:sz="8" w:color="auto"/>
            </w:tcBorders>
            <w:vMerge w:val="restart"/>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rPr>
              <w:t>Paid</w:t>
            </w:r>
          </w:p>
        </w:tc>
        <w:tc>
          <w:tcPr>
            <w:tcW w:w="66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30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300" w:type="dxa"/>
            <w:vAlign w:val="bottom"/>
            <w:tcBorders>
              <w:left w:val="single" w:sz="8" w:color="auto"/>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Carry Forward Securities</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300" w:type="dxa"/>
            <w:vAlign w:val="bottom"/>
            <w:tcBorders>
              <w:left w:val="single" w:sz="8" w:color="auto"/>
              <w:right w:val="single" w:sz="8" w:color="auto"/>
            </w:tcBorders>
          </w:tcPr>
          <w:p>
            <w:pPr>
              <w:jc w:val="center"/>
              <w:ind w:left="51"/>
              <w:spacing w:after="0" w:line="118" w:lineRule="exact"/>
              <w:rPr>
                <w:sz w:val="20"/>
                <w:szCs w:val="20"/>
                <w:color w:val="auto"/>
              </w:rPr>
            </w:pPr>
            <w:r>
              <w:rPr>
                <w:rFonts w:ascii="Times New Roman" w:cs="Times New Roman" w:eastAsia="Times New Roman" w:hAnsi="Times New Roman"/>
                <w:sz w:val="13"/>
                <w:szCs w:val="13"/>
                <w:b w:val="1"/>
                <w:bCs w:val="1"/>
                <w:color w:val="auto"/>
              </w:rPr>
              <w:t>Carry Forward</w:t>
            </w:r>
          </w:p>
        </w:tc>
        <w:tc>
          <w:tcPr>
            <w:tcW w:w="660" w:type="dxa"/>
            <w:vAlign w:val="bottom"/>
            <w:tcBorders>
              <w:right w:val="single" w:sz="8" w:color="auto"/>
            </w:tcBorders>
            <w:vMerge w:val="restart"/>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Borders>
              <w:right w:val="single" w:sz="8" w:color="auto"/>
            </w:tcBorders>
            <w:vMerge w:val="restart"/>
          </w:tcPr>
          <w:p>
            <w:pPr>
              <w:jc w:val="center"/>
              <w:ind w:left="29"/>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right w:val="single" w:sz="8" w:color="auto"/>
            </w:tcBorders>
            <w:vMerge w:val="restart"/>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0"/>
                <w:szCs w:val="1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vMerge w:val="restart"/>
          </w:tcPr>
          <w:p>
            <w:pPr>
              <w:jc w:val="center"/>
              <w:ind w:left="6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3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9"/>
        </w:trPr>
        <w:tc>
          <w:tcPr>
            <w:tcW w:w="1300" w:type="dxa"/>
            <w:vAlign w:val="bottom"/>
            <w:tcBorders>
              <w:left w:val="single" w:sz="8" w:color="auto"/>
              <w:right w:val="single" w:sz="8" w:color="auto"/>
            </w:tcBorders>
            <w:vMerge w:val="restart"/>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66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420" w:type="dxa"/>
            <w:vAlign w:val="bottom"/>
            <w:tcBorders>
              <w:right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30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3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2960" w:type="dxa"/>
            <w:vAlign w:val="bottom"/>
            <w:tcBorders>
              <w:bottom w:val="single" w:sz="8" w:color="auto"/>
            </w:tcBorders>
            <w:gridSpan w:val="4"/>
          </w:tcPr>
          <w:p>
            <w:pPr>
              <w:jc w:val="center"/>
              <w:ind w:left="749"/>
              <w:spacing w:after="0" w:line="142" w:lineRule="exact"/>
              <w:rPr>
                <w:sz w:val="20"/>
                <w:szCs w:val="20"/>
                <w:color w:val="auto"/>
              </w:rPr>
            </w:pPr>
            <w:r>
              <w:rPr>
                <w:rFonts w:ascii="Times New Roman" w:cs="Times New Roman" w:eastAsia="Times New Roman" w:hAnsi="Times New Roman"/>
                <w:sz w:val="14"/>
                <w:szCs w:val="14"/>
                <w:b w:val="1"/>
                <w:bCs w:val="1"/>
                <w:color w:val="auto"/>
              </w:rPr>
              <w:t>Total Offering Amounts</w:t>
            </w:r>
          </w:p>
        </w:tc>
        <w:tc>
          <w:tcPr>
            <w:tcW w:w="7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center"/>
              <w:ind w:left="69"/>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(2)</w:t>
            </w:r>
          </w:p>
        </w:tc>
        <w:tc>
          <w:tcPr>
            <w:tcW w:w="68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2960" w:type="dxa"/>
            <w:vAlign w:val="bottom"/>
            <w:tcBorders>
              <w:bottom w:val="single" w:sz="8" w:color="auto"/>
            </w:tcBorders>
            <w:gridSpan w:val="4"/>
          </w:tcPr>
          <w:p>
            <w:pPr>
              <w:jc w:val="center"/>
              <w:ind w:left="749"/>
              <w:spacing w:after="0" w:line="142" w:lineRule="exact"/>
              <w:rPr>
                <w:sz w:val="20"/>
                <w:szCs w:val="20"/>
                <w:color w:val="auto"/>
              </w:rPr>
            </w:pPr>
            <w:r>
              <w:rPr>
                <w:rFonts w:ascii="Times New Roman" w:cs="Times New Roman" w:eastAsia="Times New Roman" w:hAnsi="Times New Roman"/>
                <w:sz w:val="14"/>
                <w:szCs w:val="14"/>
                <w:b w:val="1"/>
                <w:bCs w:val="1"/>
                <w:color w:val="auto"/>
              </w:rPr>
              <w:t>Total Fees Previously Paid</w:t>
            </w:r>
          </w:p>
        </w:tc>
        <w:tc>
          <w:tcPr>
            <w:tcW w:w="7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3"/>
          </w:tcPr>
          <w:p>
            <w:pPr>
              <w:jc w:val="center"/>
              <w:ind w:right="469"/>
              <w:spacing w:after="0" w:line="142" w:lineRule="exact"/>
              <w:rPr>
                <w:sz w:val="20"/>
                <w:szCs w:val="20"/>
                <w:color w:val="auto"/>
              </w:rPr>
            </w:pPr>
            <w:r>
              <w:rPr>
                <w:rFonts w:ascii="Times New Roman" w:cs="Times New Roman" w:eastAsia="Times New Roman" w:hAnsi="Times New Roman"/>
                <w:sz w:val="14"/>
                <w:szCs w:val="14"/>
                <w:b w:val="1"/>
                <w:bCs w:val="1"/>
                <w:color w:val="auto"/>
              </w:rPr>
              <w:t>Total Fee Offsets</w:t>
            </w:r>
          </w:p>
        </w:tc>
        <w:tc>
          <w:tcPr>
            <w:tcW w:w="7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center"/>
              <w:ind w:left="69"/>
              <w:spacing w:after="0" w:line="142" w:lineRule="exact"/>
              <w:rPr>
                <w:sz w:val="20"/>
                <w:szCs w:val="20"/>
                <w:color w:val="auto"/>
              </w:rPr>
            </w:pPr>
            <w:r>
              <w:rPr>
                <w:rFonts w:ascii="Times New Roman" w:cs="Times New Roman" w:eastAsia="Times New Roman" w:hAnsi="Times New Roman"/>
                <w:sz w:val="14"/>
                <w:szCs w:val="14"/>
                <w:b w:val="1"/>
                <w:bCs w:val="1"/>
                <w:color w:val="auto"/>
              </w:rPr>
              <w:t>Net Fee Due</w:t>
            </w:r>
          </w:p>
        </w:tc>
        <w:tc>
          <w:tcPr>
            <w:tcW w:w="68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(2)</w:t>
            </w:r>
          </w:p>
        </w:tc>
        <w:tc>
          <w:tcPr>
            <w:tcW w:w="68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60" w:hanging="424"/>
        <w:spacing w:after="0" w:line="257"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unspecified amount of common stock is being registered as may from time to time be sold at unspecified prices. Pursuant to Rule 416(a) under the Securities Act of 1933, the shares being registered hereunder also include such indeterminate number of shares of common stock as may be issuable as a result of stock splits, stock dividends, recapitalizations or similar transactions.</w:t>
      </w:r>
    </w:p>
    <w:p>
      <w:pPr>
        <w:spacing w:after="0" w:line="1" w:lineRule="exact"/>
        <w:rPr>
          <w:rFonts w:ascii="Times New Roman" w:cs="Times New Roman" w:eastAsia="Times New Roman" w:hAnsi="Times New Roman"/>
          <w:sz w:val="18"/>
          <w:szCs w:val="18"/>
          <w:color w:val="auto"/>
        </w:rPr>
      </w:pPr>
    </w:p>
    <w:p>
      <w:pPr>
        <w:ind w:left="424" w:right="520" w:hanging="424"/>
        <w:spacing w:after="0" w:line="260"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Rules 456(b) and 457(r) of the Securities Act, the registrant is deferring payment of all of the registration fee required in connection with this registration statement and will pay such fees on a “pay-as-you-go” basis.</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3"/>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3"/>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
      <w:numFmt w:val="bullet"/>
      <w:start w:val="1"/>
    </w:lvl>
  </w:abstractNum>
  <w:abstractNum w:abstractNumId="15">
    <w:nsid w:val="436C6125"/>
    <w:multiLevelType w:val="hybridMultilevel"/>
    <w:lvl w:ilvl="0">
      <w:lvlJc w:val="left"/>
      <w:lvlText w:val=" "/>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lvl w:ilvl="1">
      <w:lvlJc w:val="left"/>
      <w:lvlText w:val="(%2)"/>
      <w:numFmt w:val="lowerRoman"/>
      <w:start w:val="1"/>
    </w:lvl>
  </w:abstractNum>
  <w:abstractNum w:abstractNumId="18">
    <w:nsid w:val="721DA317"/>
    <w:multiLevelType w:val="hybridMultilevel"/>
    <w:lvl w:ilvl="0">
      <w:lvlJc w:val="left"/>
      <w:lvlText w:val="(%1)"/>
      <w:numFmt w:val="decimal"/>
      <w:start w:val="2"/>
    </w:lvl>
    <w:lvl w:ilvl="1">
      <w:lvlJc w:val="left"/>
      <w:lvlText w:val="(%2)"/>
      <w:numFmt w:val="lowerRoman"/>
      <w:start w:val="1"/>
    </w:lvl>
  </w:abstractNum>
  <w:abstractNum w:abstractNumId="19">
    <w:nsid w:val="2443A858"/>
    <w:multiLevelType w:val="hybridMultilevel"/>
    <w:lvl w:ilvl="0">
      <w:lvlJc w:val="left"/>
      <w:lvlText w:val="(%1)"/>
      <w:numFmt w:val="decimal"/>
      <w:start w:val="5"/>
    </w:lvl>
    <w:lvl w:ilvl="1">
      <w:lvlJc w:val="left"/>
      <w:lvlText w:val="(%2)"/>
      <w:numFmt w:val="lowerRoman"/>
      <w:start w:val="1"/>
    </w:lvl>
  </w:abstractNum>
  <w:abstractNum w:abstractNumId="20">
    <w:nsid w:val="2D1D5AE9"/>
    <w:multiLevelType w:val="hybridMultilevel"/>
    <w:lvl w:ilvl="0">
      <w:lvlJc w:val="left"/>
      <w:lvlText w:val="%1:"/>
      <w:numFmt w:val="upperLetter"/>
      <w:start w:val="4"/>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2"/>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jpe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42" Type="http://schemas.openxmlformats.org/officeDocument/2006/relationships/hyperlink" Target="http://www.sec.gov/ix?doc=/Archives/edgar/data/0001822479/000182247924000011/shc-20231231.htm" TargetMode="External"/><Relationship Id="rId43" Type="http://schemas.openxmlformats.org/officeDocument/2006/relationships/hyperlink" Target="http://www.sec.gov/ix?doc=/Archives/edgar/data/1822479/000119312523099939/d425483ddef14a.htm" TargetMode="External"/><Relationship Id="rId44" Type="http://schemas.openxmlformats.org/officeDocument/2006/relationships/hyperlink" Target="http://www.sec.gov/ix?doc=/Archives/edgar/data/1822479/000182247923000015/shc-20221231.htm" TargetMode="External"/><Relationship Id="rId50" Type="http://schemas.openxmlformats.org/officeDocument/2006/relationships/hyperlink" Target="http://www.sec.gov/Archives/edgar/data/1822479/000182247921000018/shc_20201231xexhibitx3x1.htm" TargetMode="External"/><Relationship Id="rId51" Type="http://schemas.openxmlformats.org/officeDocument/2006/relationships/hyperlink" Target="http://www.sec.gov/Archives/edgar/data/1822479/000182247921000018/shc20201231_exhibitx3x2.htm" TargetMode="External"/><Relationship Id="rId52" Type="http://schemas.openxmlformats.org/officeDocument/2006/relationships/hyperlink" Target="http://www.sec.gov/Archives/edgar/data/1822479/000182247921000018/shc_20201231xexhibitx4x2.htm" TargetMode="External"/><Relationship Id="rId53" Type="http://schemas.openxmlformats.org/officeDocument/2006/relationships/hyperlink" Target="http://www.sec.gov/Archives/edgar/data/1822479/000182247921000018/shc_20201231xexhibitx10x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2024-02-27T16:35:36Z</dcterms:created>
  <dcterms:modified xsi:type="dcterms:W3CDTF">2024-02-27T16:35:36Z</dcterms:modified>
</cp:coreProperties>
</file>