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t>As filed with the Securities and Exchange Commission on November 13, 2020</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333-249648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Amendment No. 3 to</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S-1</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REGISTRATION STATEMENT</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UNDER</w:t>
      </w:r>
    </w:p>
    <w:p>
      <w:pPr>
        <w:jc w:val="center"/>
        <w:ind w:right="20"/>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94615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Sotera Health Company</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440" w:top="225" w:right="439" w:bottom="1440" w:gutter="0" w:footer="0" w:header="0"/>
        </w:sectPr>
      </w:pPr>
    </w:p>
    <w:p>
      <w:pPr>
        <w:spacing w:after="0" w:line="19"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4"/>
          <w:szCs w:val="14"/>
          <w:b w:val="1"/>
          <w:bCs w:val="1"/>
          <w:color w:val="auto"/>
        </w:rPr>
        <w:t>7389</w:t>
      </w:r>
    </w:p>
    <w:p>
      <w:pPr>
        <w:spacing w:after="0" w:line="3"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(Primary Standard Industrial</w:t>
      </w:r>
    </w:p>
    <w:p>
      <w:pPr>
        <w:jc w:val="center"/>
        <w:ind w:right="7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wp:posOffset>
            </wp:positionH>
            <wp:positionV relativeFrom="paragraph">
              <wp:posOffset>114935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Arial" w:cs="Arial" w:eastAsia="Arial" w:hAnsi="Arial"/>
          <w:sz w:val="14"/>
          <w:szCs w:val="14"/>
          <w:b w:val="1"/>
          <w:bCs w:val="1"/>
          <w:color w:val="auto"/>
        </w:rPr>
        <w:t>47-3531161</w:t>
      </w:r>
    </w:p>
    <w:p>
      <w:pPr>
        <w:spacing w:after="0" w:line="4" w:lineRule="exact"/>
        <w:rPr>
          <w:sz w:val="24"/>
          <w:szCs w:val="24"/>
          <w:color w:val="auto"/>
        </w:rPr>
      </w:pPr>
    </w:p>
    <w:p>
      <w:pPr>
        <w:jc w:val="center"/>
        <w:ind w:right="520"/>
        <w:spacing w:after="0"/>
        <w:rPr>
          <w:sz w:val="20"/>
          <w:szCs w:val="20"/>
          <w:color w:val="auto"/>
        </w:rPr>
      </w:pPr>
      <w:r>
        <w:rPr>
          <w:rFonts w:ascii="Arial" w:cs="Arial" w:eastAsia="Arial" w:hAnsi="Arial"/>
          <w:sz w:val="13"/>
          <w:szCs w:val="13"/>
          <w:b w:val="1"/>
          <w:bCs w:val="1"/>
          <w:color w:val="auto"/>
        </w:rPr>
        <w:t>(I.R.S. Employer Identification Number)</w:t>
      </w:r>
    </w:p>
    <w:p>
      <w:pPr>
        <w:spacing w:after="0" w:line="347" w:lineRule="exact"/>
        <w:rPr>
          <w:sz w:val="24"/>
          <w:szCs w:val="24"/>
          <w:color w:val="auto"/>
        </w:rPr>
      </w:pPr>
    </w:p>
    <w:p>
      <w:pPr>
        <w:sectPr>
          <w:pgSz w:w="11900" w:h="16838" w:orient="portrait"/>
          <w:cols w:equalWidth="0" w:num="3">
            <w:col w:w="3980" w:space="720"/>
            <w:col w:w="2580" w:space="720"/>
            <w:col w:w="3020"/>
          </w:cols>
          <w:pgMar w:left="440" w:top="225" w:right="4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9100 South Hills Blvd, Suite 300</w:t>
      </w:r>
    </w:p>
    <w:p>
      <w:pPr>
        <w:jc w:val="center"/>
        <w:spacing w:after="0" w:line="226" w:lineRule="auto"/>
        <w:rPr>
          <w:sz w:val="20"/>
          <w:szCs w:val="20"/>
          <w:color w:val="auto"/>
        </w:rPr>
      </w:pPr>
      <w:r>
        <w:rPr>
          <w:rFonts w:ascii="Arial" w:cs="Arial" w:eastAsia="Arial" w:hAnsi="Arial"/>
          <w:sz w:val="14"/>
          <w:szCs w:val="14"/>
          <w:b w:val="1"/>
          <w:bCs w:val="1"/>
          <w:color w:val="auto"/>
        </w:rPr>
        <w:t>Broadview Heights, Ohio 44147</w:t>
      </w:r>
    </w:p>
    <w:p>
      <w:pPr>
        <w:jc w:val="center"/>
        <w:spacing w:after="0" w:line="221" w:lineRule="auto"/>
        <w:rPr>
          <w:sz w:val="20"/>
          <w:szCs w:val="20"/>
          <w:color w:val="auto"/>
        </w:rPr>
      </w:pPr>
      <w:r>
        <w:rPr>
          <w:rFonts w:ascii="Arial" w:cs="Arial" w:eastAsia="Arial" w:hAnsi="Arial"/>
          <w:sz w:val="14"/>
          <w:szCs w:val="14"/>
          <w:b w:val="1"/>
          <w:bCs w:val="1"/>
          <w:color w:val="auto"/>
        </w:rPr>
        <w:t>(440) 262-1410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99060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Matthew J. Klaben, Esq.</w:t>
      </w:r>
    </w:p>
    <w:p>
      <w:pPr>
        <w:jc w:val="center"/>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Sotera Health Company</w:t>
      </w:r>
    </w:p>
    <w:p>
      <w:pPr>
        <w:jc w:val="center"/>
        <w:spacing w:after="0" w:line="222" w:lineRule="auto"/>
        <w:rPr>
          <w:sz w:val="20"/>
          <w:szCs w:val="20"/>
          <w:color w:val="auto"/>
        </w:rPr>
      </w:pPr>
      <w:r>
        <w:rPr>
          <w:rFonts w:ascii="Arial" w:cs="Arial" w:eastAsia="Arial" w:hAnsi="Arial"/>
          <w:sz w:val="14"/>
          <w:szCs w:val="14"/>
          <w:b w:val="1"/>
          <w:bCs w:val="1"/>
          <w:color w:val="auto"/>
        </w:rPr>
        <w:t>9100 South Hills Blvd, Suite 300</w:t>
      </w:r>
    </w:p>
    <w:p>
      <w:pPr>
        <w:jc w:val="center"/>
        <w:spacing w:after="0" w:line="221" w:lineRule="auto"/>
        <w:rPr>
          <w:sz w:val="20"/>
          <w:szCs w:val="20"/>
          <w:color w:val="auto"/>
        </w:rPr>
      </w:pPr>
      <w:r>
        <w:rPr>
          <w:rFonts w:ascii="Arial" w:cs="Arial" w:eastAsia="Arial" w:hAnsi="Arial"/>
          <w:sz w:val="14"/>
          <w:szCs w:val="14"/>
          <w:b w:val="1"/>
          <w:bCs w:val="1"/>
          <w:color w:val="auto"/>
        </w:rPr>
        <w:t>Broadview Heights, Ohio 44147</w:t>
      </w:r>
    </w:p>
    <w:p>
      <w:pPr>
        <w:jc w:val="center"/>
        <w:spacing w:after="0" w:line="222" w:lineRule="auto"/>
        <w:rPr>
          <w:sz w:val="20"/>
          <w:szCs w:val="20"/>
          <w:color w:val="auto"/>
        </w:rPr>
      </w:pPr>
      <w:r>
        <w:rPr>
          <w:rFonts w:ascii="Arial" w:cs="Arial" w:eastAsia="Arial" w:hAnsi="Arial"/>
          <w:sz w:val="14"/>
          <w:szCs w:val="14"/>
          <w:b w:val="1"/>
          <w:bCs w:val="1"/>
          <w:color w:val="auto"/>
        </w:rPr>
        <w:t>(440) 262-1409</w:t>
      </w:r>
    </w:p>
    <w:p>
      <w:pPr>
        <w:jc w:val="center"/>
        <w:spacing w:after="0"/>
        <w:rPr>
          <w:sz w:val="20"/>
          <w:szCs w:val="20"/>
          <w:color w:val="auto"/>
        </w:rPr>
      </w:pPr>
      <w:r>
        <w:rPr>
          <w:rFonts w:ascii="Arial" w:cs="Arial" w:eastAsia="Arial" w:hAnsi="Arial"/>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w w:val="93"/>
              </w:rPr>
              <w:t>David Lopez, Esq.</w:t>
            </w:r>
          </w:p>
        </w:tc>
        <w:tc>
          <w:tcPr>
            <w:tcW w:w="480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48"/>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3"/>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John C. Ericson,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5"/>
              </w:rPr>
              <w:t>One Liberty Plaza</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6"/>
              </w:rPr>
              <w:t>Simpson Thacher &amp; Bartlett LLP</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4"/>
              </w:rPr>
              <w:t>New York, New York 10006</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3"/>
              </w:rPr>
              <w:t>(212) 225-2000</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Arial" w:cs="Arial" w:eastAsia="Arial" w:hAnsi="Arial"/>
                <w:sz w:val="14"/>
                <w:szCs w:val="14"/>
                <w:b w:val="1"/>
                <w:bCs w:val="1"/>
                <w:color w:val="auto"/>
                <w:w w:val="93"/>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hereof.</w:t>
      </w:r>
    </w:p>
    <w:p>
      <w:pPr>
        <w:spacing w:after="0" w:line="25" w:lineRule="exact"/>
        <w:rPr>
          <w:sz w:val="24"/>
          <w:szCs w:val="24"/>
          <w:color w:val="auto"/>
        </w:rPr>
      </w:pPr>
    </w:p>
    <w:p>
      <w:pPr>
        <w:ind w:left="4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2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83185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ind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118110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ind w:right="36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The sole purpose of this Amendment No. 3 to the Registration Statement on Form S-1 of Sotera Health Company is to file exhibits 1.1 and 5.1. Accordingly, this Amendment No. 3 consists only of the facing page, this explanatory note, Part II, including the signature page and the exhibit index, and the exhibits filed herewith.</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INFORMATION NOT REQUIRED IN PROSPECTUS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Item 13.</w:t>
            </w:r>
          </w:p>
        </w:tc>
        <w:tc>
          <w:tcPr>
            <w:tcW w:w="89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020" w:type="dxa"/>
            <w:vAlign w:val="bottom"/>
            <w:gridSpan w:val="2"/>
          </w:tcPr>
          <w:p>
            <w:pPr>
              <w:ind w:left="440"/>
              <w:spacing w:after="0"/>
              <w:rPr>
                <w:sz w:val="20"/>
                <w:szCs w:val="20"/>
                <w:color w:val="auto"/>
              </w:rPr>
            </w:pPr>
            <w:r>
              <w:rPr>
                <w:rFonts w:ascii="Arial" w:cs="Arial" w:eastAsia="Arial" w:hAnsi="Arial"/>
                <w:sz w:val="18"/>
                <w:szCs w:val="18"/>
                <w:color w:val="auto"/>
              </w:rPr>
              <w:t>Estimated expenses payable in connection with the sale of the common stock in this offering are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0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134,470</w:t>
            </w:r>
          </w:p>
        </w:tc>
      </w:tr>
      <w:tr>
        <w:trPr>
          <w:trHeight w:val="229"/>
        </w:trPr>
        <w:tc>
          <w:tcPr>
            <w:tcW w:w="100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185,390</w:t>
            </w:r>
          </w:p>
        </w:tc>
      </w:tr>
      <w:tr>
        <w:trPr>
          <w:trHeight w:val="22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295,000</w:t>
            </w: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400,000</w:t>
            </w:r>
          </w:p>
        </w:tc>
      </w:tr>
      <w:tr>
        <w:trPr>
          <w:trHeight w:val="22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87"/>
              </w:rPr>
              <w:t>4,500,000</w:t>
            </w: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w w:val="87"/>
              </w:rPr>
              <w:t>1,500,000</w:t>
            </w:r>
          </w:p>
        </w:tc>
      </w:tr>
      <w:tr>
        <w:trPr>
          <w:trHeight w:val="22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10,000</w:t>
            </w:r>
          </w:p>
        </w:tc>
      </w:tr>
      <w:tr>
        <w:trPr>
          <w:trHeight w:val="229"/>
        </w:trPr>
        <w:tc>
          <w:tcPr>
            <w:tcW w:w="1060" w:type="dxa"/>
            <w:vAlign w:val="bottom"/>
          </w:tcPr>
          <w:p>
            <w:pPr>
              <w:spacing w:after="0"/>
              <w:rPr>
                <w:sz w:val="20"/>
                <w:szCs w:val="20"/>
                <w:color w:val="auto"/>
              </w:rPr>
            </w:pPr>
            <w:r>
              <w:rPr>
                <w:rFonts w:ascii="Arial" w:cs="Arial" w:eastAsia="Arial" w:hAnsi="Arial"/>
                <w:sz w:val="18"/>
                <w:szCs w:val="18"/>
                <w:color w:val="auto"/>
                <w:w w:val="91"/>
              </w:rPr>
              <w:t>Miscellaneous</w:t>
            </w:r>
          </w:p>
        </w:tc>
        <w:tc>
          <w:tcPr>
            <w:tcW w:w="8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500,000</w:t>
            </w:r>
          </w:p>
        </w:tc>
      </w:tr>
      <w:tr>
        <w:trPr>
          <w:trHeight w:val="27"/>
        </w:trPr>
        <w:tc>
          <w:tcPr>
            <w:tcW w:w="10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87"/>
              </w:rPr>
              <w:t>7,524,860</w:t>
            </w:r>
          </w:p>
        </w:tc>
      </w:tr>
      <w:tr>
        <w:trPr>
          <w:trHeight w:val="20"/>
        </w:trPr>
        <w:tc>
          <w:tcPr>
            <w:tcW w:w="10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bear all of the expenses shown above.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2" w:name="page3"/>
    <w:bookmarkEnd w:id="2"/>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limitation of liability and indemnification provisions expected to be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92" w:lineRule="exact"/>
        <w:rPr>
          <w:sz w:val="20"/>
          <w:szCs w:val="20"/>
          <w:color w:val="auto"/>
        </w:rPr>
      </w:pPr>
    </w:p>
    <w:p>
      <w:pPr>
        <w:jc w:val="both"/>
        <w:ind w:right="260" w:firstLine="440"/>
        <w:spacing w:after="0" w:line="259"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7"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66"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29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PIK Toggle Notes</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On November 24, 2017, Sotera Health Company (formerly known as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20"/>
          </w:cols>
          <w:pgMar w:left="440" w:top="274" w:right="539" w:bottom="1440" w:gutter="0" w:footer="0" w:header="0"/>
        </w:sectPr>
      </w:pPr>
    </w:p>
    <w:bookmarkStart w:id="3" w:name="page4"/>
    <w:bookmarkEnd w:id="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PIK Toggle Notes were offered and sold to qualified institutional buyers pursuant to Rule 144A under the Securities Act or to non-U.S.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investors outside the United States in compliance with Regulation S of the Securities Act.</w:t>
      </w:r>
    </w:p>
    <w:p>
      <w:pPr>
        <w:spacing w:after="0" w:line="35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ind w:left="680" w:hanging="244"/>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II-4 of this Registration Statement and is incorporated herein by reference.</w:t>
      </w:r>
    </w:p>
    <w:p>
      <w:pPr>
        <w:spacing w:after="0" w:line="236" w:lineRule="exact"/>
        <w:rPr>
          <w:rFonts w:ascii="Arial" w:cs="Arial" w:eastAsia="Arial" w:hAnsi="Arial"/>
          <w:sz w:val="17"/>
          <w:szCs w:val="17"/>
          <w:color w:val="auto"/>
        </w:rPr>
      </w:pPr>
    </w:p>
    <w:p>
      <w:pPr>
        <w:ind w:right="6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i w:val="1"/>
          <w:iCs w:val="1"/>
          <w:color w:val="auto"/>
        </w:rPr>
        <w:t>Item 17</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36"/>
        <w:spacing w:after="0" w:line="271" w:lineRule="auto"/>
        <w:tabs>
          <w:tab w:leader="none" w:pos="575" w:val="left"/>
        </w:tabs>
        <w:numPr>
          <w:ilvl w:val="0"/>
          <w:numId w:val="2"/>
        </w:numPr>
        <w:rPr>
          <w:rFonts w:ascii="Arial" w:cs="Arial" w:eastAsia="Arial" w:hAnsi="Arial"/>
          <w:sz w:val="17"/>
          <w:szCs w:val="17"/>
          <w:color w:val="auto"/>
        </w:rPr>
      </w:pPr>
      <w:r>
        <w:rPr>
          <w:rFonts w:ascii="Arial" w:cs="Arial" w:eastAsia="Arial" w:hAnsi="Arial"/>
          <w:sz w:val="17"/>
          <w:szCs w:val="17"/>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580" w:hanging="14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960" w:right="60" w:hanging="424"/>
        <w:spacing w:after="0" w:line="311" w:lineRule="auto"/>
        <w:tabs>
          <w:tab w:leader="none" w:pos="96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960" w:hanging="424"/>
        <w:spacing w:after="0" w:line="263" w:lineRule="auto"/>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80"/>
          </w:cols>
          <w:pgMar w:left="440" w:top="274"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20" w:type="dxa"/>
            <w:vAlign w:val="bottom"/>
            <w:gridSpan w:val="11"/>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17"/>
        </w:trPr>
        <w:tc>
          <w:tcPr>
            <w:tcW w:w="68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9480" w:type="dxa"/>
            <w:vAlign w:val="bottom"/>
            <w:tcBorders>
              <w:top w:val="single" w:sz="8" w:color="auto"/>
            </w:tcBorders>
            <w:gridSpan w:val="1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Form of Underwriting Agreement</w:t>
              </w:r>
            </w:hyperlink>
          </w:p>
        </w:tc>
      </w:tr>
      <w:tr>
        <w:trPr>
          <w:trHeight w:val="3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Form of Certificate of Incorporation of the Registrant</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Form of Bylaws of the Registrant</w:t>
              </w:r>
            </w:hyperlink>
          </w:p>
        </w:tc>
      </w:tr>
      <w:tr>
        <w:trPr>
          <w:trHeight w:val="324"/>
        </w:trPr>
        <w:tc>
          <w:tcPr>
            <w:tcW w:w="68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Arial" w:cs="Arial" w:eastAsia="Arial" w:hAnsi="Arial"/>
                <w:sz w:val="18"/>
                <w:szCs w:val="18"/>
                <w:color w:val="auto"/>
              </w:rPr>
              <w:t>[Reserved]</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Form of Amended and Restated Registration Rights Agreement</w:t>
              </w:r>
            </w:hyperlink>
          </w:p>
        </w:tc>
      </w:tr>
      <w:tr>
        <w:trPr>
          <w:trHeight w:val="283"/>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4"/>
              </w:rPr>
            </w:pPr>
            <w:hyperlink r:id="rId27">
              <w:r>
                <w:rPr>
                  <w:rFonts w:ascii="Arial" w:cs="Arial" w:eastAsia="Arial" w:hAnsi="Arial"/>
                  <w:sz w:val="18"/>
                  <w:szCs w:val="18"/>
                  <w:color w:val="0000EE"/>
                  <w:w w:val="94"/>
                </w:rPr>
                <w:t>Indenture, dated as of December 13, 2019, among Sotera Health Holdings, LLC, the Registrant, the intermediate parents and</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subsidiary note parties thereto and Wilmington Trust, National Association, as second lien notes collateral agent, calculation agent</w:t>
              </w:r>
            </w:hyperlink>
          </w:p>
        </w:tc>
        <w:tc>
          <w:tcPr>
            <w:tcW w:w="1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and trustee</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Indenture, dated as of July 31, 2020, among Sotera Health Holdings, LLC, the Registrant, the intermediate parents and subsidiary</w:t>
              </w:r>
            </w:hyperlink>
          </w:p>
        </w:tc>
        <w:tc>
          <w:tcPr>
            <w:tcW w:w="120" w:type="dxa"/>
            <w:vAlign w:val="bottom"/>
            <w:gridSpan w:val="2"/>
          </w:tcPr>
          <w:p>
            <w:pPr>
              <w:spacing w:after="0"/>
              <w:rPr>
                <w:sz w:val="24"/>
                <w:szCs w:val="24"/>
                <w:color w:val="auto"/>
              </w:rPr>
            </w:pPr>
          </w:p>
        </w:tc>
      </w:tr>
      <w:tr>
        <w:trPr>
          <w:trHeight w:val="236"/>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80" w:type="dxa"/>
            <w:vAlign w:val="bottom"/>
            <w:gridSpan w:val="12"/>
          </w:tcPr>
          <w:p>
            <w:pPr>
              <w:spacing w:after="0"/>
              <w:rPr>
                <w:rFonts w:ascii="Arial" w:cs="Arial" w:eastAsia="Arial" w:hAnsi="Arial"/>
                <w:sz w:val="18"/>
                <w:szCs w:val="18"/>
                <w:u w:val="single" w:color="auto"/>
                <w:color w:val="0000EE"/>
                <w:w w:val="93"/>
              </w:rPr>
            </w:pPr>
            <w:hyperlink r:id="rId28">
              <w:r>
                <w:rPr>
                  <w:rFonts w:ascii="Arial" w:cs="Arial" w:eastAsia="Arial" w:hAnsi="Arial"/>
                  <w:sz w:val="18"/>
                  <w:szCs w:val="18"/>
                  <w:u w:val="single" w:color="auto"/>
                  <w:color w:val="0000EE"/>
                  <w:w w:val="93"/>
                </w:rPr>
                <w:t>note parties thereto and Wilmington Trust, National Association, as first lien notes collateral agent, calculation agent and trustee</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Form of Senior Secured Second Lien Floating Rate Note due 2027 (included in Exhibit 4.3)</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Form of Senior Secured First Lien Floating Rate Note due 2026 (included in Exhibit 4.4)</w:t>
              </w:r>
            </w:hyperlink>
          </w:p>
        </w:tc>
      </w:tr>
      <w:tr>
        <w:trPr>
          <w:trHeight w:val="283"/>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24"/>
                <w:szCs w:val="24"/>
                <w:color w:val="auto"/>
              </w:rPr>
            </w:pPr>
          </w:p>
        </w:tc>
        <w:tc>
          <w:tcPr>
            <w:tcW w:w="9060" w:type="dxa"/>
            <w:vAlign w:val="bottom"/>
            <w:tcBorders>
              <w:bottom w:val="single" w:sz="8" w:color="0000EE"/>
            </w:tcBorders>
            <w:gridSpan w:val="7"/>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First Supplemental Indenture, dated as of July 31, 2020, among Sotera Health Holdings, LLC, the additional guarantors party</w:t>
              </w:r>
            </w:hyperlink>
          </w:p>
        </w:tc>
        <w:tc>
          <w:tcPr>
            <w:tcW w:w="420" w:type="dxa"/>
            <w:vAlign w:val="bottom"/>
            <w:gridSpan w:val="5"/>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thereto and Wilmington Trust, National Association, as trustee and second lien notes collateral agent</w:t>
              </w:r>
            </w:hyperlink>
          </w:p>
        </w:tc>
        <w:tc>
          <w:tcPr>
            <w:tcW w:w="2260" w:type="dxa"/>
            <w:vAlign w:val="bottom"/>
            <w:gridSpan w:val="8"/>
          </w:tcPr>
          <w:p>
            <w:pPr>
              <w:spacing w:after="0"/>
              <w:rPr>
                <w:sz w:val="17"/>
                <w:szCs w:val="17"/>
                <w:color w:val="auto"/>
              </w:rPr>
            </w:pPr>
          </w:p>
        </w:tc>
      </w:tr>
      <w:tr>
        <w:trPr>
          <w:trHeight w:val="30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Second Supplemental Indenture, dated as of October 9, 2020, among Sotera Health Holdings, LLC and Wilmington Trust,</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National Association, as trustee and second lien notes collateral agent</w:t>
              </w:r>
            </w:hyperlink>
          </w:p>
        </w:tc>
        <w:tc>
          <w:tcPr>
            <w:tcW w:w="3820" w:type="dxa"/>
            <w:vAlign w:val="bottom"/>
            <w:tcBorders>
              <w:top w:val="single" w:sz="8" w:color="0000EE"/>
            </w:tcBorders>
            <w:gridSpan w:val="2"/>
          </w:tcPr>
          <w:p>
            <w:pPr>
              <w:spacing w:after="0"/>
              <w:rPr>
                <w:sz w:val="17"/>
                <w:szCs w:val="17"/>
                <w:color w:val="auto"/>
              </w:rPr>
            </w:pPr>
          </w:p>
        </w:tc>
        <w:tc>
          <w:tcPr>
            <w:tcW w:w="660" w:type="dxa"/>
            <w:vAlign w:val="bottom"/>
            <w:gridSpan w:val="7"/>
          </w:tcPr>
          <w:p>
            <w:pPr>
              <w:spacing w:after="0"/>
              <w:rPr>
                <w:sz w:val="17"/>
                <w:szCs w:val="17"/>
                <w:color w:val="auto"/>
              </w:rPr>
            </w:pPr>
          </w:p>
        </w:tc>
      </w:tr>
      <w:tr>
        <w:trPr>
          <w:trHeight w:val="345"/>
        </w:trPr>
        <w:tc>
          <w:tcPr>
            <w:tcW w:w="680" w:type="dxa"/>
            <w:vAlign w:val="bottom"/>
          </w:tcPr>
          <w:p>
            <w:pPr>
              <w:jc w:val="right"/>
              <w:ind w:right="271"/>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Opinion of Cleary Gottlieb Steen &amp; Hamilton LLP</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w w:val="95"/>
              </w:rPr>
            </w:pPr>
            <w:hyperlink r:id="rId31">
              <w:r>
                <w:rPr>
                  <w:rFonts w:ascii="Arial" w:cs="Arial" w:eastAsia="Arial" w:hAnsi="Arial"/>
                  <w:sz w:val="18"/>
                  <w:szCs w:val="18"/>
                  <w:u w:val="single" w:color="auto"/>
                  <w:color w:val="0000EE"/>
                  <w:w w:val="95"/>
                </w:rPr>
                <w:t>Employment Agreement by and between Sotera Health Company and Michael B. Petras, Jr.,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Employment Agreement by and between Sotera Health Company and Scott J. Leffler,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w w:val="97"/>
              </w:rPr>
            </w:pPr>
            <w:hyperlink r:id="rId33">
              <w:r>
                <w:rPr>
                  <w:rFonts w:ascii="Arial" w:cs="Arial" w:eastAsia="Arial" w:hAnsi="Arial"/>
                  <w:sz w:val="18"/>
                  <w:szCs w:val="18"/>
                  <w:u w:val="single" w:color="auto"/>
                  <w:color w:val="0000EE"/>
                  <w:w w:val="97"/>
                </w:rPr>
                <w:t>Employment Agreement by and between Sotera Health Company and Matthew J. Klaben, dated as of November 10, 2020</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Sotera Health Company Supplemental Retirement Benefit Plan, effective as of January 1, 2018</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Sotera Health Company 2020 Omnibus Incentive Plan</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Form of Sotera Health Company 2020 Omnibus Incentive Plan Restricted Stock Unit Grant Notice and Agreement</w:t>
              </w:r>
            </w:hyperlink>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Form of Sotera Health Company 2020 Omnibus Incentive Plan Stock Option Grant Notice and Agreement</w:t>
              </w:r>
            </w:hyperlink>
          </w:p>
        </w:tc>
      </w:tr>
      <w:tr>
        <w:trPr>
          <w:trHeight w:val="338"/>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7"/>
              </w:rPr>
              <w:t>10.8**</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Form of Indemnification Agreement entered into between the Registrant and each director and executive officer</w:t>
              </w:r>
            </w:hyperlink>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7"/>
              </w:rPr>
              <w:t>10.9**</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Form of Stockholders’ Agreement</w:t>
              </w:r>
            </w:hyperlink>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2"/>
              </w:rPr>
            </w:pPr>
            <w:hyperlink r:id="rId40">
              <w:r>
                <w:rPr>
                  <w:rFonts w:ascii="Arial" w:cs="Arial" w:eastAsia="Arial" w:hAnsi="Arial"/>
                  <w:sz w:val="18"/>
                  <w:szCs w:val="18"/>
                  <w:color w:val="0000EE"/>
                  <w:w w:val="92"/>
                </w:rPr>
                <w:t>Credit Agreement, dated as of December 13, 2019, among the Registrant, Sotera Health Holdings, LLC, the lenders and issuing</w:t>
              </w:r>
            </w:hyperlink>
          </w:p>
        </w:tc>
      </w:tr>
      <w:tr>
        <w:trPr>
          <w:trHeight w:val="237"/>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banks party thereto and Jefferies Finance LLC, as first lien administrative agent and first lien collateral agent</w:t>
              </w:r>
            </w:hyperlink>
          </w:p>
        </w:tc>
        <w:tc>
          <w:tcPr>
            <w:tcW w:w="260" w:type="dxa"/>
            <w:vAlign w:val="bottom"/>
            <w:gridSpan w:val="4"/>
          </w:tcPr>
          <w:p>
            <w:pPr>
              <w:spacing w:after="0"/>
              <w:rPr>
                <w:sz w:val="20"/>
                <w:szCs w:val="20"/>
                <w:color w:val="auto"/>
              </w:rPr>
            </w:pPr>
          </w:p>
        </w:tc>
      </w:tr>
      <w:tr>
        <w:trPr>
          <w:trHeight w:val="283"/>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860" w:type="dxa"/>
            <w:vAlign w:val="bottom"/>
          </w:tcPr>
          <w:p>
            <w:pPr>
              <w:spacing w:after="0"/>
              <w:rPr>
                <w:sz w:val="24"/>
                <w:szCs w:val="24"/>
                <w:color w:val="auto"/>
              </w:rPr>
            </w:pPr>
          </w:p>
        </w:tc>
        <w:tc>
          <w:tcPr>
            <w:tcW w:w="9480" w:type="dxa"/>
            <w:vAlign w:val="bottom"/>
            <w:gridSpan w:val="12"/>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Guarantee Agreement, dated as of December 13, 2019, among the Registrant, Sotera Health Holdings, LLC, the other guarantors</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party thereto and Jefferies Finance LLC, as first lien collateral agent</w:t>
              </w:r>
            </w:hyperlink>
          </w:p>
        </w:tc>
        <w:tc>
          <w:tcPr>
            <w:tcW w:w="180" w:type="dxa"/>
            <w:vAlign w:val="bottom"/>
            <w:gridSpan w:val="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15"/>
                <w:szCs w:val="15"/>
                <w:color w:val="auto"/>
              </w:rPr>
            </w:pPr>
          </w:p>
        </w:tc>
        <w:tc>
          <w:tcPr>
            <w:tcW w:w="3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Exhibits</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840" w:type="dxa"/>
            <w:vAlign w:val="bottom"/>
          </w:tcPr>
          <w:p>
            <w:pPr>
              <w:spacing w:after="0"/>
              <w:rPr>
                <w:sz w:val="23"/>
                <w:szCs w:val="23"/>
                <w:color w:val="auto"/>
              </w:rPr>
            </w:pPr>
          </w:p>
        </w:tc>
        <w:tc>
          <w:tcPr>
            <w:tcW w:w="9300" w:type="dxa"/>
            <w:vAlign w:val="bottom"/>
            <w:tcBorders>
              <w:bottom w:val="single" w:sz="8" w:color="0000EE"/>
            </w:tcBorders>
            <w:gridSpan w:val="24"/>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Collateral Agreement, dated as of December 13, 2019, among the Registrant, Sotera Health Holdings, LLC, the other guarantors</w:t>
              </w:r>
            </w:hyperlink>
          </w:p>
        </w:tc>
        <w:tc>
          <w:tcPr>
            <w:tcW w:w="200" w:type="dxa"/>
            <w:vAlign w:val="bottom"/>
            <w:gridSpan w:val="6"/>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party thereto and Jefferies Finance LLC, as first lien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7"/>
              </w:rPr>
            </w:pPr>
            <w:hyperlink r:id="rId44">
              <w:r>
                <w:rPr>
                  <w:rFonts w:ascii="Arial" w:cs="Arial" w:eastAsia="Arial" w:hAnsi="Arial"/>
                  <w:sz w:val="18"/>
                  <w:szCs w:val="18"/>
                  <w:color w:val="0000EE"/>
                  <w:w w:val="97"/>
                </w:rPr>
                <w:t>Patent Security Agreement, dated as of December 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13, 2019, between Nelson Laboratories,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5"/>
              </w:rPr>
            </w:pPr>
            <w:hyperlink r:id="rId47">
              <w:r>
                <w:rPr>
                  <w:rFonts w:ascii="Arial" w:cs="Arial" w:eastAsia="Arial" w:hAnsi="Arial"/>
                  <w:sz w:val="18"/>
                  <w:szCs w:val="18"/>
                  <w:color w:val="0000EE"/>
                  <w:w w:val="95"/>
                </w:rPr>
                <w:t>Trademark Security Agreement, dated as of December 13, 2019, between Sotera Health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Copyright Security Agreement, dated as of December 13, 2019, among Jefferies Finance LLC and Nelson Laboratories,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84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Second Lien Collateral Agreement, dated as of December 13, 2019, among the Registrant, Sotera Health Holdings, LLC, the other</w:t>
              </w:r>
            </w:hyperlink>
          </w:p>
        </w:tc>
        <w:tc>
          <w:tcPr>
            <w:tcW w:w="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grantors party thereto and Wilmington Trust, National Association, as second lien notes collateral agent</w:t>
              </w:r>
            </w:hyperlink>
          </w:p>
        </w:tc>
        <w:tc>
          <w:tcPr>
            <w:tcW w:w="2040" w:type="dxa"/>
            <w:vAlign w:val="bottom"/>
            <w:gridSpan w:val="19"/>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6"/>
              </w:rPr>
            </w:pPr>
            <w:hyperlink r:id="rId50">
              <w:r>
                <w:rPr>
                  <w:rFonts w:ascii="Arial" w:cs="Arial" w:eastAsia="Arial" w:hAnsi="Arial"/>
                  <w:sz w:val="18"/>
                  <w:szCs w:val="18"/>
                  <w:color w:val="0000EE"/>
                  <w:w w:val="96"/>
                </w:rPr>
                <w:t>Patent Security Agreement, dated as of December 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840" w:type="dxa"/>
            <w:vAlign w:val="bottom"/>
          </w:tcPr>
          <w:p>
            <w:pPr>
              <w:spacing w:after="0"/>
              <w:rPr>
                <w:sz w:val="24"/>
                <w:szCs w:val="24"/>
                <w:color w:val="auto"/>
              </w:rPr>
            </w:pPr>
          </w:p>
        </w:tc>
        <w:tc>
          <w:tcPr>
            <w:tcW w:w="3940" w:type="dxa"/>
            <w:vAlign w:val="bottom"/>
            <w:gridSpan w:val="6"/>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Trademark Security Agreement, dated as of December</w:t>
              </w:r>
            </w:hyperlink>
          </w:p>
        </w:tc>
        <w:tc>
          <w:tcPr>
            <w:tcW w:w="5560" w:type="dxa"/>
            <w:vAlign w:val="bottom"/>
            <w:gridSpan w:val="24"/>
          </w:tcPr>
          <w:p>
            <w:pPr>
              <w:ind w:left="80"/>
              <w:spacing w:after="0"/>
              <w:rPr>
                <w:rFonts w:ascii="Arial" w:cs="Arial" w:eastAsia="Arial" w:hAnsi="Arial"/>
                <w:sz w:val="18"/>
                <w:szCs w:val="18"/>
                <w:color w:val="0000EE"/>
                <w:w w:val="94"/>
              </w:rPr>
            </w:pPr>
            <w:hyperlink r:id="rId51">
              <w:r>
                <w:rPr>
                  <w:rFonts w:ascii="Arial" w:cs="Arial" w:eastAsia="Arial" w:hAnsi="Arial"/>
                  <w:sz w:val="18"/>
                  <w:szCs w:val="18"/>
                  <w:color w:val="0000EE"/>
                  <w:w w:val="94"/>
                </w:rPr>
                <w:t>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84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Trademark Security Agreement, dated as of December 13, 2019, between Nelson Laboratories, LLC and Wilmington Trust,</w:t>
              </w:r>
            </w:hyperlink>
          </w:p>
        </w:tc>
        <w:tc>
          <w:tcPr>
            <w:tcW w:w="540" w:type="dxa"/>
            <w:vAlign w:val="bottom"/>
            <w:gridSpan w:val="1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5"/>
              </w:rPr>
            </w:pPr>
            <w:hyperlink r:id="rId53">
              <w:r>
                <w:rPr>
                  <w:rFonts w:ascii="Arial" w:cs="Arial" w:eastAsia="Arial" w:hAnsi="Arial"/>
                  <w:sz w:val="18"/>
                  <w:szCs w:val="18"/>
                  <w:color w:val="0000EE"/>
                  <w:w w:val="95"/>
                </w:rPr>
                <w:t>Trademark Security Agreement, dated as of December 13, 2019, between Sotera Health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84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Copyright Security Agreement, dated as of December</w:t>
              </w:r>
            </w:hyperlink>
          </w:p>
        </w:tc>
        <w:tc>
          <w:tcPr>
            <w:tcW w:w="4960" w:type="dxa"/>
            <w:vAlign w:val="bottom"/>
            <w:tcBorders>
              <w:bottom w:val="single" w:sz="8" w:color="0000EE"/>
            </w:tcBorders>
            <w:gridSpan w:val="8"/>
          </w:tcPr>
          <w:p>
            <w:pPr>
              <w:ind w:left="20"/>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13, 2019, between Nelson Laboratories, LLC and Wilmington Trust,</w:t>
              </w:r>
            </w:hyperlink>
          </w:p>
        </w:tc>
        <w:tc>
          <w:tcPr>
            <w:tcW w:w="600" w:type="dxa"/>
            <w:vAlign w:val="bottom"/>
            <w:gridSpan w:val="1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First/Second Lien Intercreditor Agreement, dated as of December 13, 2019, among the Registrant, Sotera Health Holdings, LLC,</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the other grantors party thereto, Jefferies Finance LLC, as first lien collateral agent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initial second priority representative</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84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First Lien Pari Passu Intercreditor Agreement, dated as of July 31, 2020, among Sotera Health Holdings, LLC, the Registrant,</w:t>
              </w:r>
            </w:hyperlink>
          </w:p>
        </w:tc>
        <w:tc>
          <w:tcPr>
            <w:tcW w:w="440" w:type="dxa"/>
            <w:vAlign w:val="bottom"/>
            <w:gridSpan w:val="1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Arial" w:cs="Arial" w:eastAsia="Arial" w:hAnsi="Arial"/>
                <w:sz w:val="18"/>
                <w:szCs w:val="18"/>
                <w:color w:val="0000EE"/>
                <w:w w:val="98"/>
              </w:rPr>
            </w:pPr>
            <w:hyperlink r:id="rId56">
              <w:r>
                <w:rPr>
                  <w:rFonts w:ascii="Arial" w:cs="Arial" w:eastAsia="Arial" w:hAnsi="Arial"/>
                  <w:sz w:val="18"/>
                  <w:szCs w:val="18"/>
                  <w:color w:val="0000EE"/>
                  <w:w w:val="98"/>
                </w:rPr>
                <w:t>Jefferies Finance LLC as Collateral Agent and Authorized Representative,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Additional First Lien Collateral Agent and Initial Authorized Representative</w:t>
              </w:r>
            </w:hyperlink>
          </w:p>
        </w:tc>
        <w:tc>
          <w:tcPr>
            <w:tcW w:w="720" w:type="dxa"/>
            <w:vAlign w:val="bottom"/>
            <w:gridSpan w:val="18"/>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10.26**</w:t>
            </w:r>
          </w:p>
        </w:tc>
        <w:tc>
          <w:tcPr>
            <w:tcW w:w="840" w:type="dxa"/>
            <w:vAlign w:val="bottom"/>
          </w:tcPr>
          <w:p>
            <w:pPr>
              <w:spacing w:after="0"/>
              <w:rPr>
                <w:sz w:val="24"/>
                <w:szCs w:val="24"/>
                <w:color w:val="auto"/>
              </w:rPr>
            </w:pPr>
          </w:p>
        </w:tc>
        <w:tc>
          <w:tcPr>
            <w:tcW w:w="3520" w:type="dxa"/>
            <w:vAlign w:val="bottom"/>
            <w:tcBorders>
              <w:bottom w:val="single" w:sz="8" w:color="0000EE"/>
            </w:tcBorders>
            <w:gridSpan w:val="5"/>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First Lien Collateral Agreement, dated as of July</w:t>
              </w:r>
            </w:hyperlink>
          </w:p>
        </w:tc>
        <w:tc>
          <w:tcPr>
            <w:tcW w:w="5920" w:type="dxa"/>
            <w:vAlign w:val="bottom"/>
            <w:tcBorders>
              <w:bottom w:val="single" w:sz="8" w:color="0000EE"/>
            </w:tcBorders>
            <w:gridSpan w:val="22"/>
          </w:tcPr>
          <w:p>
            <w:pPr>
              <w:ind w:left="80"/>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31, 2020, among the Registrant, Sotera Health Holdings, LLC, the other grantors</w:t>
              </w:r>
            </w:hyperlink>
          </w:p>
        </w:tc>
        <w:tc>
          <w:tcPr>
            <w:tcW w:w="6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party thereto and Wilmington Trust, National Association, as first lien notes collateral agent</w:t>
              </w:r>
            </w:hyperlink>
          </w:p>
        </w:tc>
        <w:tc>
          <w:tcPr>
            <w:tcW w:w="2880" w:type="dxa"/>
            <w:vAlign w:val="bottom"/>
            <w:gridSpan w:val="20"/>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840" w:type="dxa"/>
            <w:vAlign w:val="bottom"/>
          </w:tcPr>
          <w:p>
            <w:pPr>
              <w:spacing w:after="0"/>
              <w:rPr>
                <w:sz w:val="24"/>
                <w:szCs w:val="24"/>
                <w:color w:val="auto"/>
              </w:rPr>
            </w:pPr>
          </w:p>
        </w:tc>
        <w:tc>
          <w:tcPr>
            <w:tcW w:w="9500" w:type="dxa"/>
            <w:vAlign w:val="bottom"/>
            <w:gridSpan w:val="30"/>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Patent Security Agreement, dated as of July 31, 2020, between Sterigenics U.S., LLC and Wilmington Trust, National Association,</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as first lien notes collateral agent</w:t>
              </w:r>
            </w:hyperlink>
          </w:p>
        </w:tc>
        <w:tc>
          <w:tcPr>
            <w:tcW w:w="1140" w:type="dxa"/>
            <w:vAlign w:val="bottom"/>
            <w:tcBorders>
              <w:top w:val="single" w:sz="8" w:color="0000EE"/>
            </w:tcBorders>
            <w:gridSpan w:val="3"/>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10.28**</w:t>
            </w:r>
          </w:p>
        </w:tc>
        <w:tc>
          <w:tcPr>
            <w:tcW w:w="840" w:type="dxa"/>
            <w:vAlign w:val="bottom"/>
          </w:tcPr>
          <w:p>
            <w:pPr>
              <w:spacing w:after="0"/>
              <w:rPr>
                <w:sz w:val="24"/>
                <w:szCs w:val="24"/>
                <w:color w:val="auto"/>
              </w:rPr>
            </w:pPr>
          </w:p>
        </w:tc>
        <w:tc>
          <w:tcPr>
            <w:tcW w:w="3520" w:type="dxa"/>
            <w:vAlign w:val="bottom"/>
            <w:gridSpan w:val="5"/>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Trademark Security Agreement, dated as of July</w:t>
              </w:r>
            </w:hyperlink>
          </w:p>
        </w:tc>
        <w:tc>
          <w:tcPr>
            <w:tcW w:w="5980" w:type="dxa"/>
            <w:vAlign w:val="bottom"/>
            <w:gridSpan w:val="25"/>
          </w:tcPr>
          <w:p>
            <w:pPr>
              <w:ind w:left="60"/>
              <w:spacing w:after="0"/>
              <w:rPr>
                <w:rFonts w:ascii="Arial" w:cs="Arial" w:eastAsia="Arial" w:hAnsi="Arial"/>
                <w:sz w:val="18"/>
                <w:szCs w:val="18"/>
                <w:color w:val="0000EE"/>
                <w:w w:val="94"/>
              </w:rPr>
            </w:pPr>
            <w:hyperlink r:id="rId59">
              <w:r>
                <w:rPr>
                  <w:rFonts w:ascii="Arial" w:cs="Arial" w:eastAsia="Arial" w:hAnsi="Arial"/>
                  <w:sz w:val="18"/>
                  <w:szCs w:val="18"/>
                  <w:color w:val="0000EE"/>
                  <w:w w:val="94"/>
                </w:rPr>
                <w:t>31, 2020, between Sotera Health Holdings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10.29**</w:t>
            </w:r>
          </w:p>
        </w:tc>
        <w:tc>
          <w:tcPr>
            <w:tcW w:w="840" w:type="dxa"/>
            <w:vAlign w:val="bottom"/>
          </w:tcPr>
          <w:p>
            <w:pPr>
              <w:spacing w:after="0"/>
              <w:rPr>
                <w:sz w:val="24"/>
                <w:szCs w:val="24"/>
                <w:color w:val="auto"/>
              </w:rPr>
            </w:pPr>
          </w:p>
        </w:tc>
        <w:tc>
          <w:tcPr>
            <w:tcW w:w="3520" w:type="dxa"/>
            <w:vAlign w:val="bottom"/>
            <w:gridSpan w:val="5"/>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Copyright Security Agreement, dated as of July</w:t>
              </w:r>
            </w:hyperlink>
          </w:p>
        </w:tc>
        <w:tc>
          <w:tcPr>
            <w:tcW w:w="5980" w:type="dxa"/>
            <w:vAlign w:val="bottom"/>
            <w:gridSpan w:val="25"/>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31, 2020, between Nelson Laboratories,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0"/>
          </w:cols>
          <w:pgMar w:left="440" w:top="265"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178"/>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70"/>
        </w:trPr>
        <w:tc>
          <w:tcPr>
            <w:tcW w:w="1300" w:type="dxa"/>
            <w:vAlign w:val="bottom"/>
            <w:gridSpan w:val="2"/>
          </w:tcPr>
          <w:p>
            <w:pPr>
              <w:spacing w:after="0"/>
              <w:rPr>
                <w:sz w:val="20"/>
                <w:szCs w:val="20"/>
                <w:color w:val="auto"/>
              </w:rPr>
            </w:pPr>
            <w:r>
              <w:rPr>
                <w:rFonts w:ascii="Arial" w:cs="Arial" w:eastAsia="Arial" w:hAnsi="Arial"/>
                <w:sz w:val="18"/>
                <w:szCs w:val="18"/>
                <w:color w:val="auto"/>
              </w:rPr>
              <w:t>10.30**†</w:t>
            </w:r>
          </w:p>
        </w:tc>
        <w:tc>
          <w:tcPr>
            <w:tcW w:w="9520" w:type="dxa"/>
            <w:vAlign w:val="bottom"/>
            <w:tcBorders>
              <w:bottom w:val="single" w:sz="8" w:color="0000EE"/>
            </w:tcBorders>
            <w:gridSpan w:val="2"/>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Restated Supply Agreement, dated as of October 6, 2020, between a counterparty and Sterigenics U.S., LLC, Sterigenics S. De R.L.</w:t>
              </w:r>
            </w:hyperlink>
          </w:p>
        </w:tc>
        <w:tc>
          <w:tcPr>
            <w:tcW w:w="200" w:type="dxa"/>
            <w:vAlign w:val="bottom"/>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De C.V., Sterigenics Costa Rica S.R.L. and Sterigenics EO Canada, Inc.</w:t>
              </w:r>
            </w:hyperlink>
          </w:p>
        </w:tc>
      </w:tr>
      <w:tr>
        <w:trPr>
          <w:trHeight w:val="345"/>
        </w:trPr>
        <w:tc>
          <w:tcPr>
            <w:tcW w:w="1300" w:type="dxa"/>
            <w:vAlign w:val="bottom"/>
            <w:gridSpan w:val="2"/>
          </w:tcPr>
          <w:p>
            <w:pPr>
              <w:spacing w:after="0"/>
              <w:rPr>
                <w:sz w:val="20"/>
                <w:szCs w:val="20"/>
                <w:color w:val="auto"/>
              </w:rPr>
            </w:pPr>
            <w:r>
              <w:rPr>
                <w:rFonts w:ascii="Arial" w:cs="Arial" w:eastAsia="Arial" w:hAnsi="Arial"/>
                <w:sz w:val="18"/>
                <w:szCs w:val="18"/>
                <w:color w:val="auto"/>
              </w:rPr>
              <w:t>10.31+**</w:t>
            </w:r>
          </w:p>
        </w:tc>
        <w:tc>
          <w:tcPr>
            <w:tcW w:w="5180" w:type="dxa"/>
            <w:vAlign w:val="bottom"/>
            <w:tcBorders>
              <w:top w:val="single" w:sz="8" w:color="0000EE"/>
            </w:tcBorders>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Form of Restricted Stock Agreement and Acknowledgement</w:t>
              </w:r>
            </w:hyperlink>
          </w:p>
        </w:tc>
        <w:tc>
          <w:tcPr>
            <w:tcW w:w="4540" w:type="dxa"/>
            <w:vAlign w:val="bottom"/>
            <w:gridSpan w:val="2"/>
          </w:tcPr>
          <w:p>
            <w:pPr>
              <w:spacing w:after="0"/>
              <w:rPr>
                <w:sz w:val="24"/>
                <w:szCs w:val="24"/>
                <w:color w:val="auto"/>
              </w:rPr>
            </w:pP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10.32+**</w:t>
            </w:r>
          </w:p>
        </w:tc>
        <w:tc>
          <w:tcPr>
            <w:tcW w:w="9720" w:type="dxa"/>
            <w:vAlign w:val="bottom"/>
            <w:gridSpan w:val="3"/>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Non-Employee Director Compensation Policy</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List of Subsidiaries</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Consent of Cleary Gottlieb Steen &amp; Hamilton LLP (included in Exhibit 5.1)</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Consent of Ernst &amp; Young LLP, Independent Registered Public Accounting Firm</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Powers of Attorney (included on signature page to Registration Statement on Form S-1 filed on October 23, 2020)</w:t>
              </w:r>
            </w:hyperlink>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24.2**</w:t>
            </w:r>
          </w:p>
        </w:tc>
        <w:tc>
          <w:tcPr>
            <w:tcW w:w="62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Powers of Attorney (included on signature page to Registration Statement on Form S-1 filed on November 12, 2020)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 w:right="5620" w:hanging="4"/>
        <w:spacing w:after="0" w:line="258" w:lineRule="auto"/>
        <w:tabs>
          <w:tab w:leader="none" w:pos="436" w:val="left"/>
        </w:tabs>
        <w:numPr>
          <w:ilvl w:val="0"/>
          <w:numId w:val="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 Previously filed.</w:t>
      </w:r>
    </w:p>
    <w:p>
      <w:pPr>
        <w:spacing w:after="0" w:line="1" w:lineRule="exact"/>
        <w:rPr>
          <w:rFonts w:ascii="Arial" w:cs="Arial" w:eastAsia="Arial" w:hAnsi="Arial"/>
          <w:sz w:val="18"/>
          <w:szCs w:val="18"/>
          <w:color w:val="auto"/>
        </w:rPr>
      </w:pPr>
    </w:p>
    <w:p>
      <w:pPr>
        <w:ind w:left="424" w:right="140" w:hanging="432"/>
        <w:spacing w:after="0" w:line="255" w:lineRule="auto"/>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24"/>
          </w:cols>
          <w:pgMar w:left="436" w:top="265"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November 13,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B. Petras, Jr.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B. Petras, Jr.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020"/>
          </w:cols>
          <w:pgMar w:left="440" w:top="270" w:right="439" w:bottom="1440" w:gutter="0" w:footer="0" w:header="0"/>
        </w:sectPr>
      </w:pP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auto"/>
        </w:rPr>
        <w:t>Name</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Michael B. Petras, Jr.</w:t>
      </w: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Scott J. Leffler</w:t>
      </w: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Ruoxi Chen</w:t>
      </w: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Sean L. Cunningham</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A. Donnini</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Stephanie Geveda</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Ann R. Klee</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Constantine S. Mihas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James C. Neary</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26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Vincent K. Petrella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B. Petras, Jr.</w:t>
            </w:r>
          </w:p>
        </w:tc>
      </w:tr>
      <w:tr>
        <w:trPr>
          <w:trHeight w:val="224"/>
        </w:trPr>
        <w:tc>
          <w:tcPr>
            <w:tcW w:w="48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3"/>
              </w:rPr>
              <w:t>Attorney-in-Fact</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1"/>
        </w:trPr>
        <w:tc>
          <w:tcPr>
            <w:tcW w:w="454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Chairman and Chief Executive Officer (Principal Executive</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230"/>
        </w:trPr>
        <w:tc>
          <w:tcPr>
            <w:tcW w:w="4540" w:type="dxa"/>
            <w:vAlign w:val="bottom"/>
            <w:gridSpan w:val="3"/>
          </w:tcPr>
          <w:p>
            <w:pPr>
              <w:jc w:val="center"/>
              <w:ind w:right="40"/>
              <w:spacing w:after="0"/>
              <w:rPr>
                <w:sz w:val="20"/>
                <w:szCs w:val="20"/>
                <w:color w:val="auto"/>
              </w:rPr>
            </w:pPr>
            <w:r>
              <w:rPr>
                <w:rFonts w:ascii="Arial" w:cs="Arial" w:eastAsia="Arial" w:hAnsi="Arial"/>
                <w:sz w:val="18"/>
                <w:szCs w:val="18"/>
                <w:color w:val="auto"/>
                <w:w w:val="98"/>
              </w:rPr>
              <w:t>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5"/>
        </w:trPr>
        <w:tc>
          <w:tcPr>
            <w:tcW w:w="454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Chief Financial Officer and Treasurer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230"/>
        </w:trPr>
        <w:tc>
          <w:tcPr>
            <w:tcW w:w="454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(Principal Financial and Accounting 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702"/>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r>
        <w:trPr>
          <w:trHeight w:val="675"/>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November 13,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4400" w:space="180"/>
            <w:col w:w="6440"/>
          </w:cols>
          <w:pgMar w:left="440" w:top="270" w:right="4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SOTERA HEALTH COMPANY</w:t>
      </w:r>
    </w:p>
    <w:p>
      <w:pPr>
        <w:spacing w:after="0" w:line="213" w:lineRule="exact"/>
        <w:rPr>
          <w:sz w:val="20"/>
          <w:szCs w:val="20"/>
          <w:color w:val="auto"/>
        </w:rPr>
      </w:pPr>
    </w:p>
    <w:p>
      <w:pPr>
        <w:ind w:left="4600" w:right="4480" w:hanging="132"/>
        <w:spacing w:after="0" w:line="563" w:lineRule="auto"/>
        <w:tabs>
          <w:tab w:leader="none" w:pos="4699"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of Common Stock Underwriting Agreement</w:t>
      </w:r>
    </w:p>
    <w:p>
      <w:pPr>
        <w:spacing w:after="0" w:line="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Sotera Health Company, a Delaware corporation (the “Company”), proposes to issue and sell to the several underwriters listed in Schedule 1 hereto (the “Underwriters”), for whom you are acting as representative (the “Representatives”), an aggregate of [•] shares (the “Underwritten Shares”) of common stock, par value $0.01 per share (“Common Stock”), of the Company and, at the option of the Underwriters, up to an additional [•] shares (the “Option Shares”) of Common Stock of the Company. The Underwritten Shares and the Option Shares are herein referred to as the “Shares.” The shares of Common Stock of the Company to be outstanding after giving effect to the sale of the Shares are referred to herein as the “Stock.”</w:t>
      </w:r>
    </w:p>
    <w:p>
      <w:pPr>
        <w:sectPr>
          <w:pgSz w:w="11900" w:h="16838" w:orient="portrait"/>
          <w:cols w:equalWidth="0" w:num="1">
            <w:col w:w="11020"/>
          </w:cols>
          <w:pgMar w:left="440" w:top="121" w:right="439" w:bottom="1440" w:gutter="0" w:footer="0" w:header="0"/>
        </w:sectPr>
      </w:pPr>
    </w:p>
    <w:bookmarkStart w:id="9" w:name="page10"/>
    <w:bookmarkEnd w:id="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confirms its agreement with the several Underwriters concerning the purchase and sale of the Shares, as follows:</w:t>
      </w:r>
    </w:p>
    <w:p>
      <w:pPr>
        <w:spacing w:after="0" w:line="129" w:lineRule="exact"/>
        <w:rPr>
          <w:sz w:val="20"/>
          <w:szCs w:val="20"/>
          <w:color w:val="auto"/>
        </w:rPr>
      </w:pPr>
    </w:p>
    <w:p>
      <w:pPr>
        <w:ind w:firstLine="436"/>
        <w:spacing w:after="0" w:line="287"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333-249648),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2020 and each “free-writing prospectus” (as defined pursuant to Rule 405 under the Securities Act)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[A/P].M., New York City time, on [•], 2020.</w:t>
      </w:r>
    </w:p>
    <w:p>
      <w:pPr>
        <w:spacing w:after="0" w:line="117" w:lineRule="exact"/>
        <w:rPr>
          <w:sz w:val="20"/>
          <w:szCs w:val="20"/>
          <w:color w:val="auto"/>
        </w:rPr>
      </w:pPr>
    </w:p>
    <w:p>
      <w:pPr>
        <w:ind w:left="620" w:hanging="18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36"/>
        <w:spacing w:after="0" w:line="279"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7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 w:name="page11"/>
    <w:bookmarkEnd w:id="10"/>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56" w:lineRule="exact"/>
        <w:rPr>
          <w:sz w:val="20"/>
          <w:szCs w:val="20"/>
          <w:color w:val="auto"/>
        </w:rPr>
      </w:pPr>
    </w:p>
    <w:p>
      <w:pPr>
        <w:jc w:val="both"/>
        <w:ind w:right="220" w:firstLine="436"/>
        <w:spacing w:after="0" w:line="263"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Payment for the Shares shall be made by wire transfer in immediately available funds to the account specified by the Company to the</w:t>
      </w:r>
    </w:p>
    <w:p>
      <w:pPr>
        <w:spacing w:after="0" w:line="34" w:lineRule="exact"/>
        <w:rPr>
          <w:rFonts w:ascii="Arial" w:cs="Arial" w:eastAsia="Arial" w:hAnsi="Arial"/>
          <w:sz w:val="17"/>
          <w:szCs w:val="17"/>
          <w:color w:val="auto"/>
        </w:rPr>
      </w:pPr>
    </w:p>
    <w:p>
      <w:pPr>
        <w:ind w:right="20"/>
        <w:spacing w:after="0" w:line="292" w:lineRule="auto"/>
        <w:rPr>
          <w:rFonts w:ascii="Arial" w:cs="Arial" w:eastAsia="Arial" w:hAnsi="Arial"/>
          <w:sz w:val="17"/>
          <w:szCs w:val="17"/>
          <w:color w:val="auto"/>
        </w:rPr>
      </w:pPr>
      <w:r>
        <w:rPr>
          <w:rFonts w:ascii="Arial" w:cs="Arial" w:eastAsia="Arial" w:hAnsi="Arial"/>
          <w:sz w:val="16"/>
          <w:szCs w:val="16"/>
          <w:color w:val="auto"/>
        </w:rPr>
        <w:t>Representatives in the case of the Underwritten Shares, via teleconference at 10:00 A.M. New York City time on [•], 2020,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62"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49" w:lineRule="exact"/>
        <w:rPr>
          <w:sz w:val="20"/>
          <w:szCs w:val="20"/>
          <w:color w:val="auto"/>
        </w:rPr>
      </w:pPr>
    </w:p>
    <w:p>
      <w:pPr>
        <w:ind w:firstLine="436"/>
        <w:spacing w:after="0" w:line="255"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7" w:lineRule="exact"/>
        <w:rPr>
          <w:sz w:val="20"/>
          <w:szCs w:val="20"/>
          <w:color w:val="auto"/>
        </w:rPr>
      </w:pPr>
    </w:p>
    <w:p>
      <w:pPr>
        <w:ind w:left="620" w:hanging="18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40" w:right="160" w:firstLine="419"/>
        <w:spacing w:after="0" w:line="290" w:lineRule="auto"/>
        <w:tabs>
          <w:tab w:leader="none" w:pos="1107"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57" w:lineRule="exact"/>
        <w:rPr>
          <w:rFonts w:ascii="Arial" w:cs="Arial" w:eastAsia="Arial" w:hAnsi="Arial"/>
          <w:sz w:val="16"/>
          <w:szCs w:val="16"/>
          <w:color w:val="auto"/>
        </w:rPr>
      </w:pPr>
    </w:p>
    <w:p>
      <w:pPr>
        <w:ind w:left="440" w:right="40" w:firstLine="419"/>
        <w:spacing w:after="0" w:line="253" w:lineRule="auto"/>
        <w:tabs>
          <w:tab w:leader="none" w:pos="111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88" w:lineRule="exact"/>
        <w:rPr>
          <w:rFonts w:ascii="Arial" w:cs="Arial" w:eastAsia="Arial" w:hAnsi="Arial"/>
          <w:sz w:val="18"/>
          <w:szCs w:val="18"/>
          <w:color w:val="auto"/>
        </w:rPr>
      </w:pPr>
    </w:p>
    <w:p>
      <w:pPr>
        <w:ind w:left="440" w:firstLine="419"/>
        <w:spacing w:after="0" w:line="275" w:lineRule="auto"/>
        <w:tabs>
          <w:tab w:leader="none" w:pos="1107"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Registration Statement, the Preliminary Prospectus and the Prospectus,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2" w:name="page13"/>
    <w:bookmarkEnd w:id="12"/>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78" w:lineRule="exact"/>
        <w:rPr>
          <w:sz w:val="20"/>
          <w:szCs w:val="20"/>
          <w:color w:val="auto"/>
        </w:rPr>
      </w:pPr>
    </w:p>
    <w:p>
      <w:pPr>
        <w:ind w:left="4" w:right="180" w:firstLine="419"/>
        <w:spacing w:after="0" w:line="263" w:lineRule="auto"/>
        <w:tabs>
          <w:tab w:leader="none" w:pos="68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of the Registration Statement to the Commission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the Company has been and is an “emerging growth company,” as defined in Section 2(a) of the Securities Act (an “Emerging Growth Company”).</w:t>
      </w:r>
    </w:p>
    <w:p>
      <w:pPr>
        <w:spacing w:after="0" w:line="75" w:lineRule="exact"/>
        <w:rPr>
          <w:rFonts w:ascii="Arial" w:cs="Arial" w:eastAsia="Arial" w:hAnsi="Arial"/>
          <w:sz w:val="18"/>
          <w:szCs w:val="18"/>
          <w:color w:val="auto"/>
        </w:rPr>
      </w:pPr>
    </w:p>
    <w:p>
      <w:pPr>
        <w:ind w:left="664" w:hanging="241"/>
        <w:spacing w:after="0"/>
        <w:tabs>
          <w:tab w:leader="none" w:pos="66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w:t>
      </w:r>
    </w:p>
    <w:p>
      <w:pPr>
        <w:spacing w:after="0" w:line="2" w:lineRule="exact"/>
        <w:rPr>
          <w:sz w:val="20"/>
          <w:szCs w:val="20"/>
          <w:color w:val="auto"/>
        </w:rPr>
      </w:pPr>
    </w:p>
    <w:p>
      <w:pPr>
        <w:ind w:left="4" w:right="40" w:hanging="4"/>
        <w:spacing w:after="0" w:line="251"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 Any individual Written Testing-the-Waters Communication does not conflict in any material respect with the information</w:t>
      </w:r>
    </w:p>
    <w:p>
      <w:pPr>
        <w:spacing w:after="0" w:line="1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13" w:name="page14"/>
    <w:bookmarkEnd w:id="1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Written Testing-the-Waters Communications in reliance upon and in conformity with information relating to any Underwriter furnished to the Company in writing by such Underwriter through the Representatives expressly for use in such Written Testing-the-Waters Communications, it being understood and agreed that the only such information furnished by any Underwriter, if any, consists of the information described as such in Section 7(b) hereof.</w:t>
      </w:r>
    </w:p>
    <w:p>
      <w:pPr>
        <w:spacing w:after="0" w:line="57" w:lineRule="exact"/>
        <w:rPr>
          <w:sz w:val="20"/>
          <w:szCs w:val="20"/>
          <w:color w:val="auto"/>
        </w:rPr>
      </w:pPr>
    </w:p>
    <w:p>
      <w:pPr>
        <w:ind w:firstLine="419"/>
        <w:spacing w:after="0" w:line="286"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62" w:lineRule="exact"/>
        <w:rPr>
          <w:rFonts w:ascii="Arial" w:cs="Arial" w:eastAsia="Arial" w:hAnsi="Arial"/>
          <w:sz w:val="16"/>
          <w:szCs w:val="16"/>
          <w:color w:val="auto"/>
        </w:rPr>
      </w:pPr>
    </w:p>
    <w:p>
      <w:pPr>
        <w:ind w:firstLine="419"/>
        <w:spacing w:after="0" w:line="293" w:lineRule="auto"/>
        <w:tabs>
          <w:tab w:leader="none" w:pos="67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historical financial statements (including the related notes and supporting schedules) and the 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in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4" w:name="page15"/>
    <w:bookmarkEnd w:id="1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of the Registration Statement, the Pricing Disclosure Package and the Prospectus has been derived from the accounting records of the Company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in the Registration Statement, Pricing Disclosure Package and the Prospectus, any pro forma financial information and the related notes thereto included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58" w:lineRule="exact"/>
        <w:rPr>
          <w:sz w:val="20"/>
          <w:szCs w:val="20"/>
          <w:color w:val="auto"/>
        </w:rPr>
      </w:pPr>
    </w:p>
    <w:p>
      <w:pPr>
        <w:ind w:firstLine="419"/>
        <w:spacing w:after="0" w:line="268" w:lineRule="auto"/>
        <w:tabs>
          <w:tab w:leader="none" w:pos="678"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Since the date of the most recent financial statements of the Company included in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the Pricing Disclosure Package and the Prospectus, (i) there has not been any change in the capital stock (other than the grant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76" w:lineRule="exact"/>
        <w:rPr>
          <w:rFonts w:ascii="Arial" w:cs="Arial" w:eastAsia="Arial" w:hAnsi="Arial"/>
          <w:sz w:val="17"/>
          <w:szCs w:val="17"/>
          <w:color w:val="auto"/>
        </w:rPr>
      </w:pPr>
    </w:p>
    <w:p>
      <w:pPr>
        <w:ind w:firstLine="419"/>
        <w:spacing w:after="0" w:line="273" w:lineRule="auto"/>
        <w:tabs>
          <w:tab w:leader="none" w:pos="638"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Each of the Company and its subsidiaries has been duly organized, is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is properties and to conduct the business in which it is engaged, except where the failure to be so qualified or in good standing or have such power or authority could not, in the aggregate, reasonably be expected to have a material adverse effect on the business,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5" w:name="page16"/>
    <w:bookmarkEnd w:id="1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of the Registration Statement.</w:t>
      </w:r>
    </w:p>
    <w:p>
      <w:pPr>
        <w:spacing w:after="0" w:line="76" w:lineRule="exact"/>
        <w:rPr>
          <w:sz w:val="20"/>
          <w:szCs w:val="20"/>
          <w:color w:val="auto"/>
        </w:rPr>
      </w:pPr>
    </w:p>
    <w:p>
      <w:pPr>
        <w:ind w:left="4" w:right="40" w:firstLine="419"/>
        <w:spacing w:after="0" w:line="286" w:lineRule="auto"/>
        <w:tabs>
          <w:tab w:leader="none" w:pos="64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65" w:lineRule="exact"/>
        <w:rPr>
          <w:rFonts w:ascii="Arial" w:cs="Arial" w:eastAsia="Arial" w:hAnsi="Arial"/>
          <w:sz w:val="16"/>
          <w:szCs w:val="16"/>
          <w:color w:val="auto"/>
        </w:rPr>
      </w:pPr>
    </w:p>
    <w:p>
      <w:pPr>
        <w:ind w:left="4" w:right="20" w:firstLine="419"/>
        <w:spacing w:after="0" w:line="284" w:lineRule="auto"/>
        <w:tabs>
          <w:tab w:leader="none" w:pos="68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and other equity awards granted pursuant to the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and any other exchange on which Company securities are traded, and</w:t>
      </w:r>
    </w:p>
    <w:p>
      <w:pPr>
        <w:ind w:left="304" w:hanging="304"/>
        <w:spacing w:after="0"/>
        <w:tabs>
          <w:tab w:leader="none" w:pos="3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such grant was properly accounted for in accordance with GAAP in the financial statements (including the related notes) of the</w:t>
      </w:r>
    </w:p>
    <w:p>
      <w:pPr>
        <w:spacing w:after="0" w:line="15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57" w:lineRule="exact"/>
        <w:rPr>
          <w:sz w:val="20"/>
          <w:szCs w:val="20"/>
          <w:color w:val="auto"/>
        </w:rPr>
      </w:pPr>
    </w:p>
    <w:p>
      <w:pPr>
        <w:ind w:right="120" w:firstLine="419"/>
        <w:spacing w:after="0" w:line="286" w:lineRule="auto"/>
        <w:tabs>
          <w:tab w:leader="none" w:pos="638"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all requisite corporate power and authority to execute, deliver and perform its obligations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57" w:lineRule="exact"/>
        <w:rPr>
          <w:rFonts w:ascii="Arial" w:cs="Arial" w:eastAsia="Arial" w:hAnsi="Arial"/>
          <w:sz w:val="17"/>
          <w:szCs w:val="17"/>
          <w:color w:val="auto"/>
        </w:rPr>
      </w:pPr>
    </w:p>
    <w:p>
      <w:pPr>
        <w:ind w:left="720" w:hanging="30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firstLine="419"/>
        <w:spacing w:after="0" w:line="259"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by the Company and, when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78" w:lineRule="exact"/>
        <w:rPr>
          <w:rFonts w:ascii="Arial" w:cs="Arial" w:eastAsia="Arial" w:hAnsi="Arial"/>
          <w:sz w:val="18"/>
          <w:szCs w:val="18"/>
          <w:color w:val="auto"/>
        </w:rPr>
      </w:pPr>
    </w:p>
    <w:p>
      <w:pPr>
        <w:ind w:right="60" w:firstLine="419"/>
        <w:spacing w:after="0" w:line="277"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Description of the Underwriting Agreement. </w:t>
      </w:r>
      <w:r>
        <w:rPr>
          <w:rFonts w:ascii="Arial" w:cs="Arial" w:eastAsia="Arial" w:hAnsi="Arial"/>
          <w:sz w:val="18"/>
          <w:szCs w:val="18"/>
          <w:color w:val="auto"/>
        </w:rPr>
        <w:t>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p>
    <w:p>
      <w:pPr>
        <w:spacing w:after="0" w:line="23" w:lineRule="exact"/>
        <w:rPr>
          <w:rFonts w:ascii="Arial" w:cs="Arial" w:eastAsia="Arial" w:hAnsi="Arial"/>
          <w:sz w:val="18"/>
          <w:szCs w:val="18"/>
          <w:color w:val="auto"/>
        </w:rPr>
      </w:pPr>
    </w:p>
    <w:p>
      <w:pPr>
        <w:ind w:right="40"/>
        <w:spacing w:after="0" w:line="288" w:lineRule="auto"/>
        <w:rPr>
          <w:rFonts w:ascii="Arial" w:cs="Arial" w:eastAsia="Arial" w:hAnsi="Arial"/>
          <w:sz w:val="18"/>
          <w:szCs w:val="18"/>
          <w:color w:val="auto"/>
        </w:rPr>
      </w:pPr>
      <w:r>
        <w:rPr>
          <w:rFonts w:ascii="Arial" w:cs="Arial" w:eastAsia="Arial" w:hAnsi="Arial"/>
          <w:sz w:val="16"/>
          <w:szCs w:val="16"/>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60" w:lineRule="exact"/>
        <w:rPr>
          <w:rFonts w:ascii="Arial" w:cs="Arial" w:eastAsia="Arial" w:hAnsi="Arial"/>
          <w:sz w:val="18"/>
          <w:szCs w:val="18"/>
          <w:color w:val="auto"/>
        </w:rPr>
      </w:pPr>
    </w:p>
    <w:p>
      <w:pPr>
        <w:ind w:right="360" w:firstLine="419"/>
        <w:spacing w:after="0" w:line="257" w:lineRule="auto"/>
        <w:tabs>
          <w:tab w:leader="none" w:pos="67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t>
      </w:r>
      <w:r>
        <w:rPr>
          <w:rFonts w:ascii="Arial" w:cs="Arial" w:eastAsia="Arial" w:hAnsi="Arial"/>
          <w:sz w:val="18"/>
          <w:szCs w:val="18"/>
          <w:color w:val="auto"/>
        </w:rPr>
        <w:t>The issue and sale of the Shares, the execution, delivery and performance by the Company of this Agreement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7" w:name="page18"/>
    <w:bookmarkEnd w:id="1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56" w:lineRule="exact"/>
        <w:rPr>
          <w:sz w:val="20"/>
          <w:szCs w:val="20"/>
          <w:color w:val="auto"/>
        </w:rPr>
      </w:pPr>
    </w:p>
    <w:p>
      <w:pPr>
        <w:ind w:firstLine="419"/>
        <w:spacing w:after="0" w:line="270" w:lineRule="auto"/>
        <w:tabs>
          <w:tab w:leader="none" w:pos="64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 order of, or filing, registration or qualification with any U.S. court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agency or body, or to the knowledge of the Company, any non-U.S. court or governmental agency or body, having jurisdiction over the Company, any of the subsidiaries of the Company or any of their respective properties or assets is required for the issue and sale of the Shares,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72" w:lineRule="exact"/>
        <w:rPr>
          <w:rFonts w:ascii="Arial" w:cs="Arial" w:eastAsia="Arial" w:hAnsi="Arial"/>
          <w:sz w:val="17"/>
          <w:szCs w:val="17"/>
          <w:color w:val="auto"/>
        </w:rPr>
      </w:pPr>
    </w:p>
    <w:p>
      <w:pPr>
        <w:ind w:firstLine="419"/>
        <w:spacing w:after="0" w:line="286" w:lineRule="auto"/>
        <w:tabs>
          <w:tab w:leader="none" w:pos="65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each of the Registration Statement, the Pricing Disclosure Package and the Prospectus,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 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0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18" w:name="page19"/>
    <w:bookmarkEnd w:id="18"/>
    <w:p>
      <w:pPr>
        <w:ind w:right="100" w:firstLine="419"/>
        <w:spacing w:after="0" w:line="257" w:lineRule="auto"/>
        <w:tabs>
          <w:tab w:leader="none" w:pos="63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Accountants</w:t>
      </w:r>
      <w:r>
        <w:rPr>
          <w:rFonts w:ascii="Arial" w:cs="Arial" w:eastAsia="Arial" w:hAnsi="Arial"/>
          <w:sz w:val="18"/>
          <w:szCs w:val="18"/>
          <w:color w:val="auto"/>
        </w:rPr>
        <w:t>. Ernst &amp; Young LLP, who has audited certain financial statements of the Company and its subsidiaries,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report is included in the Registration Statement, the Pricing Disclosure Package and the Prospectus and who have delivered the initial letter referred to in Section 6(e)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79" w:lineRule="exact"/>
        <w:rPr>
          <w:rFonts w:ascii="Arial" w:cs="Arial" w:eastAsia="Arial" w:hAnsi="Arial"/>
          <w:sz w:val="18"/>
          <w:szCs w:val="18"/>
          <w:color w:val="auto"/>
        </w:rPr>
      </w:pPr>
    </w:p>
    <w:p>
      <w:pPr>
        <w:ind w:right="120" w:firstLine="419"/>
        <w:spacing w:after="0" w:line="308"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Title to Real and Personal Property</w:t>
      </w:r>
      <w:r>
        <w:rPr>
          <w:rFonts w:ascii="Arial" w:cs="Arial" w:eastAsia="Arial" w:hAnsi="Arial"/>
          <w:sz w:val="17"/>
          <w:szCs w:val="17"/>
          <w:color w:val="auto"/>
        </w:rPr>
        <w:t>. The Company and its subsidiaries own or lease all such real and personal property necessary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of their respective businesses, except as would not reasonably be expected to have a Material Adverse Effect.</w:t>
      </w:r>
    </w:p>
    <w:p>
      <w:pPr>
        <w:spacing w:after="0" w:line="38" w:lineRule="exact"/>
        <w:rPr>
          <w:rFonts w:ascii="Arial" w:cs="Arial" w:eastAsia="Arial" w:hAnsi="Arial"/>
          <w:sz w:val="17"/>
          <w:szCs w:val="17"/>
          <w:color w:val="auto"/>
        </w:rPr>
      </w:pPr>
    </w:p>
    <w:p>
      <w:pPr>
        <w:ind w:firstLine="419"/>
        <w:spacing w:after="0" w:line="291"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would not, individually or in the aggregate, reasonably be expected to have a Material Adverse Effect</w:t>
      </w:r>
      <w:r>
        <w:rPr>
          <w:rFonts w:ascii="Arial" w:cs="Arial" w:eastAsia="Arial" w:hAnsi="Arial"/>
          <w:sz w:val="16"/>
          <w:szCs w:val="16"/>
          <w:i w:val="1"/>
          <w:iCs w:val="1"/>
          <w:color w:val="auto"/>
        </w:rPr>
        <w:t xml:space="preserve"> </w:t>
      </w:r>
      <w:r>
        <w:rPr>
          <w:rFonts w:ascii="Arial" w:cs="Arial" w:eastAsia="Arial" w:hAnsi="Arial"/>
          <w:sz w:val="16"/>
          <w:szCs w:val="16"/>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58" w:lineRule="exact"/>
        <w:rPr>
          <w:rFonts w:ascii="Arial" w:cs="Arial" w:eastAsia="Arial" w:hAnsi="Arial"/>
          <w:sz w:val="16"/>
          <w:szCs w:val="16"/>
          <w:color w:val="auto"/>
        </w:rPr>
      </w:pPr>
    </w:p>
    <w:p>
      <w:pPr>
        <w:ind w:right="100" w:firstLine="419"/>
        <w:spacing w:after="0" w:line="259" w:lineRule="auto"/>
        <w:tabs>
          <w:tab w:leader="none" w:pos="71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420" w:firstLine="419"/>
        <w:spacing w:after="0" w:line="279"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after giving effect to the offer and sale of the Shares and the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therefrom as described under “Use of Proceeds” in each of the Registration Statement, the Pricing Disclosure Package and the Prospectus will not be an “investment company” within the meaning of the Investment Company Act of 1940, as amended, and the rules and regulations of the Commission thereunder (collectively, the “Investment Company Act”).</w:t>
      </w:r>
    </w:p>
    <w:p>
      <w:pPr>
        <w:spacing w:after="0" w:line="63" w:lineRule="exact"/>
        <w:rPr>
          <w:rFonts w:ascii="Arial" w:cs="Arial" w:eastAsia="Arial" w:hAnsi="Arial"/>
          <w:sz w:val="17"/>
          <w:szCs w:val="17"/>
          <w:color w:val="auto"/>
        </w:rPr>
      </w:pPr>
    </w:p>
    <w:p>
      <w:pPr>
        <w:ind w:right="300" w:firstLine="419"/>
        <w:spacing w:after="0" w:line="263"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Except, in each case, as would not have a Material Adverse Effect, (i) the Company and its subsidiaries have filed all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and foreign tax returns required to be filed by them through the date hereof, subject to permitted extensions, and have paid all taxes required to be paid by them, to the extent that any 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19" w:name="page20"/>
    <w:bookmarkEnd w:id="19"/>
    <w:p>
      <w:pPr>
        <w:jc w:val="both"/>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41" w:lineRule="exact"/>
        <w:rPr>
          <w:sz w:val="20"/>
          <w:szCs w:val="20"/>
          <w:color w:val="auto"/>
        </w:rPr>
      </w:pPr>
    </w:p>
    <w:p>
      <w:pPr>
        <w:ind w:left="660" w:hanging="241"/>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each of its subsidiaries have such permits, licenses, approvals, clearances, exemptions,</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62" w:lineRule="exact"/>
        <w:rPr>
          <w:sz w:val="20"/>
          <w:szCs w:val="20"/>
          <w:color w:val="auto"/>
        </w:rPr>
      </w:pPr>
    </w:p>
    <w:p>
      <w:pPr>
        <w:ind w:right="140" w:firstLine="419"/>
        <w:spacing w:after="0" w:line="259" w:lineRule="auto"/>
        <w:tabs>
          <w:tab w:leader="none" w:pos="747"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Except as would not have a Material Adverse Effect, no labor disturbance by or dispute with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8" w:lineRule="exact"/>
        <w:rPr>
          <w:rFonts w:ascii="Arial" w:cs="Arial" w:eastAsia="Arial" w:hAnsi="Arial"/>
          <w:sz w:val="18"/>
          <w:szCs w:val="18"/>
          <w:color w:val="auto"/>
        </w:rPr>
      </w:pPr>
    </w:p>
    <w:p>
      <w:pPr>
        <w:ind w:right="80" w:firstLine="419"/>
        <w:spacing w:after="0" w:line="287" w:lineRule="auto"/>
        <w:tabs>
          <w:tab w:leader="none" w:pos="76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Certain Environmental Matters</w:t>
      </w:r>
      <w:r>
        <w:rPr>
          <w:rFonts w:ascii="Arial" w:cs="Arial" w:eastAsia="Arial" w:hAnsi="Arial"/>
          <w:sz w:val="16"/>
          <w:szCs w:val="16"/>
          <w:color w:val="auto"/>
        </w:rPr>
        <w:t>. Except as described in each of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 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comply, or failure to receive, or cost or liability, as would not, individually or in the aggregate, have a Material Adverse Effect; and</w:t>
      </w:r>
    </w:p>
    <w:p>
      <w:pPr>
        <w:spacing w:after="0" w:line="35" w:lineRule="exact"/>
        <w:rPr>
          <w:sz w:val="20"/>
          <w:szCs w:val="20"/>
          <w:color w:val="auto"/>
        </w:rPr>
      </w:pPr>
    </w:p>
    <w:p>
      <w:pPr>
        <w:ind w:left="4" w:right="40" w:hanging="4"/>
        <w:spacing w:after="0" w:line="270" w:lineRule="auto"/>
        <w:tabs>
          <w:tab w:leader="none" w:pos="3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$300,000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70" w:lineRule="exact"/>
        <w:rPr>
          <w:rFonts w:ascii="Arial" w:cs="Arial" w:eastAsia="Arial" w:hAnsi="Arial"/>
          <w:sz w:val="17"/>
          <w:szCs w:val="17"/>
          <w:color w:val="auto"/>
        </w:rPr>
      </w:pPr>
    </w:p>
    <w:p>
      <w:pPr>
        <w:ind w:left="4" w:firstLine="419"/>
        <w:spacing w:after="0" w:line="267" w:lineRule="auto"/>
        <w:tabs>
          <w:tab w:leader="none" w:pos="751"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ERISA. </w:t>
      </w:r>
      <w:r>
        <w:rPr>
          <w:rFonts w:ascii="Arial" w:cs="Arial" w:eastAsia="Arial" w:hAnsi="Arial"/>
          <w:sz w:val="17"/>
          <w:szCs w:val="17"/>
          <w:color w:val="auto"/>
        </w:rPr>
        <w:t>Except, in each case, as would not have a Material Adverse Effect or as described in each of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(iv) each Plan that is intended to be qualified under Section 401(a) of the Code is so qualified and nothing has occurred, whether by action or by failure to act, which would cause the loss of such qualification; and (v) with respect to (A) each employee 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57" w:lineRule="exact"/>
        <w:rPr>
          <w:sz w:val="20"/>
          <w:szCs w:val="20"/>
          <w:color w:val="auto"/>
        </w:rPr>
      </w:pPr>
    </w:p>
    <w:p>
      <w:pPr>
        <w:ind w:firstLine="419"/>
        <w:spacing w:after="0" w:line="255" w:lineRule="auto"/>
        <w:tabs>
          <w:tab w:leader="none" w:pos="76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and its subsidiaries maintain a system of “disclosure controls and procedures” (as defined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84" w:lineRule="exact"/>
        <w:rPr>
          <w:rFonts w:ascii="Arial" w:cs="Arial" w:eastAsia="Arial" w:hAnsi="Arial"/>
          <w:sz w:val="18"/>
          <w:szCs w:val="18"/>
          <w:color w:val="auto"/>
        </w:rPr>
      </w:pPr>
    </w:p>
    <w:p>
      <w:pPr>
        <w:ind w:right="60" w:firstLine="419"/>
        <w:spacing w:after="0" w:line="286" w:lineRule="auto"/>
        <w:tabs>
          <w:tab w:leader="none" w:pos="74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2" w:name="page23"/>
    <w:bookmarkEnd w:id="22"/>
    <w:p>
      <w:pPr>
        <w:ind w:right="140" w:firstLine="419"/>
        <w:spacing w:after="0" w:line="342" w:lineRule="auto"/>
        <w:tabs>
          <w:tab w:leader="none" w:pos="704"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Insurance. </w:t>
      </w:r>
      <w:r>
        <w:rPr>
          <w:rFonts w:ascii="Arial" w:cs="Arial" w:eastAsia="Arial" w:hAnsi="Arial"/>
          <w:sz w:val="16"/>
          <w:szCs w:val="16"/>
          <w:color w:val="auto"/>
        </w:rPr>
        <w:t>The Company and its subsidiaries, taken as a whole, are insured against such losses and risks and in such amounts as are,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reasonable judgment of the Company, prudent and customary in the businesses in which they are engaged or as required by law.</w:t>
      </w:r>
    </w:p>
    <w:p>
      <w:pPr>
        <w:spacing w:after="0" w:line="15" w:lineRule="exact"/>
        <w:rPr>
          <w:rFonts w:ascii="Arial" w:cs="Arial" w:eastAsia="Arial" w:hAnsi="Arial"/>
          <w:sz w:val="16"/>
          <w:szCs w:val="16"/>
          <w:color w:val="auto"/>
        </w:rPr>
      </w:pPr>
    </w:p>
    <w:p>
      <w:pPr>
        <w:ind w:right="40" w:firstLine="419"/>
        <w:spacing w:after="0" w:line="285" w:lineRule="auto"/>
        <w:tabs>
          <w:tab w:leader="none" w:pos="76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Except as would not, individually or in the aggregate, reasonably be expected to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w:t>
      </w:r>
    </w:p>
    <w:p>
      <w:pPr>
        <w:spacing w:after="0" w:line="68" w:lineRule="exact"/>
        <w:rPr>
          <w:rFonts w:ascii="Arial" w:cs="Arial" w:eastAsia="Arial" w:hAnsi="Arial"/>
          <w:sz w:val="16"/>
          <w:szCs w:val="16"/>
          <w:color w:val="auto"/>
        </w:rPr>
      </w:pPr>
    </w:p>
    <w:p>
      <w:pPr>
        <w:ind w:firstLine="419"/>
        <w:spacing w:after="0" w:line="272" w:lineRule="auto"/>
        <w:tabs>
          <w:tab w:leader="none" w:pos="76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3" w:name="page24"/>
    <w:bookmarkEnd w:id="2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69" w:lineRule="exact"/>
        <w:rPr>
          <w:sz w:val="20"/>
          <w:szCs w:val="20"/>
          <w:color w:val="auto"/>
        </w:rPr>
      </w:pPr>
    </w:p>
    <w:p>
      <w:pPr>
        <w:ind w:right="140" w:firstLine="419"/>
        <w:spacing w:after="0" w:line="255" w:lineRule="auto"/>
        <w:tabs>
          <w:tab w:leader="none" w:pos="68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Compliance with Anti-Money Laundering Laws and Cannabis Laws</w:t>
      </w:r>
      <w:r>
        <w:rPr>
          <w:rFonts w:ascii="Arial" w:cs="Arial" w:eastAsia="Arial" w:hAnsi="Arial"/>
          <w:sz w:val="18"/>
          <w:szCs w:val="18"/>
          <w:color w:val="auto"/>
        </w:rPr>
        <w:t>. In the past five years, the operations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84"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 xml:space="preserve">The operations of the Company and its subsidiaries are and have been conducted for each of the last three years (i) in compliance with the Controlled Substances Act (21 U.S.C. § 801 </w:t>
      </w:r>
      <w:r>
        <w:rPr>
          <w:rFonts w:ascii="Arial" w:cs="Arial" w:eastAsia="Arial" w:hAnsi="Arial"/>
          <w:sz w:val="18"/>
          <w:szCs w:val="18"/>
          <w:i w:val="1"/>
          <w:iCs w:val="1"/>
          <w:color w:val="auto"/>
        </w:rPr>
        <w:t>et seq</w:t>
      </w:r>
      <w:r>
        <w:rPr>
          <w:rFonts w:ascii="Arial" w:cs="Arial" w:eastAsia="Arial" w:hAnsi="Arial"/>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80" w:lineRule="exact"/>
        <w:rPr>
          <w:sz w:val="20"/>
          <w:szCs w:val="20"/>
          <w:color w:val="auto"/>
        </w:rPr>
      </w:pPr>
    </w:p>
    <w:p>
      <w:pPr>
        <w:ind w:right="140" w:firstLine="423"/>
        <w:spacing w:after="0" w:line="263" w:lineRule="auto"/>
        <w:rPr>
          <w:sz w:val="20"/>
          <w:szCs w:val="20"/>
          <w:color w:val="auto"/>
        </w:rPr>
      </w:pPr>
      <w:r>
        <w:rPr>
          <w:rFonts w:ascii="Arial" w:cs="Arial" w:eastAsia="Arial" w:hAnsi="Arial"/>
          <w:sz w:val="18"/>
          <w:szCs w:val="18"/>
          <w:color w:val="auto"/>
        </w:rPr>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76" w:lineRule="exact"/>
        <w:rPr>
          <w:sz w:val="20"/>
          <w:szCs w:val="20"/>
          <w:color w:val="auto"/>
        </w:rPr>
      </w:pPr>
    </w:p>
    <w:p>
      <w:pPr>
        <w:ind w:right="400" w:firstLine="423"/>
        <w:spacing w:after="0" w:line="277" w:lineRule="auto"/>
        <w:rPr>
          <w:sz w:val="20"/>
          <w:szCs w:val="20"/>
          <w:color w:val="auto"/>
        </w:rPr>
      </w:pPr>
      <w:r>
        <w:rPr>
          <w:rFonts w:ascii="Arial" w:cs="Arial" w:eastAsia="Arial" w:hAnsi="Arial"/>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62" w:lineRule="exact"/>
        <w:rPr>
          <w:sz w:val="20"/>
          <w:szCs w:val="20"/>
          <w:color w:val="auto"/>
        </w:rPr>
      </w:pPr>
    </w:p>
    <w:p>
      <w:pPr>
        <w:ind w:right="60" w:firstLine="419"/>
        <w:spacing w:after="0" w:line="275" w:lineRule="auto"/>
        <w:tabs>
          <w:tab w:leader="none" w:pos="688"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nor any directors or officers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Her Majesty’s Treasury of the United Kingdom or Canada (collectively, “Sanctions”) (“Sanctioned</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4" w:name="page25"/>
    <w:bookmarkEnd w:id="2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or (ii) located, organized or resident in a country or territory that is the subject or target of Sanctions that broadly prohibit dealings with such country or territory (currently, Crimea,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58" w:lineRule="exact"/>
        <w:rPr>
          <w:sz w:val="20"/>
          <w:szCs w:val="20"/>
          <w:color w:val="auto"/>
        </w:rPr>
      </w:pPr>
    </w:p>
    <w:p>
      <w:pPr>
        <w:ind w:firstLine="419"/>
        <w:spacing w:after="0" w:line="257" w:lineRule="auto"/>
        <w:tabs>
          <w:tab w:leader="none" w:pos="76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excluding any joint venture, is currently prohibited,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9" w:lineRule="exact"/>
        <w:rPr>
          <w:rFonts w:ascii="Arial" w:cs="Arial" w:eastAsia="Arial" w:hAnsi="Arial"/>
          <w:sz w:val="18"/>
          <w:szCs w:val="18"/>
          <w:color w:val="auto"/>
        </w:rPr>
      </w:pPr>
    </w:p>
    <w:p>
      <w:pPr>
        <w:jc w:val="both"/>
        <w:ind w:right="480" w:firstLine="419"/>
        <w:spacing w:after="0" w:line="263" w:lineRule="auto"/>
        <w:tabs>
          <w:tab w:leader="none" w:pos="68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ind w:right="220" w:firstLine="419"/>
        <w:spacing w:after="0" w:line="286" w:lineRule="auto"/>
        <w:tabs>
          <w:tab w:leader="none" w:pos="86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by reason of the filing of the Registration Statement with the Commission or the issuance and sale of the Shares except for such rights that are described in the Registration Statement, the Pricing Disclosure Package and the Prospectus.</w:t>
      </w:r>
    </w:p>
    <w:p>
      <w:pPr>
        <w:spacing w:after="0" w:line="57" w:lineRule="exact"/>
        <w:rPr>
          <w:rFonts w:ascii="Arial" w:cs="Arial" w:eastAsia="Arial" w:hAnsi="Arial"/>
          <w:sz w:val="17"/>
          <w:szCs w:val="17"/>
          <w:color w:val="auto"/>
        </w:rPr>
      </w:pPr>
    </w:p>
    <w:p>
      <w:pPr>
        <w:ind w:right="20" w:firstLine="419"/>
        <w:spacing w:after="0" w:line="286" w:lineRule="auto"/>
        <w:tabs>
          <w:tab w:leader="none" w:pos="76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any of its affiliates has taken or will take, directly or indirectly, without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5" w:name="page26"/>
    <w:bookmarkEnd w:id="25"/>
    <w:p>
      <w:pPr>
        <w:jc w:val="both"/>
        <w:ind w:right="20" w:firstLine="419"/>
        <w:spacing w:after="0" w:line="263"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and market-related data included in each of the Registration Statement, the Pricing Disclosure Package and the Prospectus is not based on or derived from sources that are reasonably reliable and accurate in all material respects.</w:t>
      </w:r>
    </w:p>
    <w:p>
      <w:pPr>
        <w:spacing w:after="0" w:line="75" w:lineRule="exact"/>
        <w:rPr>
          <w:rFonts w:ascii="Arial" w:cs="Arial" w:eastAsia="Arial" w:hAnsi="Arial"/>
          <w:sz w:val="18"/>
          <w:szCs w:val="18"/>
          <w:color w:val="auto"/>
        </w:rPr>
      </w:pPr>
    </w:p>
    <w:p>
      <w:pPr>
        <w:ind w:right="20" w:firstLine="419"/>
        <w:spacing w:after="0" w:line="259" w:lineRule="auto"/>
        <w:tabs>
          <w:tab w:leader="none" w:pos="76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40" w:firstLine="419"/>
        <w:spacing w:after="0" w:line="311" w:lineRule="auto"/>
        <w:tabs>
          <w:tab w:leader="none" w:pos="70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 earliest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40" w:lineRule="exact"/>
        <w:rPr>
          <w:rFonts w:ascii="Arial" w:cs="Arial" w:eastAsia="Arial" w:hAnsi="Arial"/>
          <w:sz w:val="16"/>
          <w:szCs w:val="16"/>
          <w:color w:val="auto"/>
        </w:rPr>
      </w:pPr>
    </w:p>
    <w:p>
      <w:pPr>
        <w:ind w:firstLine="419"/>
        <w:spacing w:after="0" w:line="268" w:lineRule="auto"/>
        <w:tabs>
          <w:tab w:leader="none" w:pos="728"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Healthcare Laws. </w:t>
      </w:r>
      <w:r>
        <w:rPr>
          <w:rFonts w:ascii="Arial" w:cs="Arial" w:eastAsia="Arial" w:hAnsi="Arial"/>
          <w:sz w:val="17"/>
          <w:szCs w:val="17"/>
          <w:color w:val="auto"/>
        </w:rPr>
        <w:t>In the past three years, the Company and its subsidiaries (i) are and at all times have been in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6" w:name="page27"/>
    <w:bookmarkEnd w:id="26"/>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In the past three years, the Company has complied with DEA instructions with respect to the irradiation of cannabis in the United States, including cannabis that meets the definition of “marihuana” under 21 U.S.C. § 802(16).</w:t>
      </w:r>
    </w:p>
    <w:p>
      <w:pPr>
        <w:spacing w:after="0" w:line="69" w:lineRule="exact"/>
        <w:rPr>
          <w:sz w:val="20"/>
          <w:szCs w:val="20"/>
          <w:color w:val="auto"/>
        </w:rPr>
      </w:pPr>
    </w:p>
    <w:p>
      <w:pPr>
        <w:ind w:left="4" w:right="20" w:firstLine="419"/>
        <w:spacing w:after="0" w:line="287" w:lineRule="auto"/>
        <w:tabs>
          <w:tab w:leader="none" w:pos="691"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Tests and Studies</w:t>
      </w:r>
      <w:r>
        <w:rPr>
          <w:rFonts w:ascii="Arial" w:cs="Arial" w:eastAsia="Arial" w:hAnsi="Arial"/>
          <w:sz w:val="16"/>
          <w:szCs w:val="16"/>
          <w:color w:val="auto"/>
        </w:rPr>
        <w:t>. (i) The tests and studies conducted by or on behalf of or sponsored by the Company or its subsidiaries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were and, if still ongoing, are being conducted in accordance with experimental protocols, procedures and controls (giving effect to procedures and controls in place for the remediation of deficiencies including quality control systems designed to identify and address deficiencies) pursuant to accepted professional scientific standards and all applicable Food and Drug Laws and Authorizations of the jurisdiction in which such Studies are being conducted; and (ii) the Company and its subsidiaries have not received any written notices, correspondence or other communications from the FDA, HHS, DEA or DOJ or any governmental or regulatory authority requiring or threatening the termination or suspension of any Studies or with respect to the performance of such Studies, except for such notices, correspondence or communications that have been resolved as of the date hereof or as 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63" w:lineRule="exact"/>
        <w:rPr>
          <w:rFonts w:ascii="Arial" w:cs="Arial" w:eastAsia="Arial" w:hAnsi="Arial"/>
          <w:sz w:val="16"/>
          <w:szCs w:val="16"/>
          <w:color w:val="auto"/>
        </w:rPr>
      </w:pPr>
    </w:p>
    <w:p>
      <w:pPr>
        <w:ind w:left="184" w:hanging="184"/>
        <w:spacing w:after="0"/>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 w:right="60" w:firstLine="419"/>
        <w:spacing w:after="0" w:line="255" w:lineRule="auto"/>
        <w:tabs>
          <w:tab w:leader="none" w:pos="671"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Representatives) in such quantities as the Representatives may reasonably request.</w:t>
      </w:r>
    </w:p>
    <w:p>
      <w:pPr>
        <w:spacing w:after="0" w:line="1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4"/>
          </w:cols>
          <w:pgMar w:left="876" w:top="274" w:right="479" w:bottom="1440" w:gutter="0" w:footer="0" w:header="0"/>
        </w:sectPr>
      </w:pPr>
    </w:p>
    <w:bookmarkStart w:id="27" w:name="page28"/>
    <w:bookmarkEnd w:id="27"/>
    <w:p>
      <w:pPr>
        <w:ind w:left="4" w:firstLine="419"/>
        <w:spacing w:after="0" w:line="271" w:lineRule="auto"/>
        <w:tabs>
          <w:tab w:leader="none" w:pos="681"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Delivery of Copies. </w:t>
      </w:r>
      <w:r>
        <w:rPr>
          <w:rFonts w:ascii="Arial" w:cs="Arial" w:eastAsia="Arial" w:hAnsi="Arial"/>
          <w:sz w:val="17"/>
          <w:szCs w:val="17"/>
          <w:color w:val="auto"/>
        </w:rPr>
        <w:t>The Company will deliver, without charge, (i) to the Representatives, two signed copies of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upon request of the Representatives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0" w:lineRule="exact"/>
        <w:rPr>
          <w:rFonts w:ascii="Arial" w:cs="Arial" w:eastAsia="Arial" w:hAnsi="Arial"/>
          <w:sz w:val="17"/>
          <w:szCs w:val="17"/>
          <w:color w:val="auto"/>
        </w:rPr>
      </w:pPr>
    </w:p>
    <w:p>
      <w:pPr>
        <w:ind w:left="4" w:right="60" w:firstLine="419"/>
        <w:spacing w:after="0" w:line="296" w:lineRule="auto"/>
        <w:tabs>
          <w:tab w:leader="none" w:pos="67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53" w:lineRule="exact"/>
        <w:rPr>
          <w:rFonts w:ascii="Arial" w:cs="Arial" w:eastAsia="Arial" w:hAnsi="Arial"/>
          <w:sz w:val="16"/>
          <w:szCs w:val="16"/>
          <w:color w:val="auto"/>
        </w:rPr>
      </w:pPr>
    </w:p>
    <w:p>
      <w:pPr>
        <w:ind w:left="4" w:right="140" w:firstLine="419"/>
        <w:spacing w:after="0" w:line="291" w:lineRule="auto"/>
        <w:tabs>
          <w:tab w:leader="none" w:pos="68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has become effective; (ii) when any amendment to the Registration Statement has been filed or becomes effective;</w:t>
      </w: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when any supplement to the Pricing Disclosure Package, the Prospectus, any Issuer Free Writing Prospectus or any Written</w:t>
      </w:r>
    </w:p>
    <w:p>
      <w:pPr>
        <w:spacing w:after="0" w:line="9"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79" w:lineRule="exact"/>
        <w:rPr>
          <w:sz w:val="20"/>
          <w:szCs w:val="20"/>
          <w:color w:val="auto"/>
        </w:rPr>
      </w:pPr>
    </w:p>
    <w:p>
      <w:pPr>
        <w:ind w:firstLine="419"/>
        <w:spacing w:after="0" w:line="285" w:lineRule="auto"/>
        <w:tabs>
          <w:tab w:leader="none" w:pos="66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68" w:lineRule="exact"/>
        <w:rPr>
          <w:rFonts w:ascii="Arial" w:cs="Arial" w:eastAsia="Arial" w:hAnsi="Arial"/>
          <w:sz w:val="16"/>
          <w:szCs w:val="16"/>
          <w:color w:val="auto"/>
        </w:rPr>
      </w:pPr>
    </w:p>
    <w:p>
      <w:pPr>
        <w:ind w:firstLine="419"/>
        <w:spacing w:after="0" w:line="255"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its reasonable best efforts, in cooperation with the Representatives, to qualify the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9" w:name="page30"/>
    <w:bookmarkEnd w:id="29"/>
    <w:p>
      <w:pPr>
        <w:ind w:right="100" w:firstLine="419"/>
        <w:spacing w:after="0" w:line="296" w:lineRule="auto"/>
        <w:tabs>
          <w:tab w:leader="none" w:pos="67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3" w:lineRule="exact"/>
        <w:rPr>
          <w:rFonts w:ascii="Arial" w:cs="Arial" w:eastAsia="Arial" w:hAnsi="Arial"/>
          <w:sz w:val="16"/>
          <w:szCs w:val="16"/>
          <w:color w:val="auto"/>
        </w:rPr>
      </w:pPr>
    </w:p>
    <w:p>
      <w:pPr>
        <w:ind w:firstLine="419"/>
        <w:spacing w:after="0" w:line="289" w:lineRule="auto"/>
        <w:tabs>
          <w:tab w:leader="none" w:pos="67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Company will not (i) offer, pledge, sell, contract to sell, sell</w:t>
      </w:r>
      <w:r>
        <w:rPr>
          <w:rFonts w:ascii="Arial" w:cs="Arial" w:eastAsia="Arial" w:hAnsi="Arial"/>
          <w:sz w:val="16"/>
          <w:szCs w:val="16"/>
          <w:i w:val="1"/>
          <w:iCs w:val="1"/>
          <w:color w:val="auto"/>
        </w:rPr>
        <w:t xml:space="preserve"> </w:t>
      </w:r>
      <w:r>
        <w:rPr>
          <w:rFonts w:ascii="Arial" w:cs="Arial" w:eastAsia="Arial" w:hAnsi="Arial"/>
          <w:sz w:val="16"/>
          <w:szCs w:val="16"/>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Stock or any securities convertible into or exercisable or exchangeable for Stock, or publicly disclose the intention to undertake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written notice to the Representatives at least two business days prior to any confidential or non-public submission of a registration statement described in this clause (i)),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on behalf of the Underwriters, other than the Shares to be sold hereunder.</w:t>
      </w:r>
    </w:p>
    <w:p>
      <w:pPr>
        <w:spacing w:after="0" w:line="58" w:lineRule="exact"/>
        <w:rPr>
          <w:sz w:val="20"/>
          <w:szCs w:val="20"/>
          <w:color w:val="auto"/>
        </w:rPr>
      </w:pPr>
    </w:p>
    <w:p>
      <w:pPr>
        <w:ind w:right="80" w:firstLine="423"/>
        <w:spacing w:after="0" w:line="286" w:lineRule="auto"/>
        <w:rPr>
          <w:sz w:val="20"/>
          <w:szCs w:val="20"/>
          <w:color w:val="auto"/>
        </w:rPr>
      </w:pPr>
      <w:r>
        <w:rPr>
          <w:rFonts w:ascii="Arial" w:cs="Arial" w:eastAsia="Arial" w:hAnsi="Arial"/>
          <w:sz w:val="16"/>
          <w:szCs w:val="16"/>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recipients that are executive officers or directors of the Company enter into a lock-up agreement with the Underwriters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(iii) entry into one or more agreements 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30" w:name="page31"/>
    <w:bookmarkEnd w:id="30"/>
    <w:p>
      <w:pPr>
        <w:ind w:right="2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J.P. Morgan Securities LLC, on behalf of the Underwriters, agrees to release or waive the restrictions set forth in a lock-up letter described in Section 6(m) hereof for an officer or director of the Company and provides the Company with notice of the impending release or waiver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least three business days before the effective date of the release or waiver, the Company agrees to announce the impending release or waiver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80" w:lineRule="exact"/>
        <w:rPr>
          <w:sz w:val="20"/>
          <w:szCs w:val="20"/>
          <w:color w:val="auto"/>
        </w:rPr>
      </w:pPr>
    </w:p>
    <w:p>
      <w:pPr>
        <w:ind w:firstLine="419"/>
        <w:spacing w:after="0" w:line="277" w:lineRule="auto"/>
        <w:tabs>
          <w:tab w:leader="none" w:pos="63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under the heading “Use of Proceeds.”</w:t>
      </w:r>
    </w:p>
    <w:p>
      <w:pPr>
        <w:spacing w:after="0" w:line="62" w:lineRule="exact"/>
        <w:rPr>
          <w:rFonts w:ascii="Arial" w:cs="Arial" w:eastAsia="Arial" w:hAnsi="Arial"/>
          <w:sz w:val="18"/>
          <w:szCs w:val="18"/>
          <w:color w:val="auto"/>
        </w:rPr>
      </w:pPr>
    </w:p>
    <w:p>
      <w:pPr>
        <w:ind w:right="80" w:firstLine="419"/>
        <w:spacing w:after="0" w:line="308" w:lineRule="auto"/>
        <w:tabs>
          <w:tab w:leader="none" w:pos="638"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will not take, directly or indirectly, without giving effect to the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Stock.</w:t>
      </w:r>
    </w:p>
    <w:p>
      <w:pPr>
        <w:spacing w:after="0" w:line="38" w:lineRule="exact"/>
        <w:rPr>
          <w:rFonts w:ascii="Arial" w:cs="Arial" w:eastAsia="Arial" w:hAnsi="Arial"/>
          <w:sz w:val="17"/>
          <w:szCs w:val="17"/>
          <w:color w:val="auto"/>
        </w:rPr>
      </w:pPr>
    </w:p>
    <w:p>
      <w:pPr>
        <w:ind w:right="160" w:firstLine="419"/>
        <w:spacing w:after="0" w:line="277" w:lineRule="auto"/>
        <w:tabs>
          <w:tab w:leader="none" w:pos="6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its reasonable best efforts to list for quotation the Shares on the Nasdaq Global Select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Market”).</w:t>
      </w:r>
    </w:p>
    <w:p>
      <w:pPr>
        <w:spacing w:after="0" w:line="62" w:lineRule="exact"/>
        <w:rPr>
          <w:rFonts w:ascii="Arial" w:cs="Arial" w:eastAsia="Arial" w:hAnsi="Arial"/>
          <w:sz w:val="18"/>
          <w:szCs w:val="18"/>
          <w:color w:val="auto"/>
        </w:rPr>
      </w:pPr>
    </w:p>
    <w:p>
      <w:pPr>
        <w:ind w:right="120" w:firstLine="419"/>
        <w:spacing w:after="0" w:line="301" w:lineRule="auto"/>
        <w:tabs>
          <w:tab w:leader="none" w:pos="638"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Reports. </w:t>
      </w:r>
      <w:r>
        <w:rPr>
          <w:rFonts w:ascii="Arial" w:cs="Arial" w:eastAsia="Arial" w:hAnsi="Arial"/>
          <w:sz w:val="16"/>
          <w:szCs w:val="16"/>
          <w:color w:val="auto"/>
        </w:rPr>
        <w:t>For a period of two years from the date of this Agreement, the Company will furnish to the Representatives, as soon as they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will be deemed to have furnished such reports and financial statements to the Representatives to the extent they are filed on EDGAR.</w:t>
      </w:r>
    </w:p>
    <w:p>
      <w:pPr>
        <w:spacing w:after="0" w:line="49" w:lineRule="exact"/>
        <w:rPr>
          <w:rFonts w:ascii="Arial" w:cs="Arial" w:eastAsia="Arial" w:hAnsi="Arial"/>
          <w:sz w:val="16"/>
          <w:szCs w:val="16"/>
          <w:color w:val="auto"/>
        </w:rPr>
      </w:pPr>
    </w:p>
    <w:p>
      <w:pPr>
        <w:ind w:right="440" w:firstLine="419"/>
        <w:spacing w:after="0" w:line="308" w:lineRule="auto"/>
        <w:tabs>
          <w:tab w:leader="none" w:pos="728"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jc w:val="both"/>
        <w:ind w:right="120" w:firstLine="419"/>
        <w:spacing w:after="0" w:line="263" w:lineRule="auto"/>
        <w:tabs>
          <w:tab w:leader="none" w:pos="67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180-day restricted period referred to in Section 4(h) hereof.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31" w:name="page32"/>
    <w:bookmarkEnd w:id="31"/>
    <w:p>
      <w:pPr>
        <w:ind w:left="520" w:hanging="18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340" w:right="20" w:firstLine="419"/>
        <w:spacing w:after="0" w:line="271" w:lineRule="auto"/>
        <w:tabs>
          <w:tab w:leader="none" w:pos="1008" w:val="left"/>
        </w:tabs>
        <w:numPr>
          <w:ilvl w:val="1"/>
          <w:numId w:val="36"/>
        </w:numPr>
        <w:rPr>
          <w:rFonts w:ascii="Arial" w:cs="Arial" w:eastAsia="Arial" w:hAnsi="Arial"/>
          <w:sz w:val="17"/>
          <w:szCs w:val="17"/>
          <w:color w:val="auto"/>
        </w:rPr>
      </w:pPr>
      <w:r>
        <w:rPr>
          <w:rFonts w:ascii="Arial" w:cs="Arial" w:eastAsia="Arial" w:hAnsi="Arial"/>
          <w:sz w:val="17"/>
          <w:szCs w:val="17"/>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70" w:lineRule="exact"/>
        <w:rPr>
          <w:rFonts w:ascii="Arial" w:cs="Arial" w:eastAsia="Arial" w:hAnsi="Arial"/>
          <w:sz w:val="17"/>
          <w:szCs w:val="17"/>
          <w:color w:val="auto"/>
        </w:rPr>
      </w:pPr>
    </w:p>
    <w:p>
      <w:pPr>
        <w:ind w:left="340" w:firstLine="419"/>
        <w:spacing w:after="0" w:line="277" w:lineRule="auto"/>
        <w:tabs>
          <w:tab w:leader="none" w:pos="10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62" w:lineRule="exact"/>
        <w:rPr>
          <w:rFonts w:ascii="Arial" w:cs="Arial" w:eastAsia="Arial" w:hAnsi="Arial"/>
          <w:sz w:val="18"/>
          <w:szCs w:val="18"/>
          <w:color w:val="auto"/>
        </w:rPr>
      </w:pPr>
    </w:p>
    <w:p>
      <w:pPr>
        <w:ind w:left="340" w:right="60" w:firstLine="419"/>
        <w:spacing w:after="0" w:line="277"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ind w:left="-100" w:firstLine="436"/>
        <w:spacing w:after="0" w:line="263"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Closing Date or Additional Closing Date, as the case may be, as provided herein is subject to the performance by the Company of its covenants and other obligations hereunder and to the following additional conditions:</w:t>
      </w:r>
    </w:p>
    <w:p>
      <w:pPr>
        <w:spacing w:after="0" w:line="75" w:lineRule="exact"/>
        <w:rPr>
          <w:rFonts w:ascii="Arial" w:cs="Arial" w:eastAsia="Arial" w:hAnsi="Arial"/>
          <w:sz w:val="18"/>
          <w:szCs w:val="18"/>
          <w:color w:val="auto"/>
        </w:rPr>
      </w:pPr>
    </w:p>
    <w:p>
      <w:pPr>
        <w:ind w:left="340" w:right="60" w:firstLine="419"/>
        <w:spacing w:after="0" w:line="296" w:lineRule="auto"/>
        <w:tabs>
          <w:tab w:leader="none" w:pos="100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53" w:lineRule="exact"/>
        <w:rPr>
          <w:rFonts w:ascii="Arial" w:cs="Arial" w:eastAsia="Arial" w:hAnsi="Arial"/>
          <w:sz w:val="16"/>
          <w:szCs w:val="16"/>
          <w:color w:val="auto"/>
        </w:rPr>
      </w:pPr>
    </w:p>
    <w:p>
      <w:pPr>
        <w:ind w:left="340" w:right="180" w:firstLine="419"/>
        <w:spacing w:after="0" w:line="259" w:lineRule="auto"/>
        <w:tabs>
          <w:tab w:leader="none" w:pos="1018"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left="340" w:right="40" w:firstLine="419"/>
        <w:spacing w:after="0" w:line="263" w:lineRule="auto"/>
        <w:tabs>
          <w:tab w:leader="none" w:pos="1007"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Applicable Time and (B) the execution and delivery of this Agreement, (i) no</w:t>
      </w:r>
      <w:r>
        <w:rPr>
          <w:rFonts w:ascii="Arial" w:cs="Arial" w:eastAsia="Arial" w:hAnsi="Arial"/>
          <w:sz w:val="18"/>
          <w:szCs w:val="18"/>
          <w:i w:val="1"/>
          <w:iCs w:val="1"/>
          <w:color w:val="auto"/>
        </w:rPr>
        <w:t xml:space="preserve"> </w:t>
      </w:r>
      <w:r>
        <w:rPr>
          <w:rFonts w:ascii="Arial" w:cs="Arial" w:eastAsia="Arial" w:hAnsi="Arial"/>
          <w:sz w:val="18"/>
          <w:szCs w:val="18"/>
          <w:color w:val="auto"/>
        </w:rPr>
        <w:t>downgrading shall have occurred in the rating accorded any debt securities, convertible securities or preferred stock issued, or guaranteed by, the Company or any of its subsidiaries by any “nationally recognized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540" w:top="274" w:right="559" w:bottom="1440" w:gutter="0" w:footer="0" w:header="0"/>
        </w:sectPr>
      </w:pPr>
    </w:p>
    <w:bookmarkStart w:id="32" w:name="page33"/>
    <w:bookmarkEnd w:id="32"/>
    <w:p>
      <w:pPr>
        <w:ind w:left="4"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79" w:lineRule="exact"/>
        <w:rPr>
          <w:sz w:val="20"/>
          <w:szCs w:val="20"/>
          <w:color w:val="auto"/>
        </w:rPr>
      </w:pPr>
    </w:p>
    <w:p>
      <w:pPr>
        <w:ind w:left="4" w:right="60" w:firstLine="419"/>
        <w:spacing w:after="0" w:line="275" w:lineRule="auto"/>
        <w:tabs>
          <w:tab w:leader="none" w:pos="68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3(h) hereof shall have occurred or shall exist,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4" w:right="120" w:firstLine="419"/>
        <w:spacing w:after="0" w:line="285" w:lineRule="auto"/>
        <w:tabs>
          <w:tab w:leader="none" w:pos="671"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w:t>
      </w:r>
    </w:p>
    <w:p>
      <w:pPr>
        <w:spacing w:after="0" w:line="1" w:lineRule="exact"/>
        <w:rPr>
          <w:rFonts w:ascii="Arial" w:cs="Arial" w:eastAsia="Arial" w:hAnsi="Arial"/>
          <w:sz w:val="16"/>
          <w:szCs w:val="16"/>
          <w:color w:val="auto"/>
        </w:rPr>
      </w:pPr>
    </w:p>
    <w:p>
      <w:pPr>
        <w:ind w:left="4" w:right="20" w:hanging="4"/>
        <w:spacing w:after="0" w:line="302" w:lineRule="auto"/>
        <w:tabs>
          <w:tab w:leader="none" w:pos="2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(c) and (d) above.</w:t>
      </w:r>
    </w:p>
    <w:p>
      <w:pPr>
        <w:spacing w:after="0" w:line="47" w:lineRule="exact"/>
        <w:rPr>
          <w:rFonts w:ascii="Arial" w:cs="Arial" w:eastAsia="Arial" w:hAnsi="Arial"/>
          <w:sz w:val="16"/>
          <w:szCs w:val="16"/>
          <w:color w:val="auto"/>
        </w:rPr>
      </w:pPr>
    </w:p>
    <w:p>
      <w:pPr>
        <w:ind w:left="4" w:right="40" w:firstLine="419"/>
        <w:spacing w:after="0" w:line="272" w:lineRule="auto"/>
        <w:tabs>
          <w:tab w:leader="none" w:pos="651"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(i) On the date of this Agreement and on the Closing Date or the Additional Closing Date, as the case may be, Ernst &amp;</w:t>
      </w:r>
      <w:r>
        <w:rPr>
          <w:rFonts w:ascii="Arial" w:cs="Arial" w:eastAsia="Arial" w:hAnsi="Arial"/>
          <w:sz w:val="17"/>
          <w:szCs w:val="17"/>
          <w:i w:val="1"/>
          <w:iCs w:val="1"/>
          <w:color w:val="auto"/>
        </w:rPr>
        <w:t xml:space="preserve"> </w:t>
      </w:r>
      <w:r>
        <w:rPr>
          <w:rFonts w:ascii="Arial" w:cs="Arial" w:eastAsia="Arial" w:hAnsi="Arial"/>
          <w:sz w:val="17"/>
          <w:szCs w:val="17"/>
          <w:color w:val="auto"/>
        </w:rPr>
        <w:t>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69" w:lineRule="exact"/>
        <w:rPr>
          <w:sz w:val="20"/>
          <w:szCs w:val="20"/>
          <w:color w:val="auto"/>
        </w:rPr>
      </w:pPr>
    </w:p>
    <w:p>
      <w:pPr>
        <w:ind w:left="4" w:firstLine="419"/>
        <w:spacing w:after="0" w:line="279" w:lineRule="auto"/>
        <w:tabs>
          <w:tab w:leader="none" w:pos="691"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33" w:name="page34"/>
    <w:bookmarkEnd w:id="33"/>
    <w:p>
      <w:pPr>
        <w:ind w:firstLine="419"/>
        <w:spacing w:after="0" w:line="259"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and 10b-5 Statement of Counsel for the Company. </w:t>
      </w:r>
      <w:r>
        <w:rPr>
          <w:rFonts w:ascii="Arial" w:cs="Arial" w:eastAsia="Arial" w:hAnsi="Arial"/>
          <w:sz w:val="18"/>
          <w:szCs w:val="18"/>
          <w:color w:val="auto"/>
        </w:rPr>
        <w:t>Cleary Gottlieb Steen &amp; Hamilton LLP,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their written opinion and 10b-5 statement, dated the Closing Date or the Additional Closing Date, as the case may be, and addressed to the Underwriters, in form and substance reasonably satisfactory to the Representatives, to the effect set forth in Annex C-1 hereto.</w:t>
      </w:r>
    </w:p>
    <w:p>
      <w:pPr>
        <w:spacing w:after="0" w:line="78" w:lineRule="exact"/>
        <w:rPr>
          <w:rFonts w:ascii="Arial" w:cs="Arial" w:eastAsia="Arial" w:hAnsi="Arial"/>
          <w:sz w:val="18"/>
          <w:szCs w:val="18"/>
          <w:color w:val="auto"/>
        </w:rPr>
      </w:pPr>
    </w:p>
    <w:p>
      <w:pPr>
        <w:ind w:right="40" w:firstLine="419"/>
        <w:spacing w:after="0" w:line="259"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Opinion of General Counsel for the Company</w:t>
      </w:r>
      <w:r>
        <w:rPr>
          <w:rFonts w:ascii="Arial" w:cs="Arial" w:eastAsia="Arial" w:hAnsi="Arial"/>
          <w:sz w:val="18"/>
          <w:szCs w:val="18"/>
          <w:color w:val="auto"/>
        </w:rPr>
        <w:t>. Matthew J. Klaben, Senior Vice President and General Counsel to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furnished to the Representatives, at the request of the Company, his written opinion, dated the Closing Date or the Additional Closing Date, as the case may be, and addressed to the Underwriters, in form and substance reasonably satisfactory to the Representatives to the effect set forth in Annex C-2 hereto.</w:t>
      </w:r>
    </w:p>
    <w:p>
      <w:pPr>
        <w:spacing w:after="0" w:line="78" w:lineRule="exact"/>
        <w:rPr>
          <w:rFonts w:ascii="Arial" w:cs="Arial" w:eastAsia="Arial" w:hAnsi="Arial"/>
          <w:sz w:val="18"/>
          <w:szCs w:val="18"/>
          <w:color w:val="auto"/>
        </w:rPr>
      </w:pPr>
    </w:p>
    <w:p>
      <w:pPr>
        <w:ind w:right="20" w:firstLine="419"/>
        <w:spacing w:after="0" w:line="301" w:lineRule="auto"/>
        <w:tabs>
          <w:tab w:leader="none" w:pos="63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Closing Date, as the case may be, an opinion and 10b-5 statement, addressed to the Underwriters,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49" w:lineRule="exact"/>
        <w:rPr>
          <w:rFonts w:ascii="Arial" w:cs="Arial" w:eastAsia="Arial" w:hAnsi="Arial"/>
          <w:sz w:val="16"/>
          <w:szCs w:val="16"/>
          <w:color w:val="auto"/>
        </w:rPr>
      </w:pPr>
    </w:p>
    <w:p>
      <w:pPr>
        <w:ind w:right="20" w:firstLine="419"/>
        <w:spacing w:after="0" w:line="257" w:lineRule="auto"/>
        <w:tabs>
          <w:tab w:leader="none" w:pos="63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 Sale.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79" w:lineRule="exact"/>
        <w:rPr>
          <w:rFonts w:ascii="Arial" w:cs="Arial" w:eastAsia="Arial" w:hAnsi="Arial"/>
          <w:sz w:val="18"/>
          <w:szCs w:val="18"/>
          <w:color w:val="auto"/>
        </w:rPr>
      </w:pPr>
    </w:p>
    <w:p>
      <w:pPr>
        <w:ind w:firstLine="419"/>
        <w:spacing w:after="0" w:line="259" w:lineRule="auto"/>
        <w:tabs>
          <w:tab w:leader="none" w:pos="67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right="220" w:firstLine="419"/>
        <w:spacing w:after="0" w:line="277" w:lineRule="auto"/>
        <w:tabs>
          <w:tab w:leader="none" w:pos="63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0"/>
          </w:cols>
          <w:pgMar w:left="880" w:top="274" w:right="539" w:bottom="1440" w:gutter="0" w:footer="0" w:header="0"/>
        </w:sectPr>
      </w:pPr>
    </w:p>
    <w:bookmarkStart w:id="34" w:name="page35"/>
    <w:bookmarkEnd w:id="34"/>
    <w:p>
      <w:pPr>
        <w:ind w:left="440" w:right="20" w:firstLine="419"/>
        <w:spacing w:after="0" w:line="259"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Lock-up Agreements</w:t>
      </w:r>
      <w:r>
        <w:rPr>
          <w:rFonts w:ascii="Arial" w:cs="Arial" w:eastAsia="Arial" w:hAnsi="Arial"/>
          <w:sz w:val="18"/>
          <w:szCs w:val="18"/>
          <w:color w:val="auto"/>
        </w:rPr>
        <w:t>. The “lock-up” agreements,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between you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shareholders, executive officers and directors of the Company listed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78" w:lineRule="exact"/>
        <w:rPr>
          <w:rFonts w:ascii="Arial" w:cs="Arial" w:eastAsia="Arial" w:hAnsi="Arial"/>
          <w:sz w:val="18"/>
          <w:szCs w:val="18"/>
          <w:color w:val="auto"/>
        </w:rPr>
      </w:pPr>
    </w:p>
    <w:p>
      <w:pPr>
        <w:ind w:left="440" w:right="440" w:firstLine="419"/>
        <w:spacing w:after="0" w:line="308" w:lineRule="auto"/>
        <w:tabs>
          <w:tab w:leader="none" w:pos="1118"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Additional Documents. </w:t>
      </w:r>
      <w:r>
        <w:rPr>
          <w:rFonts w:ascii="Arial" w:cs="Arial" w:eastAsia="Arial" w:hAnsi="Arial"/>
          <w:sz w:val="17"/>
          <w:szCs w:val="17"/>
          <w:color w:val="auto"/>
        </w:rPr>
        <w:t>On or prior to the Closing Date or the Additional Closing Date, as the case may be,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such further certificates and documents as the Representatives may reasonably request.</w:t>
      </w:r>
    </w:p>
    <w:p>
      <w:pPr>
        <w:spacing w:after="0" w:line="14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62" w:lineRule="exact"/>
        <w:rPr>
          <w:sz w:val="20"/>
          <w:szCs w:val="20"/>
          <w:color w:val="auto"/>
        </w:rPr>
      </w:pPr>
    </w:p>
    <w:p>
      <w:pPr>
        <w:ind w:left="620" w:hanging="184"/>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6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Company also agrees to indemnify and hold harmless J.P. Morgan Securities LLC, its affiliates, directors and officers and each person, if any, who controls J.P. Morgan Securities LLC within the meaning of Section 15 of the Securities Act or Section 20 of the Exchange Act, from and against any and all losses, claims, damages and liabilities incurred as a result of J.P. Morgan Securities LLC’s participation as a “qualified independent underwriter” within the meaning of FINRA Rule 5121 in connection with the offering of the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5" w:name="page36"/>
    <w:bookmarkEnd w:id="35"/>
    <w:p>
      <w:pPr>
        <w:ind w:left="-20" w:right="40" w:firstLine="436"/>
        <w:spacing w:after="0" w:line="269" w:lineRule="auto"/>
        <w:tabs>
          <w:tab w:leader="none" w:pos="67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Indemnification of the Company. </w:t>
      </w:r>
      <w:r>
        <w:rPr>
          <w:rFonts w:ascii="Arial" w:cs="Arial" w:eastAsia="Arial" w:hAnsi="Arial"/>
          <w:sz w:val="17"/>
          <w:szCs w:val="17"/>
          <w:color w:val="auto"/>
        </w:rPr>
        <w:t>Each Underwriter agrees, severally and not jointly, to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 the concession and reallowance figures appearing in the third paragraph under the caption “Underwriting”; and (ii) the information contained in the eleventh, twelfth and thirteenth paragraphs under the caption “Underwriting.”</w:t>
      </w:r>
    </w:p>
    <w:p>
      <w:pPr>
        <w:spacing w:after="0" w:line="73" w:lineRule="exact"/>
        <w:rPr>
          <w:rFonts w:ascii="Arial" w:cs="Arial" w:eastAsia="Arial" w:hAnsi="Arial"/>
          <w:sz w:val="17"/>
          <w:szCs w:val="17"/>
          <w:color w:val="auto"/>
        </w:rPr>
      </w:pPr>
    </w:p>
    <w:p>
      <w:pPr>
        <w:ind w:left="-20" w:firstLine="436"/>
        <w:spacing w:after="0" w:line="267" w:lineRule="auto"/>
        <w:tabs>
          <w:tab w:leader="none" w:pos="66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36" w:name="page37"/>
    <w:bookmarkEnd w:id="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provided, however, that if indemnity may be sought pursuant to the second paragraph of Section 7(a) above in respect of such proceeding, then in addition to such separate firm of the Underwriters, their affiliates, directors, officers and such control persons of the Underwriters the indemnifying party shall be liable for the fees and expenses of not more than one separate firm (in addition to any local counsel) for J.P. Morgan Securities LLC in its capacity as a “qualified independent underwriter”, its affiliates, directors, officers and all persons, if any, who control J.P. Morgan Securities LLC within the meaning of either Section 15 of the Securities Act or Section 20 of the Exchange Act.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4" w:lineRule="exact"/>
        <w:rPr>
          <w:sz w:val="20"/>
          <w:szCs w:val="20"/>
          <w:color w:val="auto"/>
        </w:rPr>
      </w:pPr>
    </w:p>
    <w:p>
      <w:pPr>
        <w:ind w:right="60" w:firstLine="436"/>
        <w:spacing w:after="0" w:line="269" w:lineRule="auto"/>
        <w:tabs>
          <w:tab w:leader="none" w:pos="69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or (b) above is unavailable to an Indemnified Person or insufficient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or J.P. Morgan Securities LLC in its capacity as a “qualified independent underwriter”, as the case may be,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or J.P. Morgan Securities LLC in its capacity as a “qualified independent underwriter”, as the case may be, on the other, in connection with the statements or omissions that resulted in such losses, claims, damages or liabilities, as well as any other relevant equitable considerations. The relative benefits received by the Company, on the one hand, and the Underwriters or J.P. Morgan Securities LLC in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7" w:name="page38"/>
    <w:bookmarkEnd w:id="37"/>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capacity as a “qualified independent underwriter”, as the case may be,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or the fee to be received by J.P. Morgan Securities LLC in its capacity as a “qualified independent underwriter”, as the case may be, bear to the aggregate offering price of the Shares. The relative fault of the Company, on the one hand, and the Underwriters or J.P. Morgan Securities LLC in its capacity as a “qualified independent underwriter”, as the case may be, on the other, shall be determined by reference to, among other things, whether the untrue or alleged untrue statement of a material fact or the omission or alleged omission to state a material fact relates to information supplied by the Company or by the Underwriters or J.P. Morgan Securities LLC in its capacity as a “qualified independent underwriter”, as the case may be, and the parties’ relative intent, knowledge, access to information and opportunity to correct or prevent such statement or omission.</w:t>
      </w:r>
    </w:p>
    <w:p>
      <w:pPr>
        <w:spacing w:after="0" w:line="58" w:lineRule="exact"/>
        <w:rPr>
          <w:sz w:val="20"/>
          <w:szCs w:val="20"/>
          <w:color w:val="auto"/>
        </w:rPr>
      </w:pPr>
    </w:p>
    <w:p>
      <w:pPr>
        <w:ind w:left="684" w:hanging="244"/>
        <w:spacing w:after="0"/>
        <w:tabs>
          <w:tab w:leader="none" w:pos="684"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left="4" w:hanging="4"/>
        <w:spacing w:after="0" w:line="286" w:lineRule="auto"/>
        <w:tabs>
          <w:tab w:leader="none" w:pos="259"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61" w:lineRule="exact"/>
        <w:rPr>
          <w:rFonts w:ascii="Arial" w:cs="Arial" w:eastAsia="Arial" w:hAnsi="Arial"/>
          <w:sz w:val="16"/>
          <w:szCs w:val="16"/>
          <w:color w:val="auto"/>
        </w:rPr>
      </w:pPr>
    </w:p>
    <w:p>
      <w:pPr>
        <w:ind w:left="4" w:right="400" w:firstLine="436"/>
        <w:spacing w:after="0" w:line="277" w:lineRule="auto"/>
        <w:tabs>
          <w:tab w:leader="none" w:pos="669"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62" w:lineRule="exact"/>
        <w:rPr>
          <w:sz w:val="20"/>
          <w:szCs w:val="20"/>
          <w:color w:val="auto"/>
        </w:rPr>
      </w:pPr>
    </w:p>
    <w:p>
      <w:pPr>
        <w:ind w:left="624" w:hanging="184"/>
        <w:spacing w:after="0"/>
        <w:tabs>
          <w:tab w:leader="none" w:pos="624"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117" w:lineRule="exact"/>
        <w:rPr>
          <w:rFonts w:ascii="Arial" w:cs="Arial" w:eastAsia="Arial" w:hAnsi="Arial"/>
          <w:sz w:val="18"/>
          <w:szCs w:val="18"/>
          <w:color w:val="auto"/>
        </w:rPr>
      </w:pPr>
    </w:p>
    <w:p>
      <w:pPr>
        <w:ind w:left="4" w:right="180" w:firstLine="436"/>
        <w:spacing w:after="0" w:line="291" w:lineRule="auto"/>
        <w:tabs>
          <w:tab w:leader="none" w:pos="624"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trading generally shall have been suspended or materially limited on or by any of the New York Stock Exchange or The Nasdaq Stock Market;</w:t>
      </w:r>
    </w:p>
    <w:p>
      <w:pPr>
        <w:spacing w:after="0" w:line="20" w:lineRule="exact"/>
        <w:rPr>
          <w:rFonts w:ascii="Arial" w:cs="Arial" w:eastAsia="Arial" w:hAnsi="Arial"/>
          <w:sz w:val="17"/>
          <w:szCs w:val="17"/>
          <w:color w:val="auto"/>
        </w:rPr>
      </w:pPr>
    </w:p>
    <w:p>
      <w:pPr>
        <w:ind w:left="4" w:right="60" w:hanging="4"/>
        <w:spacing w:after="0" w:line="260" w:lineRule="auto"/>
        <w:tabs>
          <w:tab w:leader="none" w:pos="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of any securities issued or guaranteed by the Company shall have been suspended on any exchange or in any over-the-counter market; (iii) a general moratorium on commercial banking activities shall have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38" w:name="page39"/>
    <w:bookmarkEnd w:id="38"/>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49" w:lineRule="exact"/>
        <w:rPr>
          <w:sz w:val="20"/>
          <w:szCs w:val="20"/>
          <w:color w:val="auto"/>
        </w:rPr>
      </w:pPr>
    </w:p>
    <w:p>
      <w:pPr>
        <w:ind w:left="700" w:hanging="26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63" w:lineRule="exact"/>
        <w:rPr>
          <w:rFonts w:ascii="Arial" w:cs="Arial" w:eastAsia="Arial" w:hAnsi="Arial"/>
          <w:sz w:val="16"/>
          <w:szCs w:val="16"/>
          <w:color w:val="auto"/>
        </w:rPr>
      </w:pPr>
    </w:p>
    <w:p>
      <w:pPr>
        <w:ind w:right="20" w:firstLine="436"/>
        <w:spacing w:after="0" w:line="293"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56" w:lineRule="exact"/>
        <w:rPr>
          <w:rFonts w:ascii="Arial" w:cs="Arial" w:eastAsia="Arial" w:hAnsi="Arial"/>
          <w:sz w:val="16"/>
          <w:szCs w:val="16"/>
          <w:color w:val="auto"/>
        </w:rPr>
      </w:pPr>
    </w:p>
    <w:p>
      <w:pPr>
        <w:ind w:right="80" w:firstLine="436"/>
        <w:spacing w:after="0" w:line="257" w:lineRule="auto"/>
        <w:tabs>
          <w:tab w:leader="none" w:pos="6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9" w:name="page40"/>
    <w:bookmarkEnd w:id="39"/>
    <w:p>
      <w:pPr>
        <w:ind w:left="4"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41" w:lineRule="exact"/>
        <w:rPr>
          <w:sz w:val="20"/>
          <w:szCs w:val="20"/>
          <w:color w:val="auto"/>
        </w:rPr>
      </w:pPr>
    </w:p>
    <w:p>
      <w:pPr>
        <w:ind w:left="4" w:right="20" w:firstLine="436"/>
        <w:spacing w:after="0" w:line="277" w:lineRule="auto"/>
        <w:tabs>
          <w:tab w:leader="none" w:pos="699"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62" w:lineRule="exact"/>
        <w:rPr>
          <w:sz w:val="20"/>
          <w:szCs w:val="20"/>
          <w:color w:val="auto"/>
        </w:rPr>
      </w:pPr>
    </w:p>
    <w:p>
      <w:pPr>
        <w:ind w:left="704" w:hanging="264"/>
        <w:spacing w:after="0"/>
        <w:tabs>
          <w:tab w:leader="none" w:pos="70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left="4" w:firstLine="436"/>
        <w:spacing w:after="0" w:line="283" w:lineRule="auto"/>
        <w:tabs>
          <w:tab w:leader="none" w:pos="689" w:val="left"/>
        </w:tabs>
        <w:numPr>
          <w:ilvl w:val="1"/>
          <w:numId w:val="54"/>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stamp or other issuance or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reasonable fees and expenses incurred in connection with the registration or qualification and determination of eligibility for investment of the Shares under the laws of such jurisdictions as the Representatives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 (iv) 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(including the fees and expenses of J.P. Morgan Securities LLC acting as “qualified independent underwriter” within the meaning of the aforementioned FINRA Rule 5121) (such application fees and the fees and disbursements of counsel for the Underwriters pursuant to this clause</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shall not exceed $25,000); (viii) all expenses incurred by the Company in connection with any “road show” presentation to potential investors; and</w:t>
      </w:r>
    </w:p>
    <w:p>
      <w:pPr>
        <w:spacing w:after="0" w:line="32" w:lineRule="exact"/>
        <w:rPr>
          <w:rFonts w:ascii="Arial" w:cs="Arial" w:eastAsia="Arial" w:hAnsi="Arial"/>
          <w:sz w:val="16"/>
          <w:szCs w:val="16"/>
          <w:color w:val="auto"/>
        </w:rPr>
      </w:pPr>
    </w:p>
    <w:p>
      <w:pPr>
        <w:jc w:val="both"/>
        <w:ind w:left="4" w:right="80" w:hanging="4"/>
        <w:spacing w:after="0" w:line="302" w:lineRule="auto"/>
        <w:tabs>
          <w:tab w:leader="none" w:pos="30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expenses and application fees related to the listing of the Shares on the Nasdaq Market. It is, however, understood that except as provided in this Section 11 or Section 7 hereof, the Underwriters shall pay all of their own costs and expenses, including, without limitation, the fees and disbursements of their counsel, stock transfer taxes payable on resale of any Shares by them and any advertising expenses connected with any offers they make.</w:t>
      </w:r>
    </w:p>
    <w:p>
      <w:pPr>
        <w:spacing w:after="0" w:line="47" w:lineRule="exact"/>
        <w:rPr>
          <w:rFonts w:ascii="Arial" w:cs="Arial" w:eastAsia="Arial" w:hAnsi="Arial"/>
          <w:sz w:val="16"/>
          <w:szCs w:val="16"/>
          <w:color w:val="auto"/>
        </w:rPr>
      </w:pPr>
    </w:p>
    <w:p>
      <w:pPr>
        <w:ind w:left="4" w:right="140" w:firstLine="436"/>
        <w:spacing w:after="0" w:line="279" w:lineRule="auto"/>
        <w:tabs>
          <w:tab w:leader="none" w:pos="699"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0" w:name="page41"/>
    <w:bookmarkEnd w:id="40"/>
    <w:p>
      <w:pPr>
        <w:ind w:firstLine="436"/>
        <w:spacing w:after="0" w:line="257" w:lineRule="auto"/>
        <w:tabs>
          <w:tab w:leader="none" w:pos="71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80" w:firstLine="436"/>
        <w:spacing w:after="0" w:line="257" w:lineRule="auto"/>
        <w:tabs>
          <w:tab w:leader="none" w:pos="71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jc w:val="both"/>
        <w:ind w:right="180" w:firstLine="436"/>
        <w:spacing w:after="0" w:line="279" w:lineRule="auto"/>
        <w:tabs>
          <w:tab w:leader="none" w:pos="71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the set forth in Rule 1-02 of Regulation S-X under the Exchange Act.</w:t>
      </w:r>
    </w:p>
    <w:p>
      <w:pPr>
        <w:spacing w:after="0" w:line="171" w:lineRule="exact"/>
        <w:rPr>
          <w:rFonts w:ascii="Arial" w:cs="Arial" w:eastAsia="Arial" w:hAnsi="Arial"/>
          <w:sz w:val="17"/>
          <w:szCs w:val="17"/>
          <w:color w:val="auto"/>
        </w:rPr>
      </w:pPr>
    </w:p>
    <w:p>
      <w:pPr>
        <w:ind w:firstLine="436"/>
        <w:spacing w:after="0" w:line="259" w:lineRule="auto"/>
        <w:tabs>
          <w:tab w:leader="none" w:pos="71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4"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transmitted and confirmed by any standard form of telecommunication. Notices to the Underwriters shall be given to the Representatives c/o J.P. Morgan Securities LLC, 383 Madison Avenue, New York, New York 10179 (fax: (212) 622-8358), Attention: Equity Syndicate Desk; c/o Credit Suisse Securities (USA) LLC, Eleven Madison Avenue, New York, New York 10010 (fax: (212) 325-4296), Attention: IB-Legal; c/o Goldman Sachs &amp; Co. LLC, 200 West Street, New York, New York 10282; Attention Registration Department) and c/o Jefferies LLC, 520 Madison Avenue, New York, New York 10022 (fax: (646) 619-4437); Attention General Counsel). Notices to the Company shall be given to it at Sotera Health Company, 9100 S. Hills Blvd. Suite 300, Broadview Heights, Ohio 44147 (email: sleffler@soterahealth.com and mklaben@soterahealth.com); Attention: Scott J. Leffler and Matthew J. Klaben.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1" w:name="page42"/>
    <w:bookmarkEnd w:id="41"/>
    <w:p>
      <w:pPr>
        <w:ind w:left="-436" w:right="300" w:firstLine="436"/>
        <w:spacing w:after="0" w:line="277"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62" w:lineRule="exact"/>
        <w:rPr>
          <w:rFonts w:ascii="Arial" w:cs="Arial" w:eastAsia="Arial" w:hAnsi="Arial"/>
          <w:sz w:val="18"/>
          <w:szCs w:val="18"/>
          <w:color w:val="auto"/>
        </w:rPr>
      </w:pPr>
    </w:p>
    <w:p>
      <w:pPr>
        <w:ind w:left="-436" w:firstLine="436"/>
        <w:spacing w:after="0" w:line="296"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The Company hereby submits to the 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53" w:lineRule="exact"/>
        <w:rPr>
          <w:sz w:val="20"/>
          <w:szCs w:val="20"/>
          <w:color w:val="auto"/>
        </w:rPr>
      </w:pPr>
    </w:p>
    <w:p>
      <w:pPr>
        <w:ind w:left="-436" w:firstLine="436"/>
        <w:spacing w:after="0" w:line="277" w:lineRule="auto"/>
        <w:tabs>
          <w:tab w:leader="none" w:pos="229"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419"/>
        <w:spacing w:after="0" w:line="259" w:lineRule="auto"/>
        <w:tabs>
          <w:tab w:leader="none" w:pos="64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60" w:firstLine="419"/>
        <w:spacing w:after="0" w:line="259" w:lineRule="auto"/>
        <w:tabs>
          <w:tab w:leader="none" w:pos="69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As used in this Section 16(g):</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204" w:hanging="212"/>
        <w:spacing w:after="0"/>
        <w:tabs>
          <w:tab w:leader="none" w:pos="12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64" w:hanging="272"/>
        <w:spacing w:after="0"/>
        <w:tabs>
          <w:tab w:leader="none" w:pos="1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jc w:val="center"/>
        <w:ind w:left="4984" w:right="2080" w:hanging="3992"/>
        <w:spacing w:after="0" w:line="449" w:lineRule="auto"/>
        <w:tabs>
          <w:tab w:leader="none" w:pos="13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34</w:t>
      </w:r>
    </w:p>
    <w:p>
      <w:pPr>
        <w:sectPr>
          <w:pgSz w:w="11900" w:h="16838" w:orient="portrait"/>
          <w:cols w:equalWidth="0" w:num="1">
            <w:col w:w="10564"/>
          </w:cols>
          <w:pgMar w:left="876" w:top="274" w:right="459" w:bottom="1440" w:gutter="0" w:footer="0" w:header="0"/>
        </w:sectPr>
      </w:pPr>
    </w:p>
    <w:bookmarkStart w:id="42" w:name="page43"/>
    <w:bookmarkEnd w:id="42"/>
    <w:p>
      <w:pPr>
        <w:ind w:left="96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Right” has the meaning assigned to that term in, and shall be interpreted in accordance with, 12 C.F.R. §§ 252.81, 47.2 or 382.1, as applicable.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220" w:hanging="253"/>
        <w:spacing w:after="0"/>
        <w:tabs>
          <w:tab w:leader="none" w:pos="1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left="-20" w:right="160" w:firstLine="436"/>
        <w:spacing w:after="0" w:line="293" w:lineRule="auto"/>
        <w:tabs>
          <w:tab w:leader="none" w:pos="67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56" w:lineRule="exact"/>
        <w:rPr>
          <w:rFonts w:ascii="Arial" w:cs="Arial" w:eastAsia="Arial" w:hAnsi="Arial"/>
          <w:sz w:val="16"/>
          <w:szCs w:val="16"/>
          <w:color w:val="auto"/>
        </w:rPr>
      </w:pPr>
    </w:p>
    <w:p>
      <w:pPr>
        <w:ind w:left="-20" w:firstLine="436"/>
        <w:spacing w:after="0" w:line="277"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20" w:right="280" w:firstLine="436"/>
        <w:spacing w:after="0" w:line="277"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4" w:right="459" w:bottom="1440" w:gutter="0" w:footer="0" w:header="0"/>
        </w:sectPr>
      </w:pPr>
    </w:p>
    <w:bookmarkStart w:id="43" w:name="page44"/>
    <w:bookmarkEnd w:id="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60"/>
          </w:cols>
          <w:pgMar w:left="440" w:top="274" w:right="7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19"/>
          </w:cols>
          <w:pgMar w:left="440" w:top="274"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Underwriter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Penserra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Siebert Williams Shank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Tigress Financial Partners LLC</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12"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Schedule 1</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Number of Underwritten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2205990</wp:posOffset>
            </wp:positionV>
            <wp:extent cx="11830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2360295</wp:posOffset>
            </wp:positionV>
            <wp:extent cx="11830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2377440</wp:posOffset>
            </wp:positionV>
            <wp:extent cx="11830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ectPr>
          <w:pgSz w:w="11900" w:h="16838" w:orient="portrait"/>
          <w:cols w:equalWidth="0" w:num="2">
            <w:col w:w="8440" w:space="720"/>
            <w:col w:w="1860"/>
          </w:cols>
          <w:pgMar w:left="440" w:top="274"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370" w:lineRule="exact"/>
        <w:rPr>
          <w:sz w:val="20"/>
          <w:szCs w:val="20"/>
          <w:color w:val="auto"/>
        </w:rPr>
      </w:pPr>
    </w:p>
    <w:p>
      <w:pPr>
        <w:ind w:left="444" w:right="8500" w:hanging="444"/>
        <w:spacing w:after="0" w:line="407" w:lineRule="auto"/>
        <w:tabs>
          <w:tab w:leader="none" w:pos="43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Pricing Disclosure Package </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444" w:right="6440" w:hanging="444"/>
        <w:spacing w:after="0" w:line="377" w:lineRule="auto"/>
        <w:tabs>
          <w:tab w:leader="none" w:pos="43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Pricing Information Provided Orally by Underwriters </w:t>
      </w:r>
      <w:r>
        <w:rPr>
          <w:rFonts w:ascii="Arial" w:cs="Arial" w:eastAsia="Arial" w:hAnsi="Arial"/>
          <w:sz w:val="18"/>
          <w:szCs w:val="18"/>
          <w:color w:val="auto"/>
        </w:rPr>
        <w:t>Underwritten Shares: [●]</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Option Shares: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Public offering price per share: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Trade Date: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Settlement Date: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[Form of Opinion of Counsel for the Company]</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20"/>
          </w:cols>
          <w:pgMar w:left="1440" w:top="274"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[Form of Opinion of General Counsel for the Company]</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20"/>
          </w:cols>
          <w:pgMar w:left="1440" w:top="274"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 the waters authorization (to be delivered by the issuer to the authorized underwriters in email or letter form)</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reliance on either Section 5(d) of the Securities Act of 1933, as amended (the “Act”) or Rule 163B under the Act, Sotera Health Topco, Inc. (the “Issuer”) hereby authorizes each of J.P. Morgan Securities LLC (“J.P. Morgan”), Credit Suisse Securities (USA) LLC (“Credit Suisse”), Goldman Sachs &amp; Co. LLC (“GS”) and Jefferies LLC (“Jefferies”), and each of their affiliates and their respective employees,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 Each of J.P. Morgan, Credit Suisse, GS and Jefferies, individually and not jointly, agrees that it shall not distribute any Written Testing-the-Waters Communication that has not been approved by the Issuer.</w:t>
      </w:r>
    </w:p>
    <w:p>
      <w:pPr>
        <w:spacing w:after="0" w:line="18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Credit Suisse, GS and Jefferies and will promptly amend or supplement, at its own expense, such Written Testing-the-Waters Communication to eliminate or correct such untrue statement or omission.</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Nothing in this authorization is intended to limit or otherwise affect the ability of J.P. Morgan, Credit Suisse, GS or Jefferies and each of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Credit Suisse, GS and Jefferies a written notice revoking this authorization. All notices as described herein shall be sent by email to the attention of David Ke at david.ke@jpmorgan.com, Brad Benini at bradley.l.benini@jpmorgan.com, Credit Suisse Securities (USA) LLC, Attention: Neil A. Mitchell, Eleven Madison Avenue, New York, NY 10010 (email: neil.a.mitchell@credit-suisse.com) with a copy to Peter Kim at peter.kim@credit-suisse.com, Danielle Freeman at danielle.freeman@gs.com, Charlie Glazer at cglazer@jefferies.com and Kevin Lacerda at kevin.lacerda@jefferies.com.</w:t>
      </w:r>
    </w:p>
    <w:p>
      <w:pPr>
        <w:sectPr>
          <w:pgSz w:w="11900" w:h="16838" w:orient="portrait"/>
          <w:cols w:equalWidth="0" w:num="1">
            <w:col w:w="11020"/>
          </w:cols>
          <w:pgMar w:left="440" w:top="274"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5" w:lineRule="exact"/>
        <w:rPr>
          <w:sz w:val="20"/>
          <w:szCs w:val="20"/>
          <w:color w:val="auto"/>
        </w:rPr>
      </w:pPr>
    </w:p>
    <w:p>
      <w:pPr>
        <w:ind w:right="200" w:firstLine="440"/>
        <w:spacing w:after="0" w:line="291" w:lineRule="auto"/>
        <w:rPr>
          <w:sz w:val="20"/>
          <w:szCs w:val="20"/>
          <w:color w:val="auto"/>
        </w:rPr>
      </w:pPr>
      <w:r>
        <w:rPr>
          <w:rFonts w:ascii="Arial" w:cs="Arial" w:eastAsia="Arial" w:hAnsi="Arial"/>
          <w:sz w:val="16"/>
          <w:szCs w:val="16"/>
          <w:color w:val="auto"/>
        </w:rPr>
        <w:t>This letter is being delivered to you in connection with the offering by Sotera Health Company (the “Company”) of [•] shares of common stock, $0.01 par value (the “Common Stock”), of the Company and the lock-up letter dated __________________, 2020 (the “Lock-up Letter”), executed by</w:t>
      </w:r>
    </w:p>
    <w:p>
      <w:pPr>
        <w:spacing w:after="0"/>
        <w:rPr>
          <w:sz w:val="20"/>
          <w:szCs w:val="20"/>
          <w:color w:val="auto"/>
        </w:rPr>
      </w:pPr>
      <w:r>
        <w:rPr>
          <w:rFonts w:ascii="Arial" w:cs="Arial" w:eastAsia="Arial" w:hAnsi="Arial"/>
          <w:sz w:val="16"/>
          <w:szCs w:val="16"/>
          <w:color w:val="auto"/>
        </w:rPr>
        <w:t>you in connection with such offering, and your request for a [waiver]/[release] dated __________________, 2020, with respect to ______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“Shares”).</w:t>
      </w:r>
    </w:p>
    <w:p>
      <w:pPr>
        <w:spacing w:after="0" w:line="211"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 xml:space="preserve">J.P. Morgan Securities LLC hereby agrees to [waive]/[release] the transfer restrictions set forth in the Lock-up Letter, but only with respect to the Shares, effective __________________, 20__;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[waiver]/[release] is conditioned on the Company announcing the impending [waiver]/[release] by press release through a major news service at least two business days before effectiveness of such [waiver]/[release].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letter will serve as notice to the Company of the impending [waiver]/[release].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[waived]/[released] hereby, the Lock-up Letter shall 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2" w:name="page53"/>
    <w:bookmarkEnd w:id="5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J.P. Morgan Securities</w:t>
      </w:r>
    </w:p>
    <w:p>
      <w:pPr>
        <w:spacing w:after="0" w:line="23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As Representative of the several Underwriters named in</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Underwriting Agreement.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40" w:top="274"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 20__</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Sotera Health Company (the “Company”) announced today that J.P. Morgan Securities LLC, a joint book-running manager in the Company’s recent public sale of [•] shares of common stock, is [waiving]/[releasing] a lock-up restriction with respect to [•] shares of the Company’s common stock held by [certain officers or directors]/[an officer or director] of the Company. The [waiver]/[release] will take effect on ____________________, 20__, and the shares may be sold on or after such date.</w:t>
      </w:r>
    </w:p>
    <w:p>
      <w:pPr>
        <w:spacing w:after="0" w:line="291"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SOTERA HEALTH COMPANY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The undersigned understands that you, as Representatives of the several underwriters named in Schedule I to the Underwriting Agreement (as defined below) (the “Underwriters”), propose to enter into an underwriting agreement (the “Underwriting Agreement”) with Sotera Health Company (the “Company”), providing for the public offering (the “Public Offering”) by the Underwriters, of shares of the Common Stock, par value $0.01 per share (“Common Stock”), of the Company (such shares to be sold in the Public Offering, the “Securities”). Capitalized terms used herein and not otherwise defined shall have the meanings set forth in the Underwriting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5" w:name="page56"/>
    <w:bookmarkEnd w:id="55"/>
    <w:p>
      <w:pPr>
        <w:ind w:left="4" w:right="4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2" w:lineRule="exact"/>
        <w:rPr>
          <w:sz w:val="20"/>
          <w:szCs w:val="20"/>
          <w:color w:val="auto"/>
        </w:rPr>
      </w:pPr>
    </w:p>
    <w:p>
      <w:pPr>
        <w:ind w:left="4" w:hanging="4"/>
        <w:spacing w:after="0" w:line="253" w:lineRule="auto"/>
        <w:tabs>
          <w:tab w:leader="none" w:pos="2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Representatives at least two business days prior to any confidential or non-public submission of a registration statement made during the Restricted Period) or (4) publicly disclose the intention to do any of the foregoing.</w:t>
      </w:r>
    </w:p>
    <w:p>
      <w:pPr>
        <w:spacing w:after="0" w:line="193"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Notwithstanding the foregoing, the undersigned may: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transfer the undersigned’s Lock-Up Securities: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56" w:name="page57"/>
    <w:bookmarkEnd w:id="56"/>
    <w:p>
      <w:pPr>
        <w:ind w:left="660" w:hanging="22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bona fide gift or gifts, or for bona fide estate planning purposes,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intestacy,</w:t>
      </w:r>
    </w:p>
    <w:p>
      <w:pPr>
        <w:spacing w:after="0" w:line="117" w:lineRule="exact"/>
        <w:rPr>
          <w:rFonts w:ascii="Arial" w:cs="Arial" w:eastAsia="Arial" w:hAnsi="Arial"/>
          <w:sz w:val="18"/>
          <w:szCs w:val="18"/>
          <w:color w:val="auto"/>
        </w:rPr>
      </w:pPr>
    </w:p>
    <w:p>
      <w:pPr>
        <w:ind w:right="100" w:firstLine="436"/>
        <w:spacing w:after="0" w:line="259" w:lineRule="auto"/>
        <w:tabs>
          <w:tab w:leader="none" w:pos="7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78" w:lineRule="exact"/>
        <w:rPr>
          <w:rFonts w:ascii="Arial" w:cs="Arial" w:eastAsia="Arial" w:hAnsi="Arial"/>
          <w:sz w:val="18"/>
          <w:szCs w:val="18"/>
          <w:color w:val="auto"/>
        </w:rPr>
      </w:pPr>
    </w:p>
    <w:p>
      <w:pPr>
        <w:ind w:right="100" w:firstLine="436"/>
        <w:spacing w:after="0" w:line="277" w:lineRule="auto"/>
        <w:tabs>
          <w:tab w:leader="none" w:pos="7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62" w:lineRule="exact"/>
        <w:rPr>
          <w:rFonts w:ascii="Arial" w:cs="Arial" w:eastAsia="Arial" w:hAnsi="Arial"/>
          <w:sz w:val="18"/>
          <w:szCs w:val="18"/>
          <w:color w:val="auto"/>
        </w:rPr>
      </w:pPr>
    </w:p>
    <w:p>
      <w:pPr>
        <w:ind w:firstLine="436"/>
        <w:spacing w:after="0" w:line="255"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84" w:lineRule="exact"/>
        <w:rPr>
          <w:rFonts w:ascii="Arial" w:cs="Arial" w:eastAsia="Arial" w:hAnsi="Arial"/>
          <w:sz w:val="18"/>
          <w:szCs w:val="18"/>
          <w:color w:val="auto"/>
        </w:rPr>
      </w:pPr>
    </w:p>
    <w:p>
      <w:pPr>
        <w:ind w:left="740" w:hanging="304"/>
        <w:spacing w:after="0"/>
        <w:tabs>
          <w:tab w:leader="none" w:pos="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(v) above,</w:t>
      </w:r>
    </w:p>
    <w:p>
      <w:pPr>
        <w:spacing w:after="0" w:line="140" w:lineRule="exact"/>
        <w:rPr>
          <w:rFonts w:ascii="Arial" w:cs="Arial" w:eastAsia="Arial" w:hAnsi="Arial"/>
          <w:sz w:val="16"/>
          <w:szCs w:val="16"/>
          <w:color w:val="auto"/>
        </w:rPr>
      </w:pPr>
    </w:p>
    <w:p>
      <w:pPr>
        <w:ind w:left="800" w:hanging="36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w:t>
      </w:r>
    </w:p>
    <w:p>
      <w:pPr>
        <w:spacing w:after="0" w:line="117" w:lineRule="exact"/>
        <w:rPr>
          <w:rFonts w:ascii="Arial" w:cs="Arial" w:eastAsia="Arial" w:hAnsi="Arial"/>
          <w:sz w:val="18"/>
          <w:szCs w:val="18"/>
          <w:color w:val="auto"/>
        </w:rPr>
      </w:pPr>
    </w:p>
    <w:p>
      <w:pPr>
        <w:ind w:left="840" w:hanging="404"/>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Company from an employee of the Company upon death, disability or termination of employment, in each case, of such employee,</w:t>
      </w:r>
    </w:p>
    <w:p>
      <w:pPr>
        <w:spacing w:after="0" w:line="140" w:lineRule="exact"/>
        <w:rPr>
          <w:rFonts w:ascii="Arial" w:cs="Arial" w:eastAsia="Arial" w:hAnsi="Arial"/>
          <w:sz w:val="16"/>
          <w:szCs w:val="16"/>
          <w:color w:val="auto"/>
        </w:rPr>
      </w:pPr>
    </w:p>
    <w:p>
      <w:pPr>
        <w:ind w:right="140" w:firstLine="436"/>
        <w:spacing w:after="0" w:line="277" w:lineRule="auto"/>
        <w:tabs>
          <w:tab w:leader="none" w:pos="7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part of a sale of the undersigned’s Lock-Up Securities acquired in the Public Offering or in open market transactions after the closing date for the Public Offering,</w:t>
      </w:r>
    </w:p>
    <w:p>
      <w:pPr>
        <w:spacing w:after="0" w:line="62" w:lineRule="exact"/>
        <w:rPr>
          <w:rFonts w:ascii="Arial" w:cs="Arial" w:eastAsia="Arial" w:hAnsi="Arial"/>
          <w:sz w:val="18"/>
          <w:szCs w:val="18"/>
          <w:color w:val="auto"/>
        </w:rPr>
      </w:pPr>
    </w:p>
    <w:p>
      <w:pPr>
        <w:ind w:firstLine="436"/>
        <w:spacing w:after="0" w:line="254"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terms of this Letter Agreement, and provided further that any such restricted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7" w:name="page58"/>
    <w:bookmarkEnd w:id="57"/>
    <w:p>
      <w:pPr>
        <w:ind w:firstLine="436"/>
        <w:spacing w:after="0" w:line="254" w:lineRule="auto"/>
        <w:tabs>
          <w:tab w:leader="none" w:pos="745"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86" w:lineRule="exact"/>
        <w:rPr>
          <w:rFonts w:ascii="Arial" w:cs="Arial" w:eastAsia="Arial" w:hAnsi="Arial"/>
          <w:sz w:val="18"/>
          <w:szCs w:val="18"/>
          <w:color w:val="auto"/>
        </w:rPr>
      </w:pPr>
    </w:p>
    <w:p>
      <w:pPr>
        <w:ind w:firstLine="436"/>
        <w:spacing w:after="0" w:line="259" w:lineRule="auto"/>
        <w:tabs>
          <w:tab w:leader="none" w:pos="7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w:t>
      </w:r>
    </w:p>
    <w:p>
      <w:pPr>
        <w:spacing w:after="0" w:line="78" w:lineRule="exact"/>
        <w:rPr>
          <w:rFonts w:ascii="Arial" w:cs="Arial" w:eastAsia="Arial" w:hAnsi="Arial"/>
          <w:sz w:val="18"/>
          <w:szCs w:val="18"/>
          <w:color w:val="auto"/>
        </w:rPr>
      </w:pPr>
    </w:p>
    <w:p>
      <w:pPr>
        <w:ind w:right="140" w:firstLine="436"/>
        <w:spacing w:after="0" w:line="259" w:lineRule="auto"/>
        <w:tabs>
          <w:tab w:leader="none" w:pos="8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Company pursuant to the call or put provisions of existing employment agreements and equity grant documents, in each case in existence as of the date hereof, or pursuant to the terms of any other agreement disclosed under the heading “Certain Relationships and Related Party Transactions—Transactions with Certain of Our Executive Officers” in the Registration Statement, the Pricing Disclosure Package and the Prospectus; or</w:t>
      </w:r>
    </w:p>
    <w:p>
      <w:pPr>
        <w:spacing w:after="0" w:line="78" w:lineRule="exact"/>
        <w:rPr>
          <w:rFonts w:ascii="Arial" w:cs="Arial" w:eastAsia="Arial" w:hAnsi="Arial"/>
          <w:sz w:val="18"/>
          <w:szCs w:val="18"/>
          <w:color w:val="auto"/>
        </w:rPr>
      </w:pPr>
    </w:p>
    <w:p>
      <w:pPr>
        <w:ind w:right="40" w:firstLine="436"/>
        <w:spacing w:after="0" w:line="259"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pledging, hypothecating or otherwise granting a security interest in any Lock-Up Securities to one or more lending institutions as collateral or security for any loan, advance or extension of credit and transfer such Lock-Up Securities to such lending institution upon foreclosure upon such Lock-Up Securities (provided that no subsequent transfer or sale of Lock-Up Securities by such lending institution shall be made during the Restricted Period);</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required or shall be made voluntarily in connection with such transfer or distribution during the Restricted Period (other than a filing on a Form 5, Schedule 13D, Schedule 13F or Schedule 13G (or amendments to such forms) that is required to be filed within 45 days after December 31, 2020, in which case such required filing shall clearly indicate in the footnotes thereto the applicable circumstances that cause the applicable exception to this Letter Agreement to apply and that the disposition was not for value), (C) in the case of any transfer pursuant to clause (a)(ix), no filing by the undersigned or any party (transferor or transferee) under the Exchange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 (vii),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pacing w:after="0" w:line="73" w:lineRule="exact"/>
        <w:rPr>
          <w:sz w:val="20"/>
          <w:szCs w:val="20"/>
          <w:color w:val="auto"/>
        </w:rPr>
      </w:pPr>
    </w:p>
    <w:p>
      <w:pPr>
        <w:ind w:firstLine="436"/>
        <w:spacing w:after="0" w:line="263"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75" w:lineRule="exact"/>
        <w:rPr>
          <w:rFonts w:ascii="Arial" w:cs="Arial" w:eastAsia="Arial" w:hAnsi="Arial"/>
          <w:sz w:val="18"/>
          <w:szCs w:val="18"/>
          <w:color w:val="auto"/>
        </w:rPr>
      </w:pPr>
    </w:p>
    <w:p>
      <w:pPr>
        <w:ind w:right="160" w:firstLine="436"/>
        <w:spacing w:after="0" w:line="259"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 Lock-Up Securities in connection with the conversion, reclassification, redemption or exchange pursuant to the corporate reorganization described under the heading “Corporate Reorganization” in the Registration Statement, the Pricing Disclosure Package and the Prospectus; provided that any other Lock-up Securities received upon such conversion, reclassification, redemption or exchange shall be subject to the terms of this Letter Agreement; and</w:t>
      </w:r>
    </w:p>
    <w:p>
      <w:pPr>
        <w:spacing w:after="0" w:line="78" w:lineRule="exact"/>
        <w:rPr>
          <w:rFonts w:ascii="Arial" w:cs="Arial" w:eastAsia="Arial" w:hAnsi="Arial"/>
          <w:sz w:val="18"/>
          <w:szCs w:val="18"/>
          <w:color w:val="auto"/>
        </w:rPr>
      </w:pPr>
    </w:p>
    <w:p>
      <w:pPr>
        <w:ind w:firstLine="436"/>
        <w:spacing w:after="0" w:line="25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establish trading plans pursuant to Rule 10b5-1 under the Exchange Act for the transfer of shares of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70"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If the undersigned is an executive officer or director of the Company, (i) J.P. Morgan Securities LLC on behalf of the Underwriters agrees that, at least three business days before the effective date of any release or waiver of the foregoing restrictions in connection with a transfer of shares of Lock-Up Securities, J.P. Morgan Securities LLC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J.P. Morgan Securities LLC on behalf of the Underwriters hereunder to any such officer or director shall only be effective two business days after the publication date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9" w:name="page60"/>
    <w:bookmarkEnd w:id="5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6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6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undersigned understands that, if (i) prior to entering into the Underwriting Agreement, the Company notifies the Representatives in writing that the Company does not intend to proceed with the Public Offering, (ii) the Company files an application to withdraw the registration statement related to the Public Offering, (iii) the Underwriting Agreement does not become effective by December 31, 2020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6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STOCKHOLDER]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[List of Lock-Up Signatories]</w:t>
      </w:r>
    </w:p>
    <w:p>
      <w:pPr>
        <w:sectPr>
          <w:pgSz w:w="11900" w:h="16838" w:orient="portrait"/>
          <w:cols w:equalWidth="0" w:num="1">
            <w:col w:w="10020"/>
          </w:cols>
          <w:pgMar w:left="1440" w:top="274"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266180" cy="2443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626618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November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Broadview Heights, Ohio 44147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We have acted as special counsel to Sotera Health Company, a corporation organized under the laws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of a registration statement on Form S-1 (No. 333-249648)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Registration Statement relates to the registration of the sale by the Company of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together with additional shares of the Common Stock to be issued and sold by the Company upon the exercise of the underwriters’ option to purchase additional shares,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17" w:lineRule="exact"/>
        <w:rPr>
          <w:sz w:val="20"/>
          <w:szCs w:val="20"/>
          <w:color w:val="auto"/>
        </w:rPr>
      </w:pPr>
    </w:p>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form of Amended and Restated Certificate of Incorporation of the Company, included as Exhibit 3.1 to the Registration Statement; and</w:t>
      </w:r>
    </w:p>
    <w:p>
      <w:pPr>
        <w:spacing w:after="0" w:line="140" w:lineRule="exact"/>
        <w:rPr>
          <w:rFonts w:ascii="Arial" w:cs="Arial" w:eastAsia="Arial" w:hAnsi="Arial"/>
          <w:sz w:val="16"/>
          <w:szCs w:val="16"/>
          <w:color w:val="auto"/>
        </w:rPr>
      </w:pPr>
    </w:p>
    <w:p>
      <w:pPr>
        <w:ind w:right="20" w:firstLine="436"/>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form of underwriting agreement by and among the Company and the representatives on behalf of each of the several underwriters named in Schedule I thereto, included as Exhibit 1.1 to the Registration Statement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17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104775</wp:posOffset>
            </wp:positionV>
            <wp:extent cx="3900170"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3900170" cy="19748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Sotera Health Company, p. 2</w:t>
      </w:r>
    </w:p>
    <w:p>
      <w:pPr>
        <w:spacing w:after="0" w:line="266"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duly authorized by all necessary corporate action of the Company and, upon (i) due action of the Pricing Committee of the Board of Directors of the Company, and (ii) the due issuance of the Securities against payment therefor in the manner described in the Underwriting Agreement, will be validly issued by the Company and fully paid and nonassessable.</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foregoing opinions are limited to the General Corporation Law of the State of Delaware, including the applicable provisions of the Delaware Constitution and reported judicial decisions interpreting such laws.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heading “Legal Matters” in the Registration Statement and the related prospectus included in the Registration Statement. In giving such consent, we do not thereby admit that we are within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Lopez, a Partner</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lowerLetter"/>
      <w:start w:val="1"/>
    </w:lvl>
  </w:abstractNum>
  <w:abstractNum w:abstractNumId="1">
    <w:nsid w:val="440BADFC"/>
    <w:multiLevelType w:val="hybridMultilevel"/>
    <w:lvl w:ilvl="0">
      <w:lvlJc w:val="left"/>
      <w:lvlText w:val="*"/>
      <w:numFmt w:val="bullet"/>
      <w:start w:val="1"/>
    </w:lvl>
    <w:lvl w:ilvl="1">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lowerLetter"/>
      <w:start w:val="1"/>
    </w:lvl>
  </w:abstractNum>
  <w:abstractNum w:abstractNumId="7">
    <w:nsid w:val="2463B9EA"/>
    <w:multiLevelType w:val="hybridMultilevel"/>
    <w:lvl w:ilvl="0">
      <w:lvlJc w:val="left"/>
      <w:lvlText w:val="(%1)"/>
      <w:numFmt w:val="lowerLetter"/>
      <w:start w:val="2"/>
    </w:lvl>
  </w:abstractNum>
  <w:abstractNum w:abstractNumId="8">
    <w:nsid w:val="5E884ADC"/>
    <w:multiLevelType w:val="hybridMultilevel"/>
    <w:lvl w:ilvl="0">
      <w:lvlJc w:val="left"/>
      <w:lvlText w:val="(%1)"/>
      <w:numFmt w:val="lowerLetter"/>
      <w:start w:val="4"/>
    </w:lvl>
  </w:abstractNum>
  <w:abstractNum w:abstractNumId="9">
    <w:nsid w:val="51EAD36B"/>
    <w:multiLevelType w:val="hybridMultilevel"/>
    <w:lvl w:ilvl="0">
      <w:lvlJc w:val="left"/>
      <w:lvlText w:val="%1."/>
      <w:numFmt w:val="decimal"/>
      <w:start w:val="3"/>
    </w:lvl>
    <w:lvl w:ilvl="1">
      <w:lvlJc w:val="left"/>
      <w:lvlText w:val="(%2)"/>
      <w:numFmt w:val="lowerLetter"/>
      <w:start w:val="1"/>
    </w:lvl>
  </w:abstractNum>
  <w:abstractNum w:abstractNumId="10">
    <w:nsid w:val="2D517796"/>
    <w:multiLevelType w:val="hybridMultilevel"/>
    <w:lvl w:ilvl="0">
      <w:lvlJc w:val="left"/>
      <w:lvlText w:val="(%1)"/>
      <w:numFmt w:val="lowerLetter"/>
      <w:start w:val="4"/>
    </w:lvl>
  </w:abstractNum>
  <w:abstractNum w:abstractNumId="11">
    <w:nsid w:val="580BD78F"/>
    <w:multiLevelType w:val="hybridMultilevel"/>
    <w:lvl w:ilvl="0">
      <w:lvlJc w:val="left"/>
      <w:lvlText w:val="(%1)"/>
      <w:numFmt w:val="lowerLetter"/>
      <w:start w:val="25"/>
    </w:lvl>
  </w:abstractNum>
  <w:abstractNum w:abstractNumId="12">
    <w:nsid w:val="153EA438"/>
    <w:multiLevelType w:val="hybridMultilevel"/>
    <w:lvl w:ilvl="0">
      <w:lvlJc w:val="left"/>
      <w:lvlText w:val="(%1)"/>
      <w:numFmt w:val="lowerLetter"/>
      <w:start w:val="6"/>
    </w:lvl>
  </w:abstractNum>
  <w:abstractNum w:abstractNumId="13">
    <w:nsid w:val="3855585C"/>
    <w:multiLevelType w:val="hybridMultilevel"/>
    <w:lvl w:ilvl="0">
      <w:lvlJc w:val="left"/>
      <w:lvlText w:val="(%1)"/>
      <w:numFmt w:val="lowerLetter"/>
      <w:start w:val="8"/>
    </w:lvl>
  </w:abstractNum>
  <w:abstractNum w:abstractNumId="14">
    <w:nsid w:val="70A64E2A"/>
    <w:multiLevelType w:val="hybridMultilevel"/>
    <w:lvl w:ilvl="0">
      <w:lvlJc w:val="left"/>
      <w:lvlText w:val="%1"/>
      <w:numFmt w:val="lowerRoman"/>
      <w:start w:val="1"/>
    </w:lvl>
    <w:lvl w:ilvl="1">
      <w:lvlJc w:val="left"/>
      <w:lvlText w:val="(%2)"/>
      <w:numFmt w:val="lowerLetter"/>
      <w:start w:val="10"/>
    </w:lvl>
  </w:abstractNum>
  <w:abstractNum w:abstractNumId="15">
    <w:nsid w:val="6A2342EC"/>
    <w:multiLevelType w:val="hybridMultilevel"/>
    <w:lvl w:ilvl="0">
      <w:lvlJc w:val="left"/>
      <w:lvlText w:val="(%1)"/>
      <w:numFmt w:val="lowerRoman"/>
      <w:start w:val="4"/>
    </w:lvl>
    <w:lvl w:ilvl="1">
      <w:lvlJc w:val="left"/>
      <w:lvlText w:val="%2"/>
      <w:numFmt w:val="lowerLetter"/>
      <w:start w:val="1"/>
    </w:lvl>
  </w:abstractNum>
  <w:abstractNum w:abstractNumId="16">
    <w:nsid w:val="2A487CB0"/>
    <w:multiLevelType w:val="hybridMultilevel"/>
    <w:lvl w:ilvl="0">
      <w:lvlJc w:val="left"/>
      <w:lvlText w:val="(%1)"/>
      <w:numFmt w:val="lowerLetter"/>
      <w:start w:val="12"/>
    </w:lvl>
  </w:abstractNum>
  <w:abstractNum w:abstractNumId="17">
    <w:nsid w:val="1D4ED43B"/>
    <w:multiLevelType w:val="hybridMultilevel"/>
    <w:lvl w:ilvl="0">
      <w:lvlJc w:val="left"/>
      <w:lvlText w:val="(%1)"/>
      <w:numFmt w:val="lowerLetter"/>
      <w:start w:val="18"/>
    </w:lvl>
  </w:abstractNum>
  <w:abstractNum w:abstractNumId="18">
    <w:nsid w:val="725A06FB"/>
    <w:multiLevelType w:val="hybridMultilevel"/>
    <w:lvl w:ilvl="0">
      <w:lvlJc w:val="left"/>
      <w:lvlText w:val="(%1)"/>
      <w:numFmt w:val="lowerLetter"/>
      <w:start w:val="20"/>
    </w:lvl>
  </w:abstractNum>
  <w:abstractNum w:abstractNumId="19">
    <w:nsid w:val="2CD89A32"/>
    <w:multiLevelType w:val="hybridMultilevel"/>
    <w:lvl w:ilvl="0">
      <w:lvlJc w:val="left"/>
      <w:lvlText w:val="(%1)"/>
      <w:numFmt w:val="lowerLetter"/>
      <w:start w:val="26"/>
    </w:lvl>
  </w:abstractNum>
  <w:abstractNum w:abstractNumId="20">
    <w:nsid w:val="57E4CCAF"/>
    <w:multiLevelType w:val="hybridMultilevel"/>
    <w:lvl w:ilvl="0">
      <w:lvlJc w:val="left"/>
      <w:lvlText w:val="(%1)"/>
      <w:numFmt w:val="lowerLetter"/>
      <w:start w:val="27"/>
    </w:lvl>
  </w:abstractNum>
  <w:abstractNum w:abstractNumId="21">
    <w:nsid w:val="7A6D8D3C"/>
    <w:multiLevelType w:val="hybridMultilevel"/>
    <w:lvl w:ilvl="0">
      <w:lvlJc w:val="left"/>
      <w:lvlText w:val="(%1)"/>
      <w:numFmt w:val="lowerLetter"/>
      <w:start w:val="61"/>
    </w:lvl>
    <w:lvl w:ilvl="1">
      <w:lvlJc w:val="left"/>
      <w:lvlText w:val="(%2)"/>
      <w:numFmt w:val="lowerLetter"/>
      <w:start w:val="29"/>
    </w:lvl>
  </w:abstractNum>
  <w:abstractNum w:abstractNumId="22">
    <w:nsid w:val="4B588F54"/>
    <w:multiLevelType w:val="hybridMultilevel"/>
    <w:lvl w:ilvl="0">
      <w:lvlJc w:val="left"/>
      <w:lvlText w:val="(%1)"/>
      <w:numFmt w:val="lowerLetter"/>
      <w:start w:val="30"/>
    </w:lvl>
  </w:abstractNum>
  <w:abstractNum w:abstractNumId="23">
    <w:nsid w:val="542289EC"/>
    <w:multiLevelType w:val="hybridMultilevel"/>
    <w:lvl w:ilvl="0">
      <w:lvlJc w:val="left"/>
      <w:lvlText w:val="(%1)"/>
      <w:numFmt w:val="lowerLetter"/>
      <w:start w:val="32"/>
    </w:lvl>
  </w:abstractNum>
  <w:abstractNum w:abstractNumId="24">
    <w:nsid w:val="6DE91B18"/>
    <w:multiLevelType w:val="hybridMultilevel"/>
    <w:lvl w:ilvl="0">
      <w:lvlJc w:val="left"/>
      <w:lvlText w:val="(%1)"/>
      <w:numFmt w:val="lowerRoman"/>
      <w:start w:val="2"/>
    </w:lvl>
  </w:abstractNum>
  <w:abstractNum w:abstractNumId="25">
    <w:nsid w:val="38437FDB"/>
    <w:multiLevelType w:val="hybridMultilevel"/>
    <w:lvl w:ilvl="0">
      <w:lvlJc w:val="left"/>
      <w:lvlText w:val="(%1)"/>
      <w:numFmt w:val="lowerLetter"/>
      <w:start w:val="36"/>
    </w:lvl>
  </w:abstractNum>
  <w:abstractNum w:abstractNumId="26">
    <w:nsid w:val="7644A45C"/>
    <w:multiLevelType w:val="hybridMultilevel"/>
    <w:lvl w:ilvl="0">
      <w:lvlJc w:val="left"/>
      <w:lvlText w:val="(%1)"/>
      <w:numFmt w:val="lowerLetter"/>
      <w:start w:val="37"/>
    </w:lvl>
  </w:abstractNum>
  <w:abstractNum w:abstractNumId="27">
    <w:nsid w:val="32FFF902"/>
    <w:multiLevelType w:val="hybridMultilevel"/>
    <w:lvl w:ilvl="0">
      <w:lvlJc w:val="left"/>
      <w:lvlText w:val="(%1)"/>
      <w:numFmt w:val="lowerLetter"/>
      <w:start w:val="41"/>
    </w:lvl>
  </w:abstractNum>
  <w:abstractNum w:abstractNumId="28">
    <w:nsid w:val="684A481A"/>
    <w:multiLevelType w:val="hybridMultilevel"/>
    <w:lvl w:ilvl="0">
      <w:lvlJc w:val="left"/>
      <w:lvlText w:val="%1"/>
      <w:numFmt w:val="decimal"/>
      <w:start w:val="1"/>
    </w:lvl>
    <w:lvl w:ilvl="1">
      <w:lvlJc w:val="left"/>
      <w:lvlText w:val="(%2)"/>
      <w:numFmt w:val="lowerLetter"/>
      <w:start w:val="46"/>
    </w:lvl>
  </w:abstractNum>
  <w:abstractNum w:abstractNumId="29">
    <w:nsid w:val="579478FE"/>
    <w:multiLevelType w:val="hybridMultilevel"/>
    <w:lvl w:ilvl="0">
      <w:lvlJc w:val="left"/>
      <w:lvlText w:val="%1."/>
      <w:numFmt w:val="decimal"/>
      <w:start w:val="4"/>
    </w:lvl>
    <w:lvl w:ilvl="1">
      <w:lvlJc w:val="left"/>
      <w:lvlText w:val="(%2)"/>
      <w:numFmt w:val="lowerLetter"/>
      <w:start w:val="1"/>
    </w:lvl>
  </w:abstractNum>
  <w:abstractNum w:abstractNumId="30">
    <w:nsid w:val="749ABB43"/>
    <w:multiLevelType w:val="hybridMultilevel"/>
    <w:lvl w:ilvl="0">
      <w:lvlJc w:val="left"/>
      <w:lvlText w:val="%1"/>
      <w:numFmt w:val="lowerLetter"/>
      <w:start w:val="1"/>
    </w:lvl>
    <w:lvl w:ilvl="1">
      <w:lvlJc w:val="left"/>
      <w:lvlText w:val="(%2)"/>
      <w:numFmt w:val="lowerLetter"/>
      <w:start w:val="2"/>
    </w:lvl>
  </w:abstractNum>
  <w:abstractNum w:abstractNumId="31">
    <w:nsid w:val="3DC240FB"/>
    <w:multiLevelType w:val="hybridMultilevel"/>
    <w:lvl w:ilvl="0">
      <w:lvlJc w:val="left"/>
      <w:lvlText w:val="(%1)"/>
      <w:numFmt w:val="lowerLetter"/>
      <w:start w:val="61"/>
    </w:lvl>
    <w:lvl w:ilvl="1">
      <w:lvlJc w:val="left"/>
      <w:lvlText w:val="%2"/>
      <w:numFmt w:val="lowerLetter"/>
      <w:start w:val="1"/>
    </w:lvl>
  </w:abstractNum>
  <w:abstractNum w:abstractNumId="32">
    <w:nsid w:val="1BA026FA"/>
    <w:multiLevelType w:val="hybridMultilevel"/>
    <w:lvl w:ilvl="0">
      <w:lvlJc w:val="left"/>
      <w:lvlText w:val="(%1)"/>
      <w:numFmt w:val="lowerLetter"/>
      <w:start w:val="5"/>
    </w:lvl>
  </w:abstractNum>
  <w:abstractNum w:abstractNumId="33">
    <w:nsid w:val="79A1DEAA"/>
    <w:multiLevelType w:val="hybridMultilevel"/>
    <w:lvl w:ilvl="0">
      <w:lvlJc w:val="left"/>
      <w:lvlText w:val="(%1)"/>
      <w:numFmt w:val="lowerLetter"/>
      <w:start w:val="7"/>
    </w:lvl>
  </w:abstractNum>
  <w:abstractNum w:abstractNumId="34">
    <w:nsid w:val="75C6C33A"/>
    <w:multiLevelType w:val="hybridMultilevel"/>
    <w:lvl w:ilvl="0">
      <w:lvlJc w:val="left"/>
      <w:lvlText w:val="(%1)"/>
      <w:numFmt w:val="lowerLetter"/>
      <w:start w:val="9"/>
    </w:lvl>
  </w:abstractNum>
  <w:abstractNum w:abstractNumId="35">
    <w:nsid w:val="12E685FB"/>
    <w:multiLevelType w:val="hybridMultilevel"/>
    <w:lvl w:ilvl="0">
      <w:lvlJc w:val="left"/>
      <w:lvlText w:val="%1."/>
      <w:numFmt w:val="decimal"/>
      <w:start w:val="5"/>
    </w:lvl>
    <w:lvl w:ilvl="1">
      <w:lvlJc w:val="left"/>
      <w:lvlText w:val="(%2)"/>
      <w:numFmt w:val="lowerLetter"/>
      <w:start w:val="1"/>
    </w:lvl>
  </w:abstractNum>
  <w:abstractNum w:abstractNumId="36">
    <w:nsid w:val="70C6A529"/>
    <w:multiLevelType w:val="hybridMultilevel"/>
    <w:lvl w:ilvl="0">
      <w:lvlJc w:val="left"/>
      <w:lvlText w:val="%1"/>
      <w:numFmt w:val="lowerLetter"/>
      <w:start w:val="1"/>
    </w:lvl>
    <w:lvl w:ilvl="1">
      <w:lvlJc w:val="left"/>
      <w:lvlText w:val="(%2)"/>
      <w:numFmt w:val="lowerLetter"/>
      <w:start w:val="4"/>
    </w:lvl>
  </w:abstractNum>
  <w:abstractNum w:abstractNumId="37">
    <w:nsid w:val="520EEDD1"/>
    <w:multiLevelType w:val="hybridMultilevel"/>
    <w:lvl w:ilvl="0">
      <w:lvlJc w:val="left"/>
      <w:lvlText w:val="(%1)"/>
      <w:numFmt w:val="lowerLetter"/>
      <w:start w:val="35"/>
    </w:lvl>
    <w:lvl w:ilvl="1">
      <w:lvlJc w:val="left"/>
      <w:lvlText w:val="(%2)"/>
      <w:numFmt w:val="lowerLetter"/>
      <w:start w:val="6"/>
    </w:lvl>
  </w:abstractNum>
  <w:abstractNum w:abstractNumId="38">
    <w:nsid w:val="374A3FE6"/>
    <w:multiLevelType w:val="hybridMultilevel"/>
    <w:lvl w:ilvl="0">
      <w:lvlJc w:val="left"/>
      <w:lvlText w:val="(%1)"/>
      <w:numFmt w:val="lowerRoman"/>
      <w:start w:val="2"/>
    </w:lvl>
  </w:abstractNum>
  <w:abstractNum w:abstractNumId="39">
    <w:nsid w:val="4F4EF005"/>
    <w:multiLevelType w:val="hybridMultilevel"/>
    <w:lvl w:ilvl="0">
      <w:lvlJc w:val="left"/>
      <w:lvlText w:val="(%1)"/>
      <w:numFmt w:val="lowerLetter"/>
      <w:start w:val="7"/>
    </w:lvl>
  </w:abstractNum>
  <w:abstractNum w:abstractNumId="40">
    <w:nsid w:val="23F9C13C"/>
    <w:multiLevelType w:val="hybridMultilevel"/>
    <w:lvl w:ilvl="0">
      <w:lvlJc w:val="left"/>
      <w:lvlText w:val="(%1)"/>
      <w:numFmt w:val="lowerLetter"/>
      <w:start w:val="13"/>
    </w:lvl>
  </w:abstractNum>
  <w:abstractNum w:abstractNumId="41">
    <w:nsid w:val="649BB77C"/>
    <w:multiLevelType w:val="hybridMultilevel"/>
    <w:lvl w:ilvl="0">
      <w:lvlJc w:val="left"/>
      <w:lvlText w:val="%1."/>
      <w:numFmt w:val="decimal"/>
      <w:start w:val="7"/>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2"/>
    </w:lvl>
  </w:abstractNum>
  <w:abstractNum w:abstractNumId="44">
    <w:nsid w:val="1CF10FD8"/>
    <w:multiLevelType w:val="hybridMultilevel"/>
    <w:lvl w:ilvl="0">
      <w:lvlJc w:val="left"/>
      <w:lvlText w:val="(%1)"/>
      <w:numFmt w:val="lowerLetter"/>
      <w:start w:val="4"/>
    </w:lvl>
  </w:abstractNum>
  <w:abstractNum w:abstractNumId="45">
    <w:nsid w:val="180115BE"/>
    <w:multiLevelType w:val="hybridMultilevel"/>
    <w:lvl w:ilvl="0">
      <w:lvlJc w:val="left"/>
      <w:lvlText w:val="%1"/>
      <w:numFmt w:val="lowerLetter"/>
      <w:start w:val="1"/>
    </w:lvl>
    <w:lvl w:ilvl="1">
      <w:lvlJc w:val="left"/>
      <w:lvlText w:val="(%2)"/>
      <w:numFmt w:val="lowerLetter"/>
      <w:start w:val="5"/>
    </w:lvl>
  </w:abstractNum>
  <w:abstractNum w:abstractNumId="46">
    <w:nsid w:val="235BA861"/>
    <w:multiLevelType w:val="hybridMultilevel"/>
    <w:lvl w:ilvl="0">
      <w:lvlJc w:val="left"/>
      <w:lvlText w:val="(%1)"/>
      <w:numFmt w:val="lowerLetter"/>
      <w:start w:val="4"/>
    </w:lvl>
    <w:lvl w:ilvl="1">
      <w:lvlJc w:val="left"/>
      <w:lvlText w:val="(%2)"/>
      <w:numFmt w:val="lowerLetter"/>
      <w:start w:val="6"/>
    </w:lvl>
  </w:abstractNum>
  <w:abstractNum w:abstractNumId="47">
    <w:nsid w:val="47398C89"/>
    <w:multiLevelType w:val="hybridMultilevel"/>
    <w:lvl w:ilvl="0">
      <w:lvlJc w:val="left"/>
      <w:lvlText w:val="%1"/>
      <w:numFmt w:val="lowerRoman"/>
      <w:start w:val="1"/>
    </w:lvl>
    <w:lvl w:ilvl="1">
      <w:lvlJc w:val="left"/>
      <w:lvlText w:val="%2."/>
      <w:numFmt w:val="decimal"/>
      <w:start w:val="8"/>
    </w:lvl>
  </w:abstractNum>
  <w:abstractNum w:abstractNumId="48">
    <w:nsid w:val="354FE9F9"/>
    <w:multiLevelType w:val="hybridMultilevel"/>
    <w:lvl w:ilvl="0">
      <w:lvlJc w:val="left"/>
      <w:lvlText w:val="(%1)"/>
      <w:numFmt w:val="lowerRoman"/>
      <w:start w:val="1"/>
    </w:lvl>
    <w:lvl w:ilvl="1">
      <w:lvlJc w:val="left"/>
      <w:lvlText w:val="%2"/>
      <w:numFmt w:val="decimal"/>
      <w:start w:val="1"/>
    </w:lvl>
  </w:abstractNum>
  <w:abstractNum w:abstractNumId="49">
    <w:nsid w:val="15B5AF5C"/>
    <w:multiLevelType w:val="hybridMultilevel"/>
    <w:lvl w:ilvl="0">
      <w:lvlJc w:val="left"/>
      <w:lvlText w:val="%1."/>
      <w:numFmt w:val="decimal"/>
      <w:start w:val="10"/>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4"/>
    </w:lvl>
  </w:abstractNum>
  <w:abstractNum w:abstractNumId="52">
    <w:nsid w:val="10233C99"/>
    <w:multiLevelType w:val="hybridMultilevel"/>
    <w:lvl w:ilvl="0">
      <w:lvlJc w:val="left"/>
      <w:lvlText w:val="%1."/>
      <w:numFmt w:val="decimal"/>
      <w:start w:val="11"/>
    </w:lvl>
  </w:abstractNum>
  <w:abstractNum w:abstractNumId="53">
    <w:nsid w:val="3F6AB60F"/>
    <w:multiLevelType w:val="hybridMultilevel"/>
    <w:lvl w:ilvl="0">
      <w:lvlJc w:val="left"/>
      <w:lvlText w:val="%1"/>
      <w:numFmt w:val="lowerRoman"/>
      <w:start w:val="1"/>
    </w:lvl>
    <w:lvl w:ilvl="1">
      <w:lvlJc w:val="left"/>
      <w:lvlText w:val="(%2)"/>
      <w:numFmt w:val="lowerLetter"/>
      <w:start w:val="1"/>
    </w:lvl>
  </w:abstractNum>
  <w:abstractNum w:abstractNumId="54">
    <w:nsid w:val="61574095"/>
    <w:multiLevelType w:val="hybridMultilevel"/>
    <w:lvl w:ilvl="0">
      <w:lvlJc w:val="left"/>
      <w:lvlText w:val="(%1)"/>
      <w:numFmt w:val="lowerRoman"/>
      <w:start w:val="7"/>
    </w:lvl>
    <w:lvl w:ilvl="1">
      <w:lvlJc w:val="left"/>
      <w:lvlText w:val="%2"/>
      <w:numFmt w:val="lowerLetter"/>
      <w:start w:val="1"/>
    </w:lvl>
  </w:abstractNum>
  <w:abstractNum w:abstractNumId="55">
    <w:nsid w:val="7E0C57B1"/>
    <w:multiLevelType w:val="hybridMultilevel"/>
    <w:lvl w:ilvl="0">
      <w:lvlJc w:val="left"/>
      <w:lvlText w:val="(%1)"/>
      <w:numFmt w:val="lowerRoman"/>
      <w:start w:val="9"/>
    </w:lvl>
    <w:lvl w:ilvl="1">
      <w:lvlJc w:val="left"/>
      <w:lvlText w:val="(%2)"/>
      <w:numFmt w:val="lowerLetter"/>
      <w:start w:val="2"/>
    </w:lvl>
  </w:abstractNum>
  <w:abstractNum w:abstractNumId="56">
    <w:nsid w:val="77AE35EB"/>
    <w:multiLevelType w:val="hybridMultilevel"/>
    <w:lvl w:ilvl="0">
      <w:lvlJc w:val="left"/>
      <w:lvlText w:val="%1."/>
      <w:numFmt w:val="decimal"/>
      <w:start w:val="12"/>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6"/>
    </w:lvl>
    <w:lvl w:ilvl="1">
      <w:lvlJc w:val="left"/>
      <w:lvlText w:val="(%2)"/>
      <w:numFmt w:val="lowerRoman"/>
      <w:start w:val="1"/>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1"/>
      <w:numFmt w:val="lowerLetter"/>
      <w:start w:val="1"/>
    </w:lvl>
    <w:lvl w:ilvl="1">
      <w:lvlJc w:val="left"/>
      <w:lvlText w:val="(%2)"/>
      <w:numFmt w:val="lowerLetter"/>
      <w:start w:val="35"/>
    </w:lvl>
  </w:abstractNum>
  <w:abstractNum w:abstractNumId="62">
    <w:nsid w:val="1DBABF00"/>
    <w:multiLevelType w:val="hybridMultilevel"/>
    <w:lvl w:ilvl="0">
      <w:lvlJc w:val="left"/>
      <w:lvlText w:val="(%1)"/>
      <w:numFmt w:val="lowerLetter"/>
      <w:start w:val="8"/>
    </w:lvl>
    <w:lvl w:ilvl="1">
      <w:lvlJc w:val="left"/>
      <w:lvlText w:val="%2"/>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decimal"/>
      <w:start w:val="3"/>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1)"/>
      <w:numFmt w:val="lowerRoman"/>
      <w:start w:val="11"/>
    </w:lvl>
  </w:abstractNum>
  <w:abstractNum w:abstractNumId="67">
    <w:nsid w:val="100F8FCA"/>
    <w:multiLevelType w:val="hybridMultilevel"/>
    <w:lvl w:ilvl="0">
      <w:lvlJc w:val="left"/>
      <w:lvlText w:val="(%1)"/>
      <w:numFmt w:val="lowerLetter"/>
      <w:start w:val="2"/>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2" Type="http://schemas.openxmlformats.org/officeDocument/2006/relationships/image" Target="media/image17.png"/><Relationship Id="rId61" Type="http://schemas.openxmlformats.org/officeDocument/2006/relationships/image" Target="media/image18.png"/><Relationship Id="rId69" Type="http://schemas.openxmlformats.org/officeDocument/2006/relationships/image" Target="media/image19.png"/><Relationship Id="rId70" Type="http://schemas.openxmlformats.org/officeDocument/2006/relationships/image" Target="media/image20.png"/><Relationship Id="rId71" Type="http://schemas.openxmlformats.org/officeDocument/2006/relationships/image" Target="media/image21.png"/><Relationship Id="rId72" Type="http://schemas.openxmlformats.org/officeDocument/2006/relationships/image" Target="media/image22.png"/><Relationship Id="rId73" Type="http://schemas.openxmlformats.org/officeDocument/2006/relationships/image" Target="media/image23.png"/><Relationship Id="rId74" Type="http://schemas.openxmlformats.org/officeDocument/2006/relationships/image" Target="media/image24.png"/><Relationship Id="rId75"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jpeg"/><Relationship Id="rId145" Type="http://schemas.openxmlformats.org/officeDocument/2006/relationships/image" Target="media/image95.jpeg"/><Relationship Id="rId146" Type="http://schemas.openxmlformats.org/officeDocument/2006/relationships/image" Target="media/image96.png"/><Relationship Id="rId147" Type="http://schemas.openxmlformats.org/officeDocument/2006/relationships/image" Target="media/image97.png"/><Relationship Id="rId24" Type="http://schemas.openxmlformats.org/officeDocument/2006/relationships/hyperlink" Target="http://www.sec.gov/Archives/edgar/data/1822479/000119312520290973/d93452dex31.htm" TargetMode="External"/><Relationship Id="rId25" Type="http://schemas.openxmlformats.org/officeDocument/2006/relationships/hyperlink" Target="http://www.sec.gov/Archives/edgar/data/1822479/000119312520284069/d93452dex32.htm" TargetMode="External"/><Relationship Id="rId26" Type="http://schemas.openxmlformats.org/officeDocument/2006/relationships/hyperlink" Target="http://www.sec.gov/Archives/edgar/data/1822479/000119312520284069/d93452dex42.htm" TargetMode="External"/><Relationship Id="rId27" Type="http://schemas.openxmlformats.org/officeDocument/2006/relationships/hyperlink" Target="http://www.sec.gov/Archives/edgar/data/1822479/000119312520275568/d93452dex43.htm" TargetMode="External"/><Relationship Id="rId28" Type="http://schemas.openxmlformats.org/officeDocument/2006/relationships/hyperlink" Target="http://www.sec.gov/Archives/edgar/data/1822479/000119312520275568/d93452dex44.htm" TargetMode="External"/><Relationship Id="rId29" Type="http://schemas.openxmlformats.org/officeDocument/2006/relationships/hyperlink" Target="http://www.sec.gov/Archives/edgar/data/1822479/000119312520275568/d93452dex47.htm" TargetMode="External"/><Relationship Id="rId30" Type="http://schemas.openxmlformats.org/officeDocument/2006/relationships/hyperlink" Target="http://www.sec.gov/Archives/edgar/data/1822479/000119312520275568/d93452dex48.htm" TargetMode="External"/><Relationship Id="rId31" Type="http://schemas.openxmlformats.org/officeDocument/2006/relationships/hyperlink" Target="http://www.sec.gov/Archives/edgar/data/1822479/000119312520290973/d93452dex101.htm" TargetMode="External"/><Relationship Id="rId32" Type="http://schemas.openxmlformats.org/officeDocument/2006/relationships/hyperlink" Target="http://www.sec.gov/Archives/edgar/data/1822479/000119312520290973/d93452dex102.htm" TargetMode="External"/><Relationship Id="rId33" Type="http://schemas.openxmlformats.org/officeDocument/2006/relationships/hyperlink" Target="http://www.sec.gov/Archives/edgar/data/1822479/000119312520290973/d93452dex103.htm" TargetMode="External"/><Relationship Id="rId34" Type="http://schemas.openxmlformats.org/officeDocument/2006/relationships/hyperlink" Target="http://www.sec.gov/Archives/edgar/data/1822479/000119312520290973/d93452dex104.htm" TargetMode="External"/><Relationship Id="rId35" Type="http://schemas.openxmlformats.org/officeDocument/2006/relationships/hyperlink" Target="http://www.sec.gov/Archives/edgar/data/1822479/000119312520290973/d93452dex105.htm" TargetMode="External"/><Relationship Id="rId36" Type="http://schemas.openxmlformats.org/officeDocument/2006/relationships/hyperlink" Target="http://www.sec.gov/Archives/edgar/data/1822479/000119312520290973/d93452dex106.htm" TargetMode="External"/><Relationship Id="rId37" Type="http://schemas.openxmlformats.org/officeDocument/2006/relationships/hyperlink" Target="http://www.sec.gov/Archives/edgar/data/1822479/000119312520290973/d93452dex107.htm" TargetMode="External"/><Relationship Id="rId38" Type="http://schemas.openxmlformats.org/officeDocument/2006/relationships/hyperlink" Target="http://www.sec.gov/Archives/edgar/data/1822479/000119312520284069/d93452dex108.htm" TargetMode="External"/><Relationship Id="rId39" Type="http://schemas.openxmlformats.org/officeDocument/2006/relationships/hyperlink" Target="http://www.sec.gov/Archives/edgar/data/1822479/000119312520290973/d93452dex109.htm" TargetMode="External"/><Relationship Id="rId40" Type="http://schemas.openxmlformats.org/officeDocument/2006/relationships/hyperlink" Target="http://www.sec.gov/Archives/edgar/data/1822479/000119312520275568/d93452dex1010.htm" TargetMode="External"/><Relationship Id="rId41" Type="http://schemas.openxmlformats.org/officeDocument/2006/relationships/hyperlink" Target="http://www.sec.gov/Archives/edgar/data/1822479/000119312520275568/d93452dex1011.htm" TargetMode="External"/><Relationship Id="rId43" Type="http://schemas.openxmlformats.org/officeDocument/2006/relationships/hyperlink" Target="http://www.sec.gov/Archives/edgar/data/1822479/000119312520275568/d93452dex1012.htm" TargetMode="External"/><Relationship Id="rId44" Type="http://schemas.openxmlformats.org/officeDocument/2006/relationships/hyperlink" Target="http://www.sec.gov/Archives/edgar/data/1822479/000119312520275568/d93452dex1013.htm" TargetMode="External"/><Relationship Id="rId45" Type="http://schemas.openxmlformats.org/officeDocument/2006/relationships/hyperlink" Target="http://www.sec.gov/Archives/edgar/data/1822479/000119312520275568/d93452dex1014.htm" TargetMode="External"/><Relationship Id="rId46" Type="http://schemas.openxmlformats.org/officeDocument/2006/relationships/hyperlink" Target="http://www.sec.gov/Archives/edgar/data/1822479/000119312520275568/d93452dex1015.htm" TargetMode="External"/><Relationship Id="rId47" Type="http://schemas.openxmlformats.org/officeDocument/2006/relationships/hyperlink" Target="http://www.sec.gov/Archives/edgar/data/1822479/000119312520275568/d93452dex1016.htm" TargetMode="External"/><Relationship Id="rId48" Type="http://schemas.openxmlformats.org/officeDocument/2006/relationships/hyperlink" Target="http://www.sec.gov/Archives/edgar/data/1822479/000119312520275568/d93452dex1017.htm" TargetMode="External"/><Relationship Id="rId49" Type="http://schemas.openxmlformats.org/officeDocument/2006/relationships/hyperlink" Target="http://www.sec.gov/Archives/edgar/data/1822479/000119312520275568/d93452dex1018.htm" TargetMode="External"/><Relationship Id="rId50" Type="http://schemas.openxmlformats.org/officeDocument/2006/relationships/hyperlink" Target="http://www.sec.gov/Archives/edgar/data/1822479/000119312520275568/d93452dex1019.htm" TargetMode="External"/><Relationship Id="rId51" Type="http://schemas.openxmlformats.org/officeDocument/2006/relationships/hyperlink" Target="http://www.sec.gov/Archives/edgar/data/1822479/000119312520275568/d93452dex1020.htm" TargetMode="External"/><Relationship Id="rId52" Type="http://schemas.openxmlformats.org/officeDocument/2006/relationships/hyperlink" Target="http://www.sec.gov/Archives/edgar/data/1822479/000119312520275568/d93452dex1021.htm" TargetMode="External"/><Relationship Id="rId53" Type="http://schemas.openxmlformats.org/officeDocument/2006/relationships/hyperlink" Target="http://www.sec.gov/Archives/edgar/data/1822479/000119312520275568/d93452dex1022.htm" TargetMode="External"/><Relationship Id="rId54" Type="http://schemas.openxmlformats.org/officeDocument/2006/relationships/hyperlink" Target="http://www.sec.gov/Archives/edgar/data/1822479/000119312520275568/d93452dex1023.htm" TargetMode="External"/><Relationship Id="rId55" Type="http://schemas.openxmlformats.org/officeDocument/2006/relationships/hyperlink" Target="http://www.sec.gov/Archives/edgar/data/1822479/000119312520275568/d93452dex1024.htm" TargetMode="External"/><Relationship Id="rId56" Type="http://schemas.openxmlformats.org/officeDocument/2006/relationships/hyperlink" Target="http://www.sec.gov/Archives/edgar/data/1822479/000119312520275568/d93452dex1025.htm" TargetMode="External"/><Relationship Id="rId57" Type="http://schemas.openxmlformats.org/officeDocument/2006/relationships/hyperlink" Target="http://www.sec.gov/Archives/edgar/data/1822479/000119312520275568/d93452dex1026.htm" TargetMode="External"/><Relationship Id="rId58" Type="http://schemas.openxmlformats.org/officeDocument/2006/relationships/hyperlink" Target="http://www.sec.gov/Archives/edgar/data/1822479/000119312520275568/d93452dex1027.htm" TargetMode="External"/><Relationship Id="rId59" Type="http://schemas.openxmlformats.org/officeDocument/2006/relationships/hyperlink" Target="http://www.sec.gov/Archives/edgar/data/1822479/000119312520275568/d93452dex1028.htm" TargetMode="External"/><Relationship Id="rId60" Type="http://schemas.openxmlformats.org/officeDocument/2006/relationships/hyperlink" Target="http://www.sec.gov/Archives/edgar/data/1822479/000119312520275568/d93452dex1029.htm" TargetMode="External"/><Relationship Id="rId62" Type="http://schemas.openxmlformats.org/officeDocument/2006/relationships/hyperlink" Target="http://www.sec.gov/Archives/edgar/data/1822479/000119312520275568/d93452dex1030.htm" TargetMode="External"/><Relationship Id="rId63" Type="http://schemas.openxmlformats.org/officeDocument/2006/relationships/hyperlink" Target="http://www.sec.gov/Archives/edgar/data/1822479/000119312520290973/d93452dex1031.htm" TargetMode="External"/><Relationship Id="rId64" Type="http://schemas.openxmlformats.org/officeDocument/2006/relationships/hyperlink" Target="http://www.sec.gov/Archives/edgar/data/1822479/000119312520290973/d93452dex1032.htm" TargetMode="External"/><Relationship Id="rId65" Type="http://schemas.openxmlformats.org/officeDocument/2006/relationships/hyperlink" Target="http://www.sec.gov/Archives/edgar/data/1822479/000119312520290973/d93452dex211.htm" TargetMode="External"/><Relationship Id="rId66" Type="http://schemas.openxmlformats.org/officeDocument/2006/relationships/hyperlink" Target="http://www.sec.gov/Archives/edgar/data/1822479/000119312520290973/d93452dex232.htm" TargetMode="External"/><Relationship Id="rId67" Type="http://schemas.openxmlformats.org/officeDocument/2006/relationships/hyperlink" Target="http://www.sec.gov/Archives/edgar/data/1822479/000119312520275568/d93452ds1.htm#sig" TargetMode="External"/><Relationship Id="rId68" Type="http://schemas.openxmlformats.org/officeDocument/2006/relationships/hyperlink" Target="http://www.sec.gov/Archives/edgar/data/1822479/000119312520290973/d93452ds1a.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2020-11-13T16:26:36Z</dcterms:created>
  <dcterms:modified xsi:type="dcterms:W3CDTF">2020-11-13T16:26:36Z</dcterms:modified>
</cp:coreProperties>
</file>