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March 15,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 Ada D. Sarmento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Sotera Health Company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333-254287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Requested Date:</w:t>
      </w:r>
      <w:r>
        <w:rPr>
          <w:sz w:val="20"/>
          <w:szCs w:val="20"/>
          <w:color w:val="auto"/>
        </w:rPr>
        <w:tab/>
      </w:r>
      <w:r>
        <w:rPr>
          <w:rFonts w:ascii="Arial" w:cs="Arial" w:eastAsia="Arial" w:hAnsi="Arial"/>
          <w:sz w:val="16"/>
          <w:szCs w:val="16"/>
          <w:b w:val="1"/>
          <w:bCs w:val="1"/>
          <w:color w:val="auto"/>
        </w:rPr>
        <w:t>March 17, 2021</w:t>
      </w:r>
    </w:p>
    <w:p>
      <w:pPr>
        <w:spacing w:after="0" w:line="9" w:lineRule="exact"/>
        <w:rPr>
          <w:sz w:val="24"/>
          <w:szCs w:val="24"/>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Requested Time:</w:t>
      </w:r>
      <w:r>
        <w:rPr>
          <w:sz w:val="20"/>
          <w:szCs w:val="20"/>
          <w:color w:val="auto"/>
        </w:rPr>
        <w:tab/>
      </w:r>
      <w:r>
        <w:rPr>
          <w:rFonts w:ascii="Arial" w:cs="Arial" w:eastAsia="Arial" w:hAnsi="Arial"/>
          <w:sz w:val="16"/>
          <w:szCs w:val="16"/>
          <w:b w:val="1"/>
          <w:bCs w:val="1"/>
          <w:color w:val="auto"/>
        </w:rPr>
        <w:t>4:00 p.m., Eastern Standard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right="220"/>
        <w:spacing w:after="0" w:line="303" w:lineRule="auto"/>
        <w:rPr>
          <w:sz w:val="20"/>
          <w:szCs w:val="20"/>
          <w:color w:val="auto"/>
        </w:rPr>
      </w:pPr>
      <w:r>
        <w:rPr>
          <w:rFonts w:ascii="Arial" w:cs="Arial" w:eastAsia="Arial" w:hAnsi="Arial"/>
          <w:sz w:val="16"/>
          <w:szCs w:val="16"/>
          <w:color w:val="auto"/>
        </w:rPr>
        <w:t>In accordance with Rule 461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J.P. Morgan Securities LLC, Credit Suisse Securities (USA) LLC, Goldman Sachs &amp; Co. LLC and Jefferies LLC, as representatives of the several underwriters, hereby join Sotera Health Company in requesting that the Securities and Exchange Commission take appropriate action to cause the Registration Statement on Form S-1 (File No. 333-254287) (the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to become effective on March 17, 2021, at 4:00 p.m., Eastern Standard Time, or as soon as practicable thereafter.</w:t>
      </w:r>
    </w:p>
    <w:p>
      <w:pPr>
        <w:spacing w:after="0" w:line="155"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Pursuant to Rule 460 under the Act, please be advised that we will take reasonable steps to secure adequate distribution of the preliminary prospectus, to underwriters, dealers, institutions and others, prior to the requested effective time of the Registration Statement.</w:t>
      </w:r>
    </w:p>
    <w:p>
      <w:pPr>
        <w:spacing w:after="0" w:line="14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We have been informed by the participating underwriters that they will comply with the requirements of Rule 15c2-8 under the Securities Exchange Act of 1934, as amended, to the extent applicable.</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40" w:top="233" w:right="479" w:bottom="1440" w:gutter="0" w:footer="0" w:header="0"/>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David 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David Ke</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CREDIT SUISSE SECURITIES (USA) LLC</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Andres Londono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Andres Londono</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Elizabeth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Elizabeth Wood</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Michael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Michael Robinson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Managing Director</w:t>
      </w:r>
    </w:p>
    <w:p>
      <w:pPr>
        <w:spacing w:after="0" w:line="319" w:lineRule="exact"/>
        <w:rPr>
          <w:sz w:val="20"/>
          <w:szCs w:val="20"/>
          <w:color w:val="auto"/>
        </w:rPr>
      </w:pPr>
    </w:p>
    <w:p>
      <w:pPr>
        <w:ind w:left="4" w:right="6119" w:hanging="4"/>
        <w:spacing w:after="0" w:line="301" w:lineRule="auto"/>
        <w:tabs>
          <w:tab w:leader="none" w:pos="39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Michael B. Petras, Jr., </w:t>
      </w:r>
      <w:r>
        <w:rPr>
          <w:rFonts w:ascii="Arial" w:cs="Arial" w:eastAsia="Arial" w:hAnsi="Arial"/>
          <w:sz w:val="16"/>
          <w:szCs w:val="16"/>
          <w:i w:val="1"/>
          <w:iCs w:val="1"/>
          <w:color w:val="auto"/>
        </w:rPr>
        <w:t>Sotera Health Company</w:t>
      </w:r>
      <w:r>
        <w:rPr>
          <w:rFonts w:ascii="Arial" w:cs="Arial" w:eastAsia="Arial" w:hAnsi="Arial"/>
          <w:sz w:val="16"/>
          <w:szCs w:val="16"/>
          <w:color w:val="auto"/>
        </w:rPr>
        <w:t xml:space="preserve"> David Lopez, </w:t>
      </w:r>
      <w:r>
        <w:rPr>
          <w:rFonts w:ascii="Arial" w:cs="Arial" w:eastAsia="Arial" w:hAnsi="Arial"/>
          <w:sz w:val="16"/>
          <w:szCs w:val="16"/>
          <w:i w:val="1"/>
          <w:iCs w:val="1"/>
          <w:color w:val="auto"/>
        </w:rPr>
        <w:t>Cleary Gottlieb Steen &amp; Hamilton LLP</w:t>
      </w:r>
      <w:r>
        <w:rPr>
          <w:rFonts w:ascii="Arial" w:cs="Arial" w:eastAsia="Arial" w:hAnsi="Arial"/>
          <w:sz w:val="16"/>
          <w:szCs w:val="16"/>
          <w:color w:val="auto"/>
        </w:rPr>
        <w:t xml:space="preserve"> Arthur D. Robinson, </w:t>
      </w:r>
      <w:r>
        <w:rPr>
          <w:rFonts w:ascii="Arial" w:cs="Arial" w:eastAsia="Arial" w:hAnsi="Arial"/>
          <w:sz w:val="16"/>
          <w:szCs w:val="16"/>
          <w:i w:val="1"/>
          <w:iCs w:val="1"/>
          <w:color w:val="auto"/>
        </w:rPr>
        <w:t>Simpson Thacher &amp; Bartlett LLP</w:t>
      </w:r>
      <w:r>
        <w:rPr>
          <w:rFonts w:ascii="Arial" w:cs="Arial" w:eastAsia="Arial" w:hAnsi="Arial"/>
          <w:sz w:val="16"/>
          <w:szCs w:val="16"/>
          <w:color w:val="auto"/>
        </w:rPr>
        <w:t xml:space="preserve"> Jean Park, </w:t>
      </w:r>
      <w:r>
        <w:rPr>
          <w:rFonts w:ascii="Arial" w:cs="Arial" w:eastAsia="Arial" w:hAnsi="Arial"/>
          <w:sz w:val="16"/>
          <w:szCs w:val="16"/>
          <w:i w:val="1"/>
          <w:iCs w:val="1"/>
          <w:color w:val="auto"/>
        </w:rPr>
        <w:t>Simpson Thacher &amp; Bartlett LLP</w:t>
      </w:r>
    </w:p>
    <w:p>
      <w:pPr>
        <w:spacing w:after="0" w:line="157" w:lineRule="exact"/>
        <w:rPr>
          <w:sz w:val="20"/>
          <w:szCs w:val="20"/>
          <w:color w:val="auto"/>
        </w:rPr>
      </w:pPr>
    </w:p>
    <w:p>
      <w:pPr>
        <w:ind w:left="34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Underwriters’ Acceleration Request</w:t>
      </w:r>
      <w:r>
        <w:rPr>
          <w:rFonts w:ascii="Arial" w:cs="Arial" w:eastAsia="Arial" w:hAnsi="Arial"/>
          <w:sz w:val="18"/>
          <w:szCs w:val="18"/>
          <w:color w:val="auto"/>
        </w:rPr>
        <w:t>]</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2021-08-15T20:49:37Z</dcterms:created>
  <dcterms:modified xsi:type="dcterms:W3CDTF">2021-08-15T20:49:37Z</dcterms:modified>
</cp:coreProperties>
</file>