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9893d424b7.htm"/>
        <w:bookmarkStart w:id="1" w:name="ksd69893d424b7"/>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NOVEMBER 6,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240" w:after="0"/>
        <w:ind w:left="960" w:right="960" w:hanging="0"/>
        <w:jc w:val="center"/>
        <w:rPr/>
      </w:pPr>
      <w:r>
        <w:rPr/>
        <w:t>    </w:t>
      </w:r>
      <w:r>
        <w:rPr>
          <w:rFonts w:ascii="Times New Roman" w:hAnsi="Times New Roman"/>
          <w:b/>
          <w:sz w:val="36"/>
        </w:rPr>
        <w:t xml:space="preserve">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98905" cy="473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November 6, 2025, the last reported sale price of our common stock on Nasdaq was $16.01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supp69893_6">
        <w:r>
          <w:rPr>
            <w:rStyle w:val="InternetLink"/>
            <w:rFonts w:ascii="Times New Roman" w:hAnsi="Times New Roman"/>
            <w:b/>
            <w:sz w:val="24"/>
          </w:rPr>
          <w:t>Risk Factors</w:t>
        </w:r>
      </w:hyperlink>
      <w:r>
        <w:rPr>
          <w:rFonts w:ascii="Times New Roman" w:hAnsi="Times New Roman"/>
          <w:b/>
          <w:sz w:val="24"/>
        </w:rPr>
        <w:t xml:space="preserve">” beginning on page S-12 of this prospectus supplement and in the documents incorporated by reference into this prospectus supplement to read about factors you should consider before deciding to invest in our common stock.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6632"/>
        <w:gridCol w:w="238"/>
        <w:gridCol w:w="177"/>
        <w:gridCol w:w="1295"/>
        <w:gridCol w:w="74"/>
        <w:gridCol w:w="237"/>
        <w:gridCol w:w="178"/>
        <w:gridCol w:w="1294"/>
        <w:gridCol w:w="80"/>
      </w:tblGrid>
      <w:tr>
        <w:trPr/>
        <w:tc>
          <w:tcPr>
            <w:tcW w:w="663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66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80" w:type="dxa"/>
            <w:tcBorders/>
            <w:vAlign w:val="bottom"/>
          </w:tcPr>
          <w:p>
            <w:pPr>
              <w:pStyle w:val="TableContents"/>
              <w:bidi w:val="0"/>
              <w:spacing w:before="0" w:after="283"/>
              <w:jc w:val="left"/>
              <w:rPr/>
            </w:pPr>
            <w:r>
              <w:rPr/>
              <w:t> </w:t>
            </w:r>
          </w:p>
        </w:tc>
      </w:tr>
      <w:tr>
        <w:trPr/>
        <w:tc>
          <w:tcPr>
            <w:tcW w:w="6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29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63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3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9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23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29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Delivery of the shares of common stock is expected to be made on or about     , 2025.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48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2025.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5">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7">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0">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69893_15">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6989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6989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69893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69893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2024 (the “Annual Report”).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69893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5205"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5206"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5205" w:type="dxa"/>
            <w:tcBorders/>
          </w:tcPr>
          <w:p>
            <w:pPr>
              <w:pStyle w:val="TableContents"/>
              <w:bidi w:val="0"/>
              <w:spacing w:before="0" w:after="283"/>
              <w:jc w:val="left"/>
              <w:rPr/>
            </w:pPr>
            <w:r>
              <w:rPr/>
              <w:t xml:space="preserve">284,093,929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5205"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Recent developments affecting Sponsor rights </w:t>
            </w:r>
          </w:p>
        </w:tc>
        <w:tc>
          <w:tcPr>
            <w:tcW w:w="5206" w:type="dxa"/>
            <w:tcBorders/>
          </w:tcPr>
          <w:p>
            <w:pPr>
              <w:pStyle w:val="TableContents"/>
              <w:bidi w:val="0"/>
              <w:spacing w:before="0" w:after="283"/>
              <w:jc w:val="left"/>
              <w:rPr/>
            </w:pPr>
            <w:r>
              <w:rPr/>
              <w:t xml:space="preserve">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offering of our common stock that closed on September 6, 2024, the Sponsors ceased to own a majority of our outstanding common stock, which affects certain of these rights, and related matters. In particular, as a result of the Sponsors ceasing to own a majority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6"/>
        <w:gridCol w:w="101"/>
        <w:gridCol w:w="100"/>
        <w:gridCol w:w="4798"/>
      </w:tblGrid>
      <w:tr>
        <w:trPr/>
        <w:tc>
          <w:tcPr>
            <w:tcW w:w="5206"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qualify as a “controlled company” within the meaning of the Nasdaq corporate governance standards (although we do not currently avail ourselves of related exemptions).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1"/>
        <w:gridCol w:w="4798"/>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certain provisions of our amended and restated certificate of incorporation and amended and restated bylaws requires a 66 2/3% majority approval (in place of a simple majority).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actions of stockholders which could have been taken without prior notice and not at an annual or special meeting of stockholders now require such notice and forum.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calling of special meetings of stockholders is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2"/>
        <w:gridCol w:w="4797"/>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for cause of directors designated by the Sponsors requires the affirmative vote of at least 75% of the voting power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0"/>
        <w:gridCol w:w="4799"/>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see “Risk Factors – Risks Related to the Offering and Our Common Stock” — “If the ownership of our common stock continues to be highly concentrated, it may prevent minority stockholders from influencing significant corporate decisions and may result in conflicts of interest”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410"/>
        <w:gridCol w:w="4795"/>
      </w:tblGrid>
      <w:tr>
        <w:trPr/>
        <w:tc>
          <w:tcPr>
            <w:tcW w:w="5410" w:type="dxa"/>
            <w:tcBorders/>
            <w:vAlign w:val="center"/>
          </w:tcPr>
          <w:p>
            <w:pPr>
              <w:pStyle w:val="TableContents"/>
              <w:bidi w:val="0"/>
              <w:spacing w:before="0" w:after="283"/>
              <w:jc w:val="left"/>
              <w:rPr/>
            </w:pPr>
            <w:r>
              <w:rPr/>
              <w:t> </w:t>
            </w:r>
          </w:p>
        </w:tc>
        <w:tc>
          <w:tcPr>
            <w:tcW w:w="4795" w:type="dxa"/>
            <w:tcBorders/>
          </w:tcPr>
          <w:p>
            <w:pPr>
              <w:pStyle w:val="TableContents"/>
              <w:bidi w:val="0"/>
              <w:spacing w:before="0" w:after="0"/>
              <w:jc w:val="left"/>
              <w:rPr/>
            </w:pPr>
            <w:r>
              <w:rPr/>
              <w:t>“</w:t>
            </w:r>
            <w:r>
              <w:rPr>
                <w:rFonts w:ascii="Times New Roman" w:hAnsi="Times New Roman"/>
                <w:sz w:val="20"/>
              </w:rPr>
              <w:t xml:space="preserve">Anti-takeover provisions in our amended and restated certificate of incorporation, amended and restated bylaws and our Stockholders’ Agreement, as well as Delaware law, could discourage a change in control of our company or a change in our management.” Additionally, the number of directors that each of the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the Sponsors’ most recent offering of our common stock that closed on September 5, 2025, the number of directors that Warburg Pincus is entitled to designate was reduced from four to three. The number of directors that the Sponsors are entitled to designate will be further reduced as a result of this offering if it causes a Sponsor’s ownership to fall beneath a relevant threshold. In particular, if either Sponsor’s ownership falls below 40% of the amount of our common stock that it held immediately following our IPO, the number of our directors that it will be entitled to designate will be reduced.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5204"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5204"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2"/>
        <w:gridCol w:w="5203"/>
      </w:tblGrid>
      <w:tr>
        <w:trPr/>
        <w:tc>
          <w:tcPr>
            <w:tcW w:w="500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5203" w:type="dxa"/>
            <w:tcBorders/>
          </w:tcPr>
          <w:p>
            <w:pPr>
              <w:pStyle w:val="TableContents"/>
              <w:bidi w:val="0"/>
              <w:spacing w:before="0" w:after="283"/>
              <w:jc w:val="left"/>
              <w:rPr/>
            </w:pPr>
            <w:r>
              <w:rPr/>
              <w:t>“</w:t>
            </w: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284,093,929 shares of common stock outstanding as of October 28, 2025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8,237,662 shares of common stock issuable upon the exercise of outstanding options as of September 30, 2025, with a weighted average exercise price of $14.91 per share (provided that 9,501 shares of common stock are no longer issuable upon the exercise of outstanding options due to forfeitures subsequent to September 30, 2025, such forfeited options having a weighted-average exercise price of $15.44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3,719,787 shares issuable pursuant to restricted stock units (“RSUs”) and performance stock units (“PSUs”) outstanding as of September 30, 2025, of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22,912 shares of common stock have ceased to be issuable due to forfeitures of RSUs and PSUs subsequent to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that have ceased to be issuable due to the vesting and settlement of RSUs subsequent to September 30, 2025 (and any shares of common stock that are outstanding following the satisfaction of tax withholding obligations in respect of such vested RSUs are included in the number of shares of common stock outstanding as of October 28, 2025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shares of common stock were released net of taxes between September 30, 2025 and October 28,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13,601,088 additional shares of common stock reserved for future issuance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69893_5"/>
      <w:bookmarkEnd w:id="7"/>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2024, 2023 and 2022 and the summary historical balance sheet data as of December 31, 2024 and December 31, 2023 have been derived from our audited consolidated financial statements incorporated by reference from our Annual Report. The summary historical consolidated statements of operations data and statements of cash flows data for the nine months ended September 30, 2025 and 2024 and the summary historical balance sheet data as of September 30, 2025 have been derived from our unaudited consolidated interim financial statements incorporated by reference from our Quarterly Report on Form 10-Q for the quarter ended September 30, 2025.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September 30, 2025. Our historical results are not necessarily indicative of our results in any future period.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916"/>
        <w:gridCol w:w="173"/>
        <w:gridCol w:w="140"/>
        <w:gridCol w:w="1034"/>
        <w:gridCol w:w="155"/>
        <w:gridCol w:w="123"/>
        <w:gridCol w:w="140"/>
        <w:gridCol w:w="1034"/>
        <w:gridCol w:w="155"/>
        <w:gridCol w:w="123"/>
        <w:gridCol w:w="140"/>
        <w:gridCol w:w="1034"/>
        <w:gridCol w:w="155"/>
        <w:gridCol w:w="123"/>
        <w:gridCol w:w="140"/>
        <w:gridCol w:w="1022"/>
        <w:gridCol w:w="214"/>
        <w:gridCol w:w="123"/>
        <w:gridCol w:w="140"/>
        <w:gridCol w:w="897"/>
        <w:gridCol w:w="224"/>
      </w:tblGrid>
      <w:tr>
        <w:trPr/>
        <w:tc>
          <w:tcPr>
            <w:tcW w:w="29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0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i/>
              </w:rPr>
            </w:pPr>
            <w:r>
              <w:rPr>
                <w:i/>
              </w:rPr>
              <w:t>(in thousands, except per share amounts)</w:t>
            </w:r>
          </w:p>
        </w:tc>
        <w:tc>
          <w:tcPr>
            <w:tcW w:w="17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941,822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905,598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864,828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 </w:t>
            </w:r>
            <w:r>
              <w:rPr/>
              <w:t>736,713</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 </w:t>
            </w:r>
            <w:r>
              <w:rPr/>
              <w:t>703,027</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158,619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143,690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138,859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123,463</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107,211</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1,100,441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1,049,288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1,003,687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860,176</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810,238</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439,543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418,611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390,860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335,259</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331,068</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58,603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53,519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55,823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45,303</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41,240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498,146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472,130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446,683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r>
              <w:rPr/>
              <w:t>380,562</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372,308</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602,295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577,158</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r>
              <w:rPr/>
              <w:t>557,004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479,614</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437,930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242,630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236,667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245,714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195,248</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180,793</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62,039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63,799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62,940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27,715</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46,657</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408,000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64,943</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35,000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1,167</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24,160</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9,613</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164,691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142,878</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80,144</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120,674</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123,731</w:t>
            </w:r>
          </w:p>
        </w:tc>
        <w:tc>
          <w:tcPr>
            <w:tcW w:w="224"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 (gain)</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(612</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(2,237</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(7,372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(6,441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(6,530</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(4,084</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113,874</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106,027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(243,111</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77,009</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68,910</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69,476</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54,651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(9,541</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33,907</w:t>
            </w:r>
          </w:p>
        </w:tc>
        <w:tc>
          <w:tcPr>
            <w:tcW w:w="21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36,835</w:t>
            </w:r>
          </w:p>
        </w:tc>
        <w:tc>
          <w:tcPr>
            <w:tcW w:w="224" w:type="dxa"/>
            <w:tcBorders/>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51,376</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(233,570</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xml:space="preserve">43,102 </w:t>
            </w:r>
          </w:p>
        </w:tc>
        <w:tc>
          <w:tcPr>
            <w:tcW w:w="21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32,075</w:t>
            </w:r>
          </w:p>
        </w:tc>
        <w:tc>
          <w:tcPr>
            <w:tcW w:w="224" w:type="dxa"/>
            <w:tcBorders/>
            <w:shd w:fill="CCEEFF" w:val="clear"/>
            <w:vAlign w:val="bottom"/>
          </w:tcPr>
          <w:p>
            <w:pPr>
              <w:pStyle w:val="TableContents"/>
              <w:bidi w:val="0"/>
              <w:spacing w:before="0" w:after="283"/>
              <w:jc w:val="left"/>
              <w:rPr/>
            </w:pPr>
            <w:r>
              <w:rPr/>
              <w:t> </w:t>
            </w:r>
          </w:p>
        </w:tc>
      </w:tr>
      <w:tr>
        <w:trPr/>
        <w:tc>
          <w:tcPr>
            <w:tcW w:w="2916"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147"/>
        <w:gridCol w:w="225"/>
        <w:gridCol w:w="140"/>
        <w:gridCol w:w="916"/>
        <w:gridCol w:w="155"/>
        <w:gridCol w:w="177"/>
        <w:gridCol w:w="140"/>
        <w:gridCol w:w="916"/>
        <w:gridCol w:w="155"/>
        <w:gridCol w:w="177"/>
        <w:gridCol w:w="140"/>
        <w:gridCol w:w="916"/>
        <w:gridCol w:w="155"/>
        <w:gridCol w:w="176"/>
        <w:gridCol w:w="140"/>
        <w:gridCol w:w="856"/>
        <w:gridCol w:w="215"/>
        <w:gridCol w:w="177"/>
        <w:gridCol w:w="140"/>
        <w:gridCol w:w="916"/>
        <w:gridCol w:w="226"/>
      </w:tblGrid>
      <w:tr>
        <w:trPr/>
        <w:tc>
          <w:tcPr>
            <w:tcW w:w="314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4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8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i/>
              </w:rPr>
            </w:pPr>
            <w:r>
              <w:rPr>
                <w:i/>
              </w:rPr>
              <w:t>(in thousands, except per share amounts)</w:t>
            </w:r>
          </w:p>
        </w:tc>
        <w:tc>
          <w:tcPr>
            <w:tcW w:w="225"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sz w:val="4"/>
                <w:szCs w:val="4"/>
              </w:rPr>
            </w:pPr>
            <w:r>
              <w:rPr>
                <w:sz w:val="4"/>
                <w:szCs w:val="4"/>
              </w:rPr>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8,462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(10,506)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20,790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69</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6</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(5,396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(15,697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20,939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(1,924</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(6,058</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(118,635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40,174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(64,816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84,599</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(25,885</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r>
        <w:trPr/>
        <w:tc>
          <w:tcPr>
            <w:tcW w:w="31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(71,171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65,347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(256,657</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125,846</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xml:space="preserve">138 </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(0.83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0.15</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0.11</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cash flow data: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224,164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(147,732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277,961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184,091</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168,447</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(178,996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(214,906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(181,896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(84,445</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(113,126</w:t>
            </w:r>
          </w:p>
        </w:tc>
        <w:tc>
          <w:tcPr>
            <w:tcW w:w="226" w:type="dxa"/>
            <w:tcBorders/>
            <w:vAlign w:val="bottom"/>
          </w:tcPr>
          <w:p>
            <w:pPr>
              <w:pStyle w:val="TableContents"/>
              <w:bidi w:val="0"/>
              <w:spacing w:before="0" w:after="283"/>
              <w:jc w:val="left"/>
              <w:rPr/>
            </w:pPr>
            <w:r>
              <w:rPr/>
              <w:t>) </w:t>
            </w:r>
          </w:p>
        </w:tc>
      </w:tr>
      <w:tr>
        <w:trPr/>
        <w:tc>
          <w:tcPr>
            <w:tcW w:w="31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(50,564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265,959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197,761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(92,359</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(44,016</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r>
      <w:tr>
        <w:trPr/>
        <w:tc>
          <w:tcPr>
            <w:tcW w:w="3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198,500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204,326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270,219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170,376</w:t>
            </w:r>
          </w:p>
        </w:tc>
        <w:tc>
          <w:tcPr>
            <w:tcW w:w="21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139,759</w:t>
            </w:r>
          </w:p>
        </w:tc>
        <w:tc>
          <w:tcPr>
            <w:tcW w:w="226" w:type="dxa"/>
            <w:tcBorders/>
            <w:shd w:fill="CCEEFF" w:val="clear"/>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528,029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506,249</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436,764</w:t>
            </w:r>
          </w:p>
        </w:tc>
        <w:tc>
          <w:tcPr>
            <w:tcW w:w="21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395,640</w:t>
            </w:r>
          </w:p>
        </w:tc>
        <w:tc>
          <w:tcPr>
            <w:tcW w:w="226" w:type="dxa"/>
            <w:tcBorders/>
            <w:vAlign w:val="bottom"/>
          </w:tcPr>
          <w:p>
            <w:pPr>
              <w:pStyle w:val="TableContents"/>
              <w:bidi w:val="0"/>
              <w:spacing w:before="0" w:after="283"/>
              <w:jc w:val="left"/>
              <w:rPr/>
            </w:pPr>
            <w:r>
              <w:rPr/>
              <w:t> </w:t>
            </w:r>
          </w:p>
        </w:tc>
      </w:tr>
      <w:tr>
        <w:trPr/>
        <w:tc>
          <w:tcPr>
            <w:tcW w:w="314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(as defined below), to Adjusted Net Income and Adjusted EBITDA, see “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549"/>
        <w:gridCol w:w="385"/>
        <w:gridCol w:w="140"/>
        <w:gridCol w:w="987"/>
        <w:gridCol w:w="60"/>
        <w:gridCol w:w="385"/>
        <w:gridCol w:w="140"/>
        <w:gridCol w:w="987"/>
        <w:gridCol w:w="60"/>
        <w:gridCol w:w="385"/>
        <w:gridCol w:w="250"/>
        <w:gridCol w:w="1813"/>
        <w:gridCol w:w="64"/>
      </w:tblGrid>
      <w:tr>
        <w:trPr/>
        <w:tc>
          <w:tcPr>
            <w:tcW w:w="454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4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6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w:t>
            </w:r>
          </w:p>
        </w:tc>
        <w:tc>
          <w:tcPr>
            <w:tcW w:w="64" w:type="dxa"/>
            <w:tcBorders/>
            <w:vAlign w:val="bottom"/>
          </w:tcPr>
          <w:p>
            <w:pPr>
              <w:pStyle w:val="TableContents"/>
              <w:bidi w:val="0"/>
              <w:spacing w:before="0" w:after="283"/>
              <w:jc w:val="left"/>
              <w:rPr/>
            </w:pPr>
            <w:r>
              <w:rPr/>
              <w:t> </w:t>
            </w:r>
          </w:p>
        </w:tc>
      </w:tr>
      <w:tr>
        <w:trPr/>
        <w:tc>
          <w:tcPr>
            <w:tcW w:w="454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1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49"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81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277,242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296,407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813" w:type="dxa"/>
            <w:tcBorders/>
            <w:shd w:fill="CCEEFF" w:val="clear"/>
            <w:vAlign w:val="bottom"/>
          </w:tcPr>
          <w:p>
            <w:pPr>
              <w:pStyle w:val="TableContents"/>
              <w:bidi w:val="0"/>
              <w:spacing w:before="0" w:after="283"/>
              <w:jc w:val="right"/>
              <w:rPr/>
            </w:pPr>
            <w:r>
              <w:rPr/>
              <w:t>299,192</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335,035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326,590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335,416</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3,071,648</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3,130,420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3,186,162</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and short-term debt (including current portion, less unamortized debt issuance costs and debt discounts)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2,222,903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2,228,471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2,142,960</w:t>
            </w:r>
          </w:p>
        </w:tc>
        <w:tc>
          <w:tcPr>
            <w:tcW w:w="64"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2,666,737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2,686,686</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2,635,691</w:t>
            </w:r>
          </w:p>
        </w:tc>
        <w:tc>
          <w:tcPr>
            <w:tcW w:w="64"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404,911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443,734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550,471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excludes restricted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represents current assets less current liabilities.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(“ARO”);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the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refinancing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secondary offerings of our common stock and other shareholder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(“EO”) sterilization facilities, including those related to Willowbrook, Illinois, Atlanta, Georgia, Santa Teresa, New Mexico and Vernon, California;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07"/>
        <w:gridCol w:w="186"/>
        <w:gridCol w:w="140"/>
        <w:gridCol w:w="859"/>
        <w:gridCol w:w="155"/>
        <w:gridCol w:w="139"/>
        <w:gridCol w:w="140"/>
        <w:gridCol w:w="859"/>
        <w:gridCol w:w="155"/>
        <w:gridCol w:w="139"/>
        <w:gridCol w:w="140"/>
        <w:gridCol w:w="918"/>
        <w:gridCol w:w="155"/>
        <w:gridCol w:w="139"/>
        <w:gridCol w:w="140"/>
        <w:gridCol w:w="859"/>
        <w:gridCol w:w="214"/>
        <w:gridCol w:w="139"/>
        <w:gridCol w:w="140"/>
        <w:gridCol w:w="859"/>
        <w:gridCol w:w="223"/>
      </w:tblGrid>
      <w:tr>
        <w:trPr/>
        <w:tc>
          <w:tcPr>
            <w:tcW w:w="3507"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6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i/>
              </w:rPr>
            </w:pPr>
            <w:r>
              <w:rPr>
                <w:i/>
              </w:rPr>
              <w:t>(in thousands)</w:t>
            </w:r>
          </w:p>
        </w:tc>
        <w:tc>
          <w:tcPr>
            <w:tcW w:w="186"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51,376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(233,570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 xml:space="preserve">43,102 </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32,075</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79,377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81,348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81,554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36,246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59,737</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36,896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32,364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21,211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23,465</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28,723</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debt(b)</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1,167</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24,160</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foreign currency and derivatives not designated as hedging instruments, net(c)</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2,448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(1,552</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3,150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(1,294</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(1,699</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Business optimization expenses(d)</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9,368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7,662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8,354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7,575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4,733</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9,613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facilities(f)</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32,694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45,312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72,639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37,515</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22,357</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settlements(g)</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408,000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64,943</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settlement(h)</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obligations(i)</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2,638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2,413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2,194</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1,738</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1,914</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COVID-19 expenses(j)</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155</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adjustments(k)</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(33,487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(49,597</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(103,081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(44,081</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(32,241</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198,500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204,326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270,219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170,376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139,759</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142,878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78,490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120,674</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123,731</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Depreciation(l)</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82,420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76,577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64,000</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67,726</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63,074</w:t>
            </w:r>
          </w:p>
        </w:tc>
        <w:tc>
          <w:tcPr>
            <w:tcW w:w="223" w:type="dxa"/>
            <w:tcBorders/>
            <w:vAlign w:val="bottom"/>
          </w:tcPr>
          <w:p>
            <w:pPr>
              <w:pStyle w:val="TableContents"/>
              <w:bidi w:val="0"/>
              <w:spacing w:before="0" w:after="283"/>
              <w:jc w:val="left"/>
              <w:rPr/>
            </w:pPr>
            <w:r>
              <w:rPr/>
              <w:t> </w:t>
            </w:r>
          </w:p>
        </w:tc>
      </w:tr>
      <w:tr>
        <w:trPr/>
        <w:tc>
          <w:tcPr>
            <w:tcW w:w="3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Income(m)</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102,963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104,248</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93,540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77,988</w:t>
            </w:r>
          </w:p>
        </w:tc>
        <w:tc>
          <w:tcPr>
            <w:tcW w:w="21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69,076</w:t>
            </w:r>
          </w:p>
        </w:tc>
        <w:tc>
          <w:tcPr>
            <w:tcW w:w="223" w:type="dxa"/>
            <w:tcBorders/>
            <w:shd w:fill="CCEEFF" w:val="clear"/>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r>
        <w:trPr/>
        <w:tc>
          <w:tcPr>
            <w:tcW w:w="3507"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(n)</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528,029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506,249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436,764</w:t>
            </w:r>
          </w:p>
        </w:tc>
        <w:tc>
          <w:tcPr>
            <w:tcW w:w="21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395,640</w:t>
            </w:r>
          </w:p>
        </w:tc>
        <w:tc>
          <w:tcPr>
            <w:tcW w:w="223" w:type="dxa"/>
            <w:tcBorders/>
            <w:vAlign w:val="bottom"/>
          </w:tcPr>
          <w:p>
            <w:pPr>
              <w:pStyle w:val="TableContents"/>
              <w:bidi w:val="0"/>
              <w:spacing w:before="0" w:after="283"/>
              <w:jc w:val="left"/>
              <w:rPr/>
            </w:pPr>
            <w:r>
              <w:rPr/>
              <w:t> </w:t>
            </w:r>
          </w:p>
        </w:tc>
      </w:tr>
      <w:tr>
        <w:trPr/>
        <w:tc>
          <w:tcPr>
            <w:tcW w:w="3507"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related to employees and Non-Employee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unamortized debt issuance costs and discounts, as well as certain other costs incurred related to the refinancing activity for the Term Loans, the Secured Notes and the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 The year ended December 31, 2023 includes a $1.0 million cancellation fee received from a tenant in connection with the termination of an office space lease at the Nordion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impairment charge on an equity method investment in a joint venture.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presented for the year ended December 31, 2022 represent the cost to settle 880 pending and threatened EO claims in Illinois pursuant to settlement agreements entered into on January 9, 2023 and finalized on March 28, 2023. Amounts presented for the nine months ended September 30, 2025 represent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in Georgia under a settlement entered into on December 21,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ARO related to Co-60 gamma and EO sterilization facilities, which are based on estimated site remediation costs for any future decommissioning of these facilities and are accreted over the life of the asset.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non-recurring costs associated with the COVID-19 pandemic, including incremental costs to implement workplace health and safety measures.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The year ended December 31, 2024 and nine months ended September 30, 2025 exclude accelerated depreciation associated with business optimization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provision/benefit associated with pre-tax adjustments described in footnote (k).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$97.1 million and $94.1 million of the adjustments for the year ended December 31, 2024, and 2023, respectively, and $72.7 million and $73.0 million of the adjustments for the nine months ended September 30, 2025 and 2024, respectively, are included in cost of revenues, primarily consisting of amortization of intangible assets, depreciation, and accretion of ARO.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69893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such as the COVID-19 pandemic, and related policies and restrictions undertaken to contain the spread of such pandemics or potential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costs associated with potential shareholder activism campaigns and outreach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14, “Commitments and Contingencies” to our consolidated financial statements under the heading “Sotera Health Company Securities Litigation and Related Matters” in our Quarterly Report on Form 10-Q for the quarter ended September 30, 2025.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October 28, 2025, we had an aggregate of 284,093,929 shares of common stock that are not currently reserved for issuance under our 2020 Plan, as well as 1,943,223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16,850,235 shares as of October 28, 2025,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 Sponsors own approximately 36.27% of our outstanding common stock, and following completion of this offering the Sponsors will own approximately     %,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interests of the Sponsors may differ from the interests of other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supplement, the Sponsors own approximately 36.27% of our outstanding common stock, and following completion of this offering we expect that the Sponsors will own approximately          %, and retain the right to designate      of our directors (subject to further reduction as ownership levels decrease). As a result, even after their ownership is reduced by this offering, the Sponsors will have substantial influence over all matters requiring a stockholder vote. The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the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Court of Chancery of the State of Delaware or federal court located within the State of Delaware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6989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the conditions for settlement of the EO claims related to our former facility in Willowbrook, Illinois;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changes, including inflationary trends and the impact of tariffs,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the impact of the U.S. federal government shutdown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various applicable laws and potentially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incidents, unauthorized data disclosures, and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profitability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U.S. tax legislation or other changes in U.S. or non-U.S. taxation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control that certain investment funds and entities affiliated with the Sponsors to have over us, which could limit stockholders’ ability to influence the outcome of key transactions, including a change of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69893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284,093,929 shares of common stock outstanding as of October 28, 2025.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5"/>
        <w:gridCol w:w="90"/>
        <w:gridCol w:w="60"/>
        <w:gridCol w:w="1181"/>
        <w:gridCol w:w="60"/>
        <w:gridCol w:w="90"/>
        <w:gridCol w:w="60"/>
        <w:gridCol w:w="599"/>
        <w:gridCol w:w="275"/>
        <w:gridCol w:w="90"/>
        <w:gridCol w:w="84"/>
        <w:gridCol w:w="1089"/>
        <w:gridCol w:w="84"/>
        <w:gridCol w:w="110"/>
        <w:gridCol w:w="84"/>
        <w:gridCol w:w="1089"/>
        <w:gridCol w:w="84"/>
        <w:gridCol w:w="111"/>
        <w:gridCol w:w="84"/>
        <w:gridCol w:w="1094"/>
        <w:gridCol w:w="282"/>
      </w:tblGrid>
      <w:tr>
        <w:trPr/>
        <w:tc>
          <w:tcPr>
            <w:tcW w:w="350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5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Prior to the</w:t>
              <w:br/>
              <w:t>Offering</w:t>
            </w:r>
          </w:p>
        </w:tc>
        <w:tc>
          <w:tcPr>
            <w:tcW w:w="2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w:t>
              <w:br/>
              <w:t>Offering</w:t>
            </w:r>
          </w:p>
        </w:tc>
        <w:tc>
          <w:tcPr>
            <w:tcW w:w="282" w:type="dxa"/>
            <w:tcBorders/>
            <w:vAlign w:val="bottom"/>
          </w:tcPr>
          <w:p>
            <w:pPr>
              <w:pStyle w:val="TableContents"/>
              <w:bidi w:val="0"/>
              <w:spacing w:before="0" w:after="283"/>
              <w:jc w:val="left"/>
              <w:rPr/>
            </w:pPr>
            <w:r>
              <w:rPr/>
              <w:t> </w:t>
            </w:r>
          </w:p>
        </w:tc>
      </w:tr>
      <w:tr>
        <w:trPr/>
        <w:tc>
          <w:tcPr>
            <w:tcW w:w="3505" w:type="dxa"/>
            <w:tcBorders/>
            <w:vAlign w:val="bottom"/>
          </w:tcPr>
          <w:p>
            <w:pPr>
              <w:pStyle w:val="TableContents"/>
              <w:bidi w:val="0"/>
              <w:spacing w:before="0" w:after="283"/>
              <w:jc w:val="left"/>
              <w:rPr>
                <w:b/>
              </w:rPr>
            </w:pPr>
            <w:r>
              <w:rPr>
                <w:b/>
              </w:rPr>
              <w:t>Name of Selling Stockholder(1)</w:t>
            </w:r>
          </w:p>
        </w:tc>
        <w:tc>
          <w:tcPr>
            <w:tcW w:w="9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8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8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r>
      <w:tr>
        <w:trPr/>
        <w:tc>
          <w:tcPr>
            <w:tcW w:w="3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61,822,952</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21.76</w:t>
            </w:r>
          </w:p>
        </w:tc>
        <w:tc>
          <w:tcPr>
            <w:tcW w:w="27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50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41,215,301</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14.51</w:t>
            </w:r>
          </w:p>
        </w:tc>
        <w:tc>
          <w:tcPr>
            <w:tcW w:w="2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49,475,694 shares held of record by Bull Holdco L.P., a Delaware limited partnership (“Bull Holdco”) and (ii) 12,347,258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32,711,677 shares held of record by GTCR Fund XI/A LP, (ii) 8,241,453 shares held of record by GTCR Fund XI/C LP and (iii) 262,171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69893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69893_10"/>
      <w:bookmarkEnd w:id="1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69893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shares of our common stock from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take and pay for all of the shares of our common stock being offered by the selling stockholders, if any are taken. </w:t>
      </w:r>
    </w:p>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 to the public will initially be offered at the public offering price as set forth on the cover of this prospectus. Any shares sold by the underwriter to securities dealers may be sold at a discount of up to $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The following table summarizes the underwriting discounts and commissions the selling stockholders will pay to the underwriter.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3"/>
        <w:gridCol w:w="471"/>
        <w:gridCol w:w="201"/>
        <w:gridCol w:w="807"/>
        <w:gridCol w:w="60"/>
        <w:gridCol w:w="471"/>
        <w:gridCol w:w="140"/>
        <w:gridCol w:w="578"/>
        <w:gridCol w:w="64"/>
      </w:tblGrid>
      <w:tr>
        <w:trPr/>
        <w:tc>
          <w:tcPr>
            <w:tcW w:w="4963"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63"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7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6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47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47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Securities Act, the underwriter may also engage in other activities that stabilize, maintain or otherwise affect the price of the common stock, including the imposition of penalty bids.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its affiliates, officers, directors and employees may purchase, sell or hold a broad array of investments and actively traded securities, 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 and their affiliates will rely upon the truth and accuracy of the foregoing representations, acknowledgements and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any Manager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69893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69893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69893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69893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2025, filed with the SEC on </w:t>
            </w:r>
            <w:hyperlink r:id="rId4">
              <w:r>
                <w:rPr>
                  <w:rStyle w:val="InternetLink"/>
                  <w:rFonts w:ascii="Times New Roman" w:hAnsi="Times New Roman"/>
                  <w:sz w:val="20"/>
                </w:rPr>
                <w:t>May 1, 2025</w:t>
              </w:r>
            </w:hyperlink>
            <w:r>
              <w:rPr>
                <w:rFonts w:ascii="Times New Roman" w:hAnsi="Times New Roman"/>
                <w:sz w:val="20"/>
              </w:rPr>
              <w:t xml:space="preserve">, June  30, 2025, filed with the SEC on </w:t>
            </w:r>
            <w:hyperlink r:id="rId5">
              <w:r>
                <w:rPr>
                  <w:rStyle w:val="InternetLink"/>
                  <w:rFonts w:ascii="Times New Roman" w:hAnsi="Times New Roman"/>
                  <w:sz w:val="20"/>
                </w:rPr>
                <w:t>August 8, 2025</w:t>
              </w:r>
            </w:hyperlink>
            <w:r>
              <w:rPr>
                <w:rFonts w:ascii="Times New Roman" w:hAnsi="Times New Roman"/>
                <w:sz w:val="20"/>
              </w:rPr>
              <w:t xml:space="preserve"> and September  30, 2025, filed with the SEC on </w:t>
            </w:r>
            <w:hyperlink r:id="rId6">
              <w:r>
                <w:rPr>
                  <w:rStyle w:val="InternetLink"/>
                  <w:rFonts w:ascii="Times New Roman" w:hAnsi="Times New Roman"/>
                  <w:sz w:val="20"/>
                </w:rPr>
                <w:t>November 4,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dated January 2, 2025, filed with the SEC on </w:t>
            </w:r>
            <w:hyperlink r:id="rId7">
              <w:r>
                <w:rPr>
                  <w:rStyle w:val="InternetLink"/>
                  <w:rFonts w:ascii="Times New Roman" w:hAnsi="Times New Roman"/>
                  <w:sz w:val="20"/>
                </w:rPr>
                <w:t>January 6, 2025</w:t>
              </w:r>
            </w:hyperlink>
            <w:r>
              <w:rPr>
                <w:rFonts w:ascii="Times New Roman" w:hAnsi="Times New Roman"/>
                <w:sz w:val="20"/>
              </w:rPr>
              <w:t xml:space="preserve">, May  21, 2025, filed with the SEC on </w:t>
            </w:r>
            <w:hyperlink r:id="rId8">
              <w:r>
                <w:rPr>
                  <w:rStyle w:val="InternetLink"/>
                  <w:rFonts w:ascii="Times New Roman" w:hAnsi="Times New Roman"/>
                  <w:sz w:val="20"/>
                </w:rPr>
                <w:t>May 23, 2025</w:t>
              </w:r>
            </w:hyperlink>
            <w:r>
              <w:rPr>
                <w:rFonts w:ascii="Times New Roman" w:hAnsi="Times New Roman"/>
                <w:sz w:val="20"/>
              </w:rPr>
              <w:t xml:space="preserve">, September  3, 2025, filed with the SEC on </w:t>
            </w:r>
            <w:hyperlink r:id="rId9">
              <w:r>
                <w:rPr>
                  <w:rStyle w:val="InternetLink"/>
                  <w:rFonts w:ascii="Times New Roman" w:hAnsi="Times New Roman"/>
                  <w:sz w:val="20"/>
                </w:rPr>
                <w:t>September  5, 2025</w:t>
              </w:r>
            </w:hyperlink>
            <w:r>
              <w:rPr>
                <w:rFonts w:ascii="Times New Roman" w:hAnsi="Times New Roman"/>
                <w:sz w:val="20"/>
              </w:rPr>
              <w:t xml:space="preserve"> and September 17, 2025, filed with the SEC on </w:t>
            </w:r>
            <w:hyperlink r:id="rId10">
              <w:r>
                <w:rPr>
                  <w:rStyle w:val="InternetLink"/>
                  <w:rFonts w:ascii="Times New Roman" w:hAnsi="Times New Roman"/>
                  <w:sz w:val="20"/>
                </w:rPr>
                <w:t>September 18,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11">
              <w:r>
                <w:rPr>
                  <w:rStyle w:val="InternetLink"/>
                  <w:rFonts w:ascii="Times New Roman" w:hAnsi="Times New Roman"/>
                  <w:sz w:val="20"/>
                </w:rPr>
                <w:t>April 10, 2025</w:t>
              </w:r>
            </w:hyperlink>
            <w:r>
              <w:rPr>
                <w:rFonts w:ascii="Times New Roman" w:hAnsi="Times New Roman"/>
                <w:sz w:val="20"/>
              </w:rPr>
              <w:t xml:space="preserve"> and supplemented on </w:t>
            </w:r>
            <w:hyperlink r:id="rId12">
              <w:r>
                <w:rPr>
                  <w:rStyle w:val="InternetLink"/>
                  <w:rFonts w:ascii="Times New Roman" w:hAnsi="Times New Roman"/>
                  <w:sz w:val="20"/>
                </w:rPr>
                <w:t>May 2, 2025</w:t>
              </w:r>
            </w:hyperlink>
            <w:r>
              <w:rPr>
                <w:rFonts w:ascii="Times New Roman" w:hAnsi="Times New Roman"/>
                <w:sz w:val="20"/>
              </w:rPr>
              <w:t xml:space="preserve">, as amended (solely to the extent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5295" cy="575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725295" cy="575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6989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69893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69893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69893_2"/>
      <w:bookmarkEnd w:id="20"/>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69893_3"/>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69893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69893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69893_6"/>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69893_7"/>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217"/>
        <w:gridCol w:w="1378"/>
        <w:gridCol w:w="60"/>
        <w:gridCol w:w="120"/>
        <w:gridCol w:w="219"/>
        <w:gridCol w:w="1391"/>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3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69893_8"/>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69893_9"/>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69893_10"/>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w:t>
            </w:r>
            <w:hyperlink r:id="rId17">
              <w:r>
                <w:rPr>
                  <w:rStyle w:val="InternetLink"/>
                  <w:rFonts w:ascii="Times New Roman" w:hAnsi="Times New Roman"/>
                  <w:sz w:val="20"/>
                </w:rPr>
                <w:t>April  13, 2023</w:t>
              </w:r>
            </w:hyperlink>
            <w:r>
              <w:rPr>
                <w:rFonts w:ascii="Times New Roman" w:hAnsi="Times New Roman"/>
                <w:sz w:val="20"/>
              </w:rPr>
              <w:t xml:space="preserve"> (solely to the extent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69893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69893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0" w:after="0"/>
        <w:jc w:val="center"/>
        <w:rPr/>
      </w:pPr>
      <w:r>
        <w:rPr/>
        <w:t>    </w:t>
      </w:r>
      <w:r>
        <w:rPr>
          <w:rFonts w:ascii="Times New Roman" w:hAnsi="Times New Roman"/>
          <w:b/>
          <w:sz w:val="32"/>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398905" cy="473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398905" cy="4730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pPr>
      <w:r>
        <w:rPr/>
        <w:t>     </w:t>
      </w:r>
      <w:r>
        <w:rPr>
          <w:rFonts w:ascii="Times New Roman" w:hAnsi="Times New Roman"/>
          <w:b/>
          <w:sz w:val="28"/>
        </w:rPr>
        <w:t xml:space="preserve">, 2025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2479/000182247925000015/shc-20241231.htm" TargetMode="External"/><Relationship Id="rId4" Type="http://schemas.openxmlformats.org/officeDocument/2006/relationships/hyperlink" Target="http://www.sec.gov/Archives/edgar/data/../../../ix?doc=/Archives/edgar/data/1822479/000182247925000025/shc-20250331.htm" TargetMode="External"/><Relationship Id="rId5" Type="http://schemas.openxmlformats.org/officeDocument/2006/relationships/hyperlink" Target="http://www.sec.gov/Archives/edgar/data/../../../ix?doc=/Archives/edgar/data/1822479/000182247925000044/shc-20250630.htm" TargetMode="External"/><Relationship Id="rId6" Type="http://schemas.openxmlformats.org/officeDocument/2006/relationships/hyperlink" Target="http://www.sec.gov/Archives/edgar/data/../../../ix?doc=/Archives/edgar/data/1822479/000182247925000054/shc-20250930.htm" TargetMode="External"/><Relationship Id="rId7" Type="http://schemas.openxmlformats.org/officeDocument/2006/relationships/hyperlink" Target="http://www.sec.gov/Archives/edgar/data/../../../ix?doc=/Archives/edgar/data/1822479/000182247925000003/shc-20250102.htm" TargetMode="External"/><Relationship Id="rId8" Type="http://schemas.openxmlformats.org/officeDocument/2006/relationships/hyperlink" Target="http://www.sec.gov/Archives/edgar/data/../../../ix?doc=/Archives/edgar/data/1822479/000182247925000028/shc-20250521.htm" TargetMode="External"/><Relationship Id="rId9" Type="http://schemas.openxmlformats.org/officeDocument/2006/relationships/hyperlink" Target="http://www.sec.gov/Archives/edgar/data/../../../ix?doc=/Archives/edgar/data/1822479/000119312525197231/d53656d8k.htm" TargetMode="External"/><Relationship Id="rId10" Type="http://schemas.openxmlformats.org/officeDocument/2006/relationships/hyperlink" Target="http://www.sec.gov/Archives/edgar/data/../../../ix?doc=/Archives/edgar/data/1822479/000119312525207549/d45811d8k.htm" TargetMode="External"/><Relationship Id="rId11" Type="http://schemas.openxmlformats.org/officeDocument/2006/relationships/hyperlink" Target="http://www.sec.gov/Archives/edgar/data/../../../ix?doc=/Archives/edgar/data/1822479/000110465925033563/tm253344-4_def14a.htm" TargetMode="External"/><Relationship Id="rId12" Type="http://schemas.openxmlformats.org/officeDocument/2006/relationships/hyperlink" Target="http://www.sec.gov/Archives/edgar/data/1822479/000110465925044107/tm2513916d1_defa14a.htm" TargetMode="External"/><Relationship Id="rId13" Type="http://schemas.openxmlformats.org/officeDocument/2006/relationships/hyperlink" Target="http://www.sec.gov/Archives/edgar/data/../../../ix?doc=/Archives/edgar/data/1822479/000182247925000015/shc-20241231.htm" TargetMode="External"/><Relationship Id="rId14" Type="http://schemas.openxmlformats.org/officeDocument/2006/relationships/image" Target="media/image2.jpeg"/><Relationship Id="rId15" Type="http://schemas.openxmlformats.org/officeDocument/2006/relationships/hyperlink" Target="http://www.sec.gov/Archives/edgar/data/1822479/000182247924000011/shc-20231231.htm" TargetMode="External"/><Relationship Id="rId16" Type="http://schemas.openxmlformats.org/officeDocument/2006/relationships/hyperlink" Target="http://www.sec.gov/Archives/edgar/data/../../../ix?doc=/Archives/edgar/data/1822479/000119312523099939/d425483ddef14a.htm" TargetMode="External"/><Relationship Id="rId17" Type="http://schemas.openxmlformats.org/officeDocument/2006/relationships/hyperlink" Target="http://www.sec.gov/Archives/edgar/data/1822479/000119312523099939/d425483ddef14a.htm" TargetMode="External"/><Relationship Id="rId18" Type="http://schemas.openxmlformats.org/officeDocument/2006/relationships/hyperlink" Target="http://www.sec.gov/Archives/edgar/data/../../../ix?doc=/Archives/edgar/data/1822479/000182247923000015/shc-2022123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26036</Words>
  <Characters>139878</Characters>
  <CharactersWithSpaces>167393</CharactersWithSpaces>
  <Paragraphs>3253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