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4, 2025</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jc w:val="center"/>
        <w:rPr>
          <w:rFonts w:ascii="Times New Roman;serif" w:hAnsi="Times New Roman;serif"/>
          <w:b/>
          <w:color w:val="000000"/>
          <w:sz w:val="48"/>
        </w:rPr>
      </w:pPr>
      <w:r>
        <w:rPr>
          <w:rFonts w:ascii="Times New Roman;serif" w:hAnsi="Times New Roman;serif"/>
          <w:b/>
          <w:color w:val="000000"/>
          <w:sz w:val="48"/>
        </w:rPr>
        <w:t xml:space="preserve">SOTERA HEALTH COMPANY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tbl>
      <w:tblPr>
        <w:tblW w:w="8422" w:type="dxa"/>
        <w:jc w:val="left"/>
        <w:tblInd w:w="0" w:type="dxa"/>
        <w:tblLayout w:type="fixed"/>
        <w:tblCellMar>
          <w:top w:w="28" w:type="dxa"/>
          <w:left w:w="28" w:type="dxa"/>
          <w:bottom w:w="28" w:type="dxa"/>
          <w:right w:w="28" w:type="dxa"/>
        </w:tblCellMar>
      </w:tblPr>
      <w:tblGrid>
        <w:gridCol w:w="1172"/>
        <w:gridCol w:w="1028"/>
        <w:gridCol w:w="1040"/>
        <w:gridCol w:w="109"/>
        <w:gridCol w:w="109"/>
        <w:gridCol w:w="109"/>
        <w:gridCol w:w="662"/>
        <w:gridCol w:w="662"/>
        <w:gridCol w:w="670"/>
        <w:gridCol w:w="109"/>
        <w:gridCol w:w="109"/>
        <w:gridCol w:w="109"/>
        <w:gridCol w:w="740"/>
        <w:gridCol w:w="740"/>
        <w:gridCol w:w="10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47-3531161</w:t>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88" w:before="1" w:after="1"/>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9100 South Hills Blvd, Suite 300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Broadview Heights, Ohio 44147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(Zip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(440) 262-1410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pPr>
      <w:r>
        <w:rPr>
          <w:rFonts w:ascii="Times New Roman;serif" w:hAnsi="Times New Roman;serif"/>
          <w:b w:val="false"/>
          <w:color w:val="000000"/>
          <w:sz w:val="16"/>
        </w:rPr>
        <w:t>(Former name or former address, if changed since last report)</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w:t>
      </w:r>
    </w:p>
    <w:p>
      <w:pPr>
        <w:pStyle w:val="TextBody"/>
        <w:bidi w:val="0"/>
        <w:spacing w:lineRule="auto" w:line="288" w:before="20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7765" w:type="dxa"/>
        <w:jc w:val="left"/>
        <w:tblInd w:w="0" w:type="dxa"/>
        <w:tblLayout w:type="fixed"/>
        <w:tblCellMar>
          <w:top w:w="28" w:type="dxa"/>
          <w:left w:w="28" w:type="dxa"/>
          <w:bottom w:w="28" w:type="dxa"/>
          <w:right w:w="28" w:type="dxa"/>
        </w:tblCellMar>
      </w:tblPr>
      <w:tblGrid>
        <w:gridCol w:w="1310"/>
        <w:gridCol w:w="1156"/>
        <w:gridCol w:w="1164"/>
        <w:gridCol w:w="109"/>
        <w:gridCol w:w="109"/>
        <w:gridCol w:w="109"/>
        <w:gridCol w:w="230"/>
        <w:gridCol w:w="230"/>
        <w:gridCol w:w="231"/>
        <w:gridCol w:w="109"/>
        <w:gridCol w:w="109"/>
        <w:gridCol w:w="109"/>
        <w:gridCol w:w="817"/>
        <w:gridCol w:w="817"/>
        <w:gridCol w:w="1156"/>
      </w:tblGrid>
      <w:tr>
        <w:trPr/>
        <w:tc>
          <w:tcPr>
            <w:tcW w:w="131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20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 w:after="1"/>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On November 4, 2025, Sotera Health Company (the “Company”) issued a press release (the “Press Release”) announcing its financial results for the quarter ended September 30, 2025. The Company will hold its previously announced conference call on November 4, 2025, at 9:00 a.m. Eastern Time to discuss its financial results for the quarter. A copy of the Press Release is attached to this Current Report on Form 8-K as Exhibit 99.1 and is incorporated herein by reference.</w:t>
      </w:r>
    </w:p>
    <w:p>
      <w:pPr>
        <w:pStyle w:val="TextBody"/>
        <w:bidi w:val="0"/>
        <w:spacing w:lineRule="auto" w:line="276" w:before="18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1"/>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color w:val="000000"/>
        </w:rPr>
        <w:t xml:space="preserve">  </w:t>
      </w:r>
    </w:p>
    <w:tbl>
      <w:tblPr>
        <w:tblW w:w="8172" w:type="dxa"/>
        <w:jc w:val="left"/>
        <w:tblInd w:w="0" w:type="dxa"/>
        <w:tblLayout w:type="fixed"/>
        <w:tblCellMar>
          <w:top w:w="28" w:type="dxa"/>
          <w:left w:w="28" w:type="dxa"/>
          <w:bottom w:w="28" w:type="dxa"/>
          <w:right w:w="28" w:type="dxa"/>
        </w:tblCellMar>
      </w:tblPr>
      <w:tblGrid>
        <w:gridCol w:w="451"/>
        <w:gridCol w:w="397"/>
        <w:gridCol w:w="398"/>
        <w:gridCol w:w="109"/>
        <w:gridCol w:w="109"/>
        <w:gridCol w:w="109"/>
        <w:gridCol w:w="1931"/>
        <w:gridCol w:w="1931"/>
        <w:gridCol w:w="2737"/>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november42025-ex991.htm">
              <w:r>
                <w:rPr>
                  <w:rStyle w:val="InternetLink"/>
                  <w:rFonts w:ascii="Times New Roman;serif" w:hAnsi="Times New Roman;serif"/>
                  <w:b w:val="false"/>
                  <w:color w:val="0000FF"/>
                  <w:sz w:val="20"/>
                  <w:u w:val="single"/>
                </w:rPr>
                <w:t>Press Release, dated November 4, 2025</w:t>
              </w:r>
            </w:hyperlink>
          </w:p>
        </w:tc>
      </w:tr>
      <w:tr>
        <w:trPr/>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7560" w:type="dxa"/>
        <w:jc w:val="left"/>
        <w:tblInd w:w="0" w:type="dxa"/>
        <w:tblLayout w:type="fixed"/>
        <w:tblCellMar>
          <w:top w:w="28" w:type="dxa"/>
          <w:left w:w="28" w:type="dxa"/>
          <w:bottom w:w="28" w:type="dxa"/>
          <w:right w:w="28" w:type="dxa"/>
        </w:tblCellMar>
      </w:tblPr>
      <w:tblGrid>
        <w:gridCol w:w="761"/>
        <w:gridCol w:w="669"/>
        <w:gridCol w:w="670"/>
        <w:gridCol w:w="220"/>
        <w:gridCol w:w="220"/>
        <w:gridCol w:w="220"/>
        <w:gridCol w:w="220"/>
        <w:gridCol w:w="220"/>
        <w:gridCol w:w="220"/>
        <w:gridCol w:w="1198"/>
        <w:gridCol w:w="1198"/>
        <w:gridCol w:w="1744"/>
      </w:tblGrid>
      <w:tr>
        <w:trPr/>
        <w:tc>
          <w:tcPr>
            <w:tcW w:w="761"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Sotera Health Company</w:t>
            </w:r>
          </w:p>
          <w:p>
            <w:pPr>
              <w:pStyle w:val="TableContents"/>
              <w:bidi w:val="0"/>
              <w:spacing w:lineRule="auto" w:line="288" w:before="0" w:after="20"/>
              <w:ind w:left="0" w:right="0" w:firstLine="48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6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Jonathan M. Lyons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Jonathan M. Lyons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00" w:after="283"/>
        <w:jc w:val="right"/>
        <w:rPr/>
      </w:pPr>
      <w:r>
        <w:rPr>
          <w:rFonts w:ascii="Times New Roman;serif" w:hAnsi="Times New Roman;serif"/>
          <w:b/>
          <w:color w:val="000000"/>
          <w:sz w:val="20"/>
        </w:rPr>
        <w:t>Exhibit 99.1    </w:t>
      </w:r>
      <w:r>
        <w:rPr>
          <w:color w:val="000000"/>
        </w:rPr>
        <w:t>            </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4.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283"/>
        <w:jc w:val="left"/>
        <w:rPr/>
      </w:pPr>
      <w:r>
        <w:rPr/>
        <w:drawing>
          <wp:inline distT="0" distB="0" distL="0" distR="0">
            <wp:extent cx="1666875"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66875"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240"/>
        <w:jc w:val="center"/>
        <w:rPr>
          <w:rFonts w:ascii="sans-serif" w:hAnsi="sans-serif"/>
          <w:b/>
          <w:color w:val="000000"/>
          <w:sz w:val="40"/>
        </w:rPr>
      </w:pPr>
      <w:r>
        <w:rPr>
          <w:rFonts w:ascii="sans-serif" w:hAnsi="sans-serif"/>
          <w:b/>
          <w:color w:val="000000"/>
          <w:sz w:val="40"/>
        </w:rPr>
        <w:t>Sotera Health Reports Strong Third-Quarter and Year-to-Date 2025 Results</w:t>
      </w:r>
    </w:p>
    <w:p>
      <w:pPr>
        <w:pStyle w:val="TextBody"/>
        <w:bidi w:val="0"/>
        <w:spacing w:lineRule="auto" w:line="288" w:before="0" w:after="0"/>
        <w:ind w:left="0" w:right="0" w:hanging="360"/>
        <w:jc w:val="left"/>
        <w:rPr/>
      </w:pPr>
      <w:r>
        <w:rPr>
          <w:color w:val="000000"/>
        </w:rPr>
        <w:t>•</w:t>
      </w:r>
      <w:r>
        <w:rPr>
          <w:rFonts w:ascii="sans-serif" w:hAnsi="sans-serif"/>
          <w:b/>
          <w:i/>
          <w:color w:val="000000"/>
          <w:sz w:val="24"/>
        </w:rPr>
        <w:t xml:space="preserve">Q3 2025 net revenues increased </w:t>
      </w:r>
      <w:r>
        <w:rPr>
          <w:rFonts w:ascii="sans-serif" w:hAnsi="sans-serif"/>
          <w:b/>
          <w:i/>
          <w:color w:val="000000"/>
          <w:sz w:val="24"/>
          <w:shd w:fill="FFFFFF" w:val="clear"/>
        </w:rPr>
        <w:t xml:space="preserve">9.1% </w:t>
      </w:r>
      <w:r>
        <w:rPr>
          <w:rFonts w:ascii="sans-serif" w:hAnsi="sans-serif"/>
          <w:b/>
          <w:i/>
          <w:color w:val="000000"/>
          <w:sz w:val="24"/>
        </w:rPr>
        <w:t>to $311 million</w:t>
      </w:r>
      <w:r>
        <w:rPr>
          <w:rFonts w:ascii="sans-serif" w:hAnsi="sans-serif"/>
          <w:b/>
          <w:i/>
          <w:color w:val="000000"/>
          <w:sz w:val="24"/>
          <w:shd w:fill="FFFFFF" w:val="clear"/>
        </w:rPr>
        <w:t>, or 8.0% on a constant currency basis</w:t>
      </w:r>
      <w:r>
        <w:rPr>
          <w:rFonts w:ascii="sans-serif" w:hAnsi="sans-serif"/>
          <w:b w:val="false"/>
          <w:i/>
          <w:color w:val="000000"/>
          <w:sz w:val="16"/>
        </w:rPr>
        <w:t>(1)</w:t>
      </w:r>
      <w:r>
        <w:rPr>
          <w:rFonts w:ascii="sans-serif" w:hAnsi="sans-serif"/>
          <w:b/>
          <w:i/>
          <w:color w:val="000000"/>
          <w:sz w:val="24"/>
          <w:shd w:fill="FFFFFF" w:val="clear"/>
        </w:rPr>
        <w:t>, compared to Q3 2024</w:t>
      </w:r>
    </w:p>
    <w:p>
      <w:pPr>
        <w:pStyle w:val="TextBody"/>
        <w:bidi w:val="0"/>
        <w:spacing w:lineRule="auto" w:line="288" w:before="0" w:after="0"/>
        <w:ind w:left="0" w:right="0" w:hanging="360"/>
        <w:jc w:val="left"/>
        <w:rPr/>
      </w:pPr>
      <w:r>
        <w:rPr>
          <w:color w:val="000000"/>
          <w:shd w:fill="FFFFFF" w:val="clear"/>
        </w:rPr>
        <w:t>•</w:t>
      </w:r>
      <w:r>
        <w:rPr>
          <w:rFonts w:ascii="sans-serif" w:hAnsi="sans-serif"/>
          <w:b/>
          <w:i/>
          <w:color w:val="000000"/>
          <w:sz w:val="24"/>
          <w:shd w:fill="FFFFFF" w:val="clear"/>
        </w:rPr>
        <w:t>Q3 2025 net income of $48 million, or $0.17 per diluted share, compared to net income of $17 million or $0.06 per diluted share in Q3 2024</w:t>
      </w:r>
    </w:p>
    <w:p>
      <w:pPr>
        <w:pStyle w:val="TextBody"/>
        <w:bidi w:val="0"/>
        <w:spacing w:lineRule="auto" w:line="288" w:before="0" w:after="0"/>
        <w:ind w:left="0" w:right="0" w:hanging="360"/>
        <w:jc w:val="left"/>
        <w:rPr/>
      </w:pPr>
      <w:r>
        <w:rPr>
          <w:color w:val="000000"/>
          <w:shd w:fill="FFFFFF" w:val="clear"/>
        </w:rPr>
        <w:t>•</w:t>
      </w:r>
      <w:r>
        <w:rPr>
          <w:rFonts w:ascii="sans-serif" w:hAnsi="sans-serif"/>
          <w:b/>
          <w:i/>
          <w:color w:val="000000"/>
          <w:sz w:val="24"/>
          <w:shd w:fill="FFFFFF" w:val="clear"/>
        </w:rPr>
        <w:t>Q3 2025 Adjusted EBITDA</w:t>
      </w:r>
      <w:r>
        <w:rPr>
          <w:rFonts w:ascii="sans-serif" w:hAnsi="sans-serif"/>
          <w:b/>
          <w:i/>
          <w:color w:val="000000"/>
          <w:sz w:val="16"/>
          <w:shd w:fill="FFFFFF" w:val="clear"/>
        </w:rPr>
        <w:t>(1)</w:t>
      </w:r>
      <w:r>
        <w:rPr>
          <w:color w:val="000000"/>
          <w:shd w:fill="FFFFFF" w:val="clear"/>
        </w:rPr>
        <w:t xml:space="preserve"> </w:t>
      </w:r>
      <w:r>
        <w:rPr>
          <w:rFonts w:ascii="sans-serif" w:hAnsi="sans-serif"/>
          <w:b/>
          <w:i/>
          <w:color w:val="000000"/>
          <w:sz w:val="24"/>
        </w:rPr>
        <w:t>increased</w:t>
      </w:r>
      <w:r>
        <w:rPr>
          <w:color w:val="000000"/>
          <w:shd w:fill="FFFFFF" w:val="clear"/>
        </w:rPr>
        <w:t xml:space="preserve"> </w:t>
      </w:r>
      <w:r>
        <w:rPr>
          <w:rFonts w:ascii="sans-serif" w:hAnsi="sans-serif"/>
          <w:b/>
          <w:i/>
          <w:color w:val="000000"/>
          <w:sz w:val="24"/>
          <w:shd w:fill="FFFFFF" w:val="clear"/>
        </w:rPr>
        <w:t>12.2% to $164 million, or 11.2% on a constant currency basis, compared to Q3 2024</w:t>
      </w:r>
    </w:p>
    <w:p>
      <w:pPr>
        <w:pStyle w:val="TextBody"/>
        <w:bidi w:val="0"/>
        <w:spacing w:lineRule="auto" w:line="288" w:before="0" w:after="0"/>
        <w:ind w:left="0" w:right="0" w:hanging="360"/>
        <w:jc w:val="left"/>
        <w:rPr/>
      </w:pPr>
      <w:r>
        <w:rPr>
          <w:color w:val="000000"/>
          <w:shd w:fill="FFFFFF" w:val="clear"/>
        </w:rPr>
        <w:t>•</w:t>
      </w:r>
      <w:r>
        <w:rPr>
          <w:rFonts w:ascii="sans-serif" w:hAnsi="sans-serif"/>
          <w:b/>
          <w:i/>
          <w:color w:val="000000"/>
          <w:sz w:val="24"/>
          <w:shd w:fill="FFFFFF" w:val="clear"/>
        </w:rPr>
        <w:t>Q3 2025 Adjusted EPS</w:t>
      </w:r>
      <w:r>
        <w:rPr>
          <w:rFonts w:ascii="sans-serif" w:hAnsi="sans-serif"/>
          <w:b/>
          <w:i/>
          <w:color w:val="000000"/>
          <w:sz w:val="16"/>
          <w:shd w:fill="FFFFFF" w:val="clear"/>
        </w:rPr>
        <w:t>(1)</w:t>
      </w:r>
      <w:r>
        <w:rPr>
          <w:color w:val="000000"/>
          <w:shd w:fill="FFFFFF" w:val="clear"/>
        </w:rPr>
        <w:t xml:space="preserve"> </w:t>
      </w:r>
      <w:r>
        <w:rPr>
          <w:rFonts w:ascii="sans-serif" w:hAnsi="sans-serif"/>
          <w:b/>
          <w:i/>
          <w:color w:val="000000"/>
          <w:sz w:val="24"/>
          <w:shd w:fill="FFFFFF" w:val="clear"/>
        </w:rPr>
        <w:t xml:space="preserve">of $0.26, an increase of $0.09 per diluted share, compared to Adjusted EPS of </w:t>
      </w:r>
      <w:r>
        <w:rPr>
          <w:rFonts w:ascii="sans-serif" w:hAnsi="sans-serif"/>
          <w:b/>
          <w:i/>
          <w:color w:val="000000"/>
          <w:sz w:val="24"/>
        </w:rPr>
        <w:t>$0.17</w:t>
      </w:r>
      <w:r>
        <w:rPr>
          <w:color w:val="000000"/>
          <w:shd w:fill="FFFFFF" w:val="clear"/>
        </w:rPr>
        <w:t xml:space="preserve"> </w:t>
      </w:r>
      <w:r>
        <w:rPr>
          <w:rFonts w:ascii="sans-serif" w:hAnsi="sans-serif"/>
          <w:b/>
          <w:i/>
          <w:color w:val="000000"/>
          <w:sz w:val="24"/>
          <w:shd w:fill="FFFFFF" w:val="clear"/>
        </w:rPr>
        <w:t>in Q3 2024</w:t>
      </w:r>
    </w:p>
    <w:p>
      <w:pPr>
        <w:pStyle w:val="TextBody"/>
        <w:bidi w:val="0"/>
        <w:spacing w:lineRule="auto" w:line="288" w:before="0" w:after="0"/>
        <w:ind w:left="0" w:right="0" w:hanging="360"/>
        <w:jc w:val="left"/>
        <w:rPr/>
      </w:pPr>
      <w:r>
        <w:rPr>
          <w:color w:val="000000"/>
          <w:shd w:fill="FFFFFF" w:val="clear"/>
        </w:rPr>
        <w:t>•</w:t>
      </w:r>
      <w:r>
        <w:rPr>
          <w:rFonts w:ascii="sans-serif" w:hAnsi="sans-serif"/>
          <w:b/>
          <w:i/>
          <w:color w:val="000000"/>
          <w:sz w:val="24"/>
          <w:shd w:fill="FFFFFF" w:val="clear"/>
        </w:rPr>
        <w:t>Raising 2025 Adjusted EBITDA growth range to 6.75% - 7.75% and reaffirming net revenues outlook range of 4.5% - 6.0%, on a constant currency basis</w:t>
      </w:r>
    </w:p>
    <w:p>
      <w:pPr>
        <w:pStyle w:val="TextBody"/>
        <w:bidi w:val="0"/>
        <w:spacing w:lineRule="auto" w:line="288" w:before="240" w:after="283"/>
        <w:jc w:val="left"/>
        <w:rPr/>
      </w:pPr>
      <w:r>
        <w:rPr>
          <w:rFonts w:ascii="sans-serif" w:hAnsi="sans-serif"/>
          <w:b/>
          <w:color w:val="000000"/>
          <w:sz w:val="22"/>
        </w:rPr>
        <w:t>CLEVELAND, OH, November 4, 2025</w:t>
      </w:r>
      <w:r>
        <w:rPr>
          <w:color w:val="000000"/>
        </w:rPr>
        <w:t xml:space="preserve"> – </w:t>
      </w:r>
      <w:r>
        <w:rPr>
          <w:rFonts w:ascii="sans-serif" w:hAnsi="sans-serif"/>
          <w:b w:val="false"/>
          <w:color w:val="000000"/>
          <w:sz w:val="22"/>
        </w:rPr>
        <w:t>Sotera Health Company (“Sotera Health” or the “Company”) (Nasdaq: SHC), a leading global provider of mission-critical end-to-end sterilization solutions, lab testing and advisory services for the healthcare industry, today announced financial results for the three- and nine-months ended September 30, 2025.</w:t>
      </w:r>
    </w:p>
    <w:p>
      <w:pPr>
        <w:pStyle w:val="TextBody"/>
        <w:bidi w:val="0"/>
        <w:spacing w:lineRule="auto" w:line="288" w:before="140" w:after="283"/>
        <w:jc w:val="left"/>
        <w:rPr/>
      </w:pPr>
      <w:r>
        <w:rPr>
          <w:rFonts w:ascii="sans-serif" w:hAnsi="sans-serif"/>
          <w:b w:val="false"/>
          <w:color w:val="000000"/>
          <w:sz w:val="22"/>
        </w:rPr>
        <w:t>Third-quarter 2025 net reve</w:t>
      </w:r>
      <w:r>
        <w:rPr>
          <w:rFonts w:ascii="sans-serif" w:hAnsi="sans-serif"/>
          <w:b w:val="false"/>
          <w:color w:val="000000"/>
          <w:sz w:val="22"/>
          <w:shd w:fill="FFFFFF" w:val="clear"/>
        </w:rPr>
        <w:t xml:space="preserve">nues increased 9.1% to $311 million, compared to $285 million in the third-quarter 2024. Net revenues increased 8.0% on a constant currency basis. Net income was $48 million, or $0.17 per diluted share, compared to net income of $17 million, or $0.06 per diluted share in the third-quarter of 2024. Adjusted EBITDA for the third-quarter 2025 increased 12.2% to $164 million, compared to the third-quarter of 2024. Adjusted EBITDA increased 11.2% on a constant currency basis. Third-quarter 2025 Adjusted Earnings Per Diluted Share (“Adjusted EPS”) increased by $0.09 to $0.26, compared to the third-quarter </w:t>
      </w:r>
      <w:r>
        <w:rPr>
          <w:rFonts w:ascii="sans-serif" w:hAnsi="sans-serif"/>
          <w:b w:val="false"/>
          <w:color w:val="000000"/>
          <w:sz w:val="22"/>
        </w:rPr>
        <w:t>of 2024.</w:t>
      </w:r>
    </w:p>
    <w:p>
      <w:pPr>
        <w:pStyle w:val="TextBody"/>
        <w:bidi w:val="0"/>
        <w:spacing w:lineRule="auto" w:line="288" w:before="140" w:after="283"/>
        <w:jc w:val="left"/>
        <w:rPr/>
      </w:pPr>
      <w:r>
        <w:rPr>
          <w:rFonts w:ascii="sans-serif" w:hAnsi="sans-serif"/>
          <w:b w:val="false"/>
          <w:color w:val="000000"/>
          <w:sz w:val="22"/>
          <w:shd w:fill="FFFFFF" w:val="clear"/>
        </w:rPr>
        <w:t xml:space="preserve">For the first nine months of 2025, net revenues increased 6.2% to $860 million, compared to $810 million for the same period in 2024. Net revenues increased 6.2% on a constant currency basis. Net income was $43 million, or $0.15 per diluted share, </w:t>
      </w:r>
      <w:r>
        <w:rPr>
          <w:rFonts w:ascii="sans-serif" w:hAnsi="sans-serif"/>
          <w:b w:val="false"/>
          <w:color w:val="000000"/>
          <w:sz w:val="22"/>
        </w:rPr>
        <w:t>which includes the previously disclosed settlement of approximately $31 million and the pending settlement of $34 million related to ethylene oxide (“EO”) claims against Sterigenics,</w:t>
      </w:r>
      <w:r>
        <w:rPr>
          <w:color w:val="000000"/>
          <w:shd w:fill="FFFFFF" w:val="clear"/>
        </w:rPr>
        <w:t xml:space="preserve"> </w:t>
      </w:r>
      <w:r>
        <w:rPr>
          <w:rFonts w:ascii="sans-serif" w:hAnsi="sans-serif"/>
          <w:b w:val="false"/>
          <w:color w:val="000000"/>
          <w:sz w:val="22"/>
          <w:shd w:fill="FFFFFF" w:val="clear"/>
        </w:rPr>
        <w:t>compared with net income of $32 million, or $0.11 per diluted share, for the same period last year. Adjusted EBITDA for the first nine months of 2025 increased 10.4% to $437 million compared to same period last year. Adjusted EBITDA increase</w:t>
      </w:r>
      <w:r>
        <w:rPr>
          <w:rFonts w:ascii="sans-serif" w:hAnsi="sans-serif"/>
          <w:b w:val="false"/>
          <w:color w:val="000000"/>
          <w:sz w:val="22"/>
        </w:rPr>
        <w:t>d 10.6%</w:t>
      </w:r>
      <w:r>
        <w:rPr>
          <w:color w:val="000000"/>
        </w:rPr>
        <w:t xml:space="preserve"> </w:t>
      </w:r>
      <w:r>
        <w:rPr>
          <w:rFonts w:ascii="sans-serif" w:hAnsi="sans-serif"/>
          <w:b w:val="false"/>
          <w:color w:val="000000"/>
          <w:sz w:val="22"/>
        </w:rPr>
        <w:t>on a constant currency basi</w:t>
      </w:r>
      <w:r>
        <w:rPr>
          <w:rFonts w:ascii="sans-serif" w:hAnsi="sans-serif"/>
          <w:b w:val="false"/>
          <w:color w:val="000000"/>
          <w:sz w:val="24"/>
        </w:rPr>
        <w:t>s, and</w:t>
      </w:r>
      <w:r>
        <w:rPr>
          <w:color w:val="000000"/>
          <w:shd w:fill="FFFFFF" w:val="clear"/>
        </w:rPr>
        <w:t xml:space="preserve"> </w:t>
      </w:r>
      <w:r>
        <w:rPr>
          <w:rFonts w:ascii="sans-serif" w:hAnsi="sans-serif"/>
          <w:b w:val="false"/>
          <w:color w:val="000000"/>
          <w:sz w:val="22"/>
          <w:shd w:fill="FFFFFF" w:val="clear"/>
        </w:rPr>
        <w:t xml:space="preserve">Adjusted EPS increased by </w:t>
      </w:r>
      <w:r>
        <w:rPr>
          <w:rFonts w:ascii="sans-serif" w:hAnsi="sans-serif"/>
          <w:b w:val="false"/>
          <w:color w:val="000000"/>
          <w:sz w:val="22"/>
        </w:rPr>
        <w:t>$0.11</w:t>
      </w:r>
      <w:r>
        <w:rPr>
          <w:color w:val="000000"/>
          <w:shd w:fill="FFFFFF" w:val="clear"/>
        </w:rPr>
        <w:t xml:space="preserve"> </w:t>
      </w:r>
      <w:r>
        <w:rPr>
          <w:rFonts w:ascii="sans-serif" w:hAnsi="sans-serif"/>
          <w:b w:val="false"/>
          <w:color w:val="000000"/>
          <w:sz w:val="22"/>
          <w:shd w:fill="FFFFFF" w:val="clear"/>
        </w:rPr>
        <w:t xml:space="preserve">to $0.60 compared to the first nine months </w:t>
      </w:r>
      <w:r>
        <w:rPr>
          <w:rFonts w:ascii="sans-serif" w:hAnsi="sans-serif"/>
          <w:b w:val="false"/>
          <w:color w:val="000000"/>
          <w:sz w:val="22"/>
        </w:rPr>
        <w:t>of 2024.</w:t>
      </w:r>
    </w:p>
    <w:p>
      <w:pPr>
        <w:pStyle w:val="TextBody"/>
        <w:bidi w:val="0"/>
        <w:spacing w:lineRule="auto" w:line="288" w:before="140" w:after="283"/>
        <w:jc w:val="left"/>
        <w:rPr>
          <w:color w:val="000000"/>
        </w:rPr>
      </w:pPr>
      <w:r>
        <w:rPr>
          <w:color w:val="000000"/>
        </w:rPr>
        <w:t>“</w:t>
      </w:r>
      <w:r>
        <w:rPr>
          <w:rFonts w:ascii="sans-serif" w:hAnsi="sans-serif"/>
          <w:b w:val="false"/>
          <w:color w:val="000000"/>
          <w:sz w:val="22"/>
        </w:rPr>
        <w:t>Today, we reported strong top-line revenue growth and double-digit Adjusted EBITDA growth, with approximately 150 basis points of margin expansion,” said Chairman and Chief Executive Officer Michael B. Petras, Jr. “Sterigenics continued its strong volume performance, Nordion achieved double-digit revenue and segment income growth, and Nelson Labs continued to expand segment income margins.”</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Petras continued, “Based on our year-to-date performance and good visibility into the remainder of this year, we are reaffirming our 2025 revenue outlook and raising our Adjusted EBITDA outlook.”</w:t>
      </w:r>
    </w:p>
    <w:p>
      <w:pPr>
        <w:pStyle w:val="TextBody"/>
        <w:bidi w:val="0"/>
        <w:spacing w:lineRule="auto" w:line="288"/>
        <w:jc w:val="left"/>
        <w:rPr/>
      </w:pPr>
      <w:r>
        <w:rPr>
          <w:rFonts w:ascii="sans-serif" w:hAnsi="sans-serif"/>
          <w:b w:val="false"/>
          <w:color w:val="000000"/>
          <w:sz w:val="12"/>
        </w:rPr>
        <w:t>(1)</w:t>
      </w:r>
      <w:r>
        <w:rPr>
          <w:color w:val="000000"/>
        </w:rPr>
        <w:t xml:space="preserve"> </w:t>
      </w:r>
      <w:r>
        <w:rPr>
          <w:rFonts w:ascii="sans-serif" w:hAnsi="sans-serif"/>
          <w:b w:val="false"/>
          <w:color w:val="000000"/>
          <w:sz w:val="18"/>
        </w:rPr>
        <w:t>This is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r>
        <w:rPr>
          <w:rFonts w:ascii="Arial;sans-serif" w:hAnsi="Arial;sans-serif"/>
          <w:b w:val="false"/>
          <w:color w:val="000000"/>
          <w:sz w:val="16"/>
        </w:rPr>
        <w:t>1</w:t>
      </w:r>
    </w:p>
    <w:p>
      <w:pPr>
        <w:pStyle w:val="TextBody"/>
        <w:bidi w:val="0"/>
        <w:spacing w:before="1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w:t>
                      </w:r>
                    </w:p>
                  </w:txbxContent>
                </v:textbox>
                <w10:wrap type="none"/>
              </v:rect>
            </w:pict>
          </mc:Fallback>
        </mc:AlternateConten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Third-Quarter and Year-to-Date 2025 Highlights by Business Segment</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Sterigenics</w:t>
      </w:r>
    </w:p>
    <w:p>
      <w:pPr>
        <w:pStyle w:val="TextBody"/>
        <w:bidi w:val="0"/>
        <w:spacing w:lineRule="auto" w:line="288" w:before="60" w:after="283"/>
        <w:jc w:val="left"/>
        <w:rPr/>
      </w:pPr>
      <w:r>
        <w:rPr>
          <w:rFonts w:ascii="sans-serif" w:hAnsi="sans-serif"/>
          <w:b w:val="false"/>
          <w:color w:val="000000"/>
          <w:sz w:val="22"/>
        </w:rPr>
        <w:t>Sterigenics delivered solid results for the third-quarter 2025, with</w:t>
      </w:r>
      <w:r>
        <w:rPr>
          <w:color w:val="000000"/>
          <w:shd w:fill="FFFFFF" w:val="clear"/>
        </w:rPr>
        <w:t xml:space="preserve"> </w:t>
      </w:r>
      <w:r>
        <w:rPr>
          <w:rFonts w:ascii="sans-serif" w:hAnsi="sans-serif"/>
          <w:b w:val="false"/>
          <w:color w:val="000000"/>
          <w:sz w:val="22"/>
          <w:shd w:fill="FFFFFF" w:val="clear"/>
        </w:rPr>
        <w:t xml:space="preserve">net revenues up 9.8% to $193 million, or </w:t>
      </w:r>
      <w:r>
        <w:rPr>
          <w:rFonts w:ascii="sans-serif" w:hAnsi="sans-serif"/>
          <w:b w:val="false"/>
          <w:color w:val="000000"/>
          <w:sz w:val="22"/>
        </w:rPr>
        <w:t>8.4%</w:t>
      </w:r>
      <w:r>
        <w:rPr>
          <w:color w:val="000000"/>
          <w:shd w:fill="FFFFFF" w:val="clear"/>
        </w:rPr>
        <w:t xml:space="preserve"> </w:t>
      </w:r>
      <w:r>
        <w:rPr>
          <w:rFonts w:ascii="sans-serif" w:hAnsi="sans-serif"/>
          <w:b w:val="false"/>
          <w:color w:val="000000"/>
          <w:sz w:val="22"/>
          <w:shd w:fill="FFFFFF" w:val="clear"/>
        </w:rPr>
        <w:t>on a constant currency basis, compared to the third-quarter of 2024. Third-quarter 2025 segment income was $107 million, a double-digit increase of 11.6%. For the first nine months of 2025, Sterigenics net revenues increased 7.5% to $557 million on both a nominal and constant currency basis, co</w:t>
      </w:r>
      <w:r>
        <w:rPr>
          <w:rFonts w:ascii="sans-serif" w:hAnsi="sans-serif"/>
          <w:b w:val="false"/>
          <w:color w:val="000000"/>
          <w:sz w:val="22"/>
        </w:rPr>
        <w:t>mpared to the same period in 2024. Segment income increased 8.7% to $303 million.</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Revenue growth for the quarter was driven by favorable volume and mix, pricing and changes in foreign currency exchange rates. Segment income and segment income margin increased for the quarter due to favorable volume and mix, as well as pricing, partially offset by inflation.</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Nordion</w:t>
      </w:r>
    </w:p>
    <w:p>
      <w:pPr>
        <w:pStyle w:val="TextBody"/>
        <w:bidi w:val="0"/>
        <w:spacing w:lineRule="auto" w:line="288" w:before="60" w:after="283"/>
        <w:jc w:val="left"/>
        <w:rPr>
          <w:rFonts w:ascii="sans-serif" w:hAnsi="sans-serif"/>
          <w:b w:val="false"/>
          <w:color w:val="000000"/>
          <w:sz w:val="22"/>
        </w:rPr>
      </w:pPr>
      <w:r>
        <w:rPr>
          <w:rFonts w:ascii="sans-serif" w:hAnsi="sans-serif"/>
          <w:b w:val="false"/>
          <w:color w:val="000000"/>
          <w:sz w:val="22"/>
        </w:rPr>
        <w:t>Nordion net revenues increased 22.4% to $63 million, or 23.6% on a constant currency basis, compared to the third-quarter of 2024. Third-quarter 2025 segment income increased 19.9% to $38 million. For the first nine months of 2025, Nordion net revenues increased 18.2% to $138 million, or 19.8% on a constant currency basis, compared to the same period in 2024. Segment income increased 19.7% to $79 million.</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Revenue growth for the quarter was driven by favorable volume and mix, as well as pricing, partially offset by unfavorable changes in foreign currency exchange rates. The increase in segment income was attributable to growth in volume and mix and benefits from customer pricing. Segment income margin decreased as a result of product mix.</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Nelson Labs</w:t>
      </w:r>
    </w:p>
    <w:p>
      <w:pPr>
        <w:pStyle w:val="TextBody"/>
        <w:bidi w:val="0"/>
        <w:spacing w:lineRule="auto" w:line="288" w:before="60" w:after="283"/>
        <w:jc w:val="left"/>
        <w:rPr>
          <w:rFonts w:ascii="sans-serif" w:hAnsi="sans-serif"/>
          <w:b w:val="false"/>
          <w:color w:val="000000"/>
          <w:sz w:val="22"/>
        </w:rPr>
      </w:pPr>
      <w:r>
        <w:rPr>
          <w:rFonts w:ascii="sans-serif" w:hAnsi="sans-serif"/>
          <w:b w:val="false"/>
          <w:color w:val="000000"/>
          <w:sz w:val="22"/>
        </w:rPr>
        <w:t>Nelson Labs net revenues decreased 5.0% to $56 million, or 6.4% on a constant currency basis, compared to the third-quarter of 2024. Nelson Labs third-quarter 2025 segment income increased 1.9% to $19 million. For the first nine months of 2025, Nelson Labs net revenues decreased 5.8% to $165 million, or 6.4% on a constant currency basis, compared to the same period in 2024. Segment income increased 7.4% to $55 million.</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Change in revenues for the quarter were driven by favorable pricing, changes in foreign currency exchange rates, and improvement in core lab testing services, offset by a decline in expert advisory services revenues. Segment income and segment income margin increased for the quarter as a result of volume and mix improvements, lab optimization and favorable pricing.</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Balance Sheet and Liquidity</w:t>
      </w:r>
    </w:p>
    <w:p>
      <w:pPr>
        <w:pStyle w:val="TextBody"/>
        <w:bidi w:val="0"/>
        <w:spacing w:lineRule="auto" w:line="288" w:before="60" w:after="283"/>
        <w:jc w:val="left"/>
        <w:rPr/>
      </w:pPr>
      <w:r>
        <w:rPr>
          <w:rFonts w:ascii="sans-serif" w:hAnsi="sans-serif"/>
          <w:b w:val="false"/>
          <w:color w:val="000000"/>
          <w:sz w:val="22"/>
        </w:rPr>
        <w:t>As of September 30, 2025, Sotera Health had $2.2 billion of total debt and $299 million in unrestricted cash and cash equivalents, compared to $2.3 billion in total debt and $277 million of unrestricted cash and cash equivalents as of December 31, 2024. Sotera Health’s Net Leverage Ratio</w:t>
      </w:r>
      <w:r>
        <w:rPr>
          <w:rFonts w:ascii="sans-serif" w:hAnsi="sans-serif"/>
          <w:b w:val="false"/>
          <w:color w:val="000000"/>
          <w:sz w:val="13"/>
        </w:rPr>
        <w:t>(2)</w:t>
      </w:r>
      <w:r>
        <w:rPr>
          <w:color w:val="000000"/>
        </w:rPr>
        <w:t xml:space="preserve"> </w:t>
      </w:r>
      <w:r>
        <w:rPr>
          <w:rFonts w:ascii="sans-serif" w:hAnsi="sans-serif"/>
          <w:b w:val="false"/>
          <w:color w:val="000000"/>
          <w:sz w:val="22"/>
        </w:rPr>
        <w:t>as of third-quarter 2025 improved to 3.3x, closer to the Company’s long-term stated goal of 2.0x to 3.0x, as compared to 3.7x as of December 31, 2024. As of September 30, 2025, the Company did not have any borrowings on its revolving credit facility.</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In the third-quarter of 2025, the Company achieved a contractual net leverage target, triggering a 25 basis point reduction in the interest rate on its First Lien Term Loan facility. Additionally, on September 17, 2025 the Company amended its First Lien Term Loan facility, which reduced the interest rate spread over SOFR from 300 basis points to 250 basis points, and concurrently repaid $75 million of the facility.</w:t>
      </w:r>
    </w:p>
    <w:p>
      <w:pPr>
        <w:pStyle w:val="TextBody"/>
        <w:bidi w:val="0"/>
        <w:spacing w:before="240" w:after="283"/>
        <w:jc w:val="left"/>
        <w:rPr/>
      </w:pPr>
      <w:r>
        <w:rPr/>
      </w:r>
    </w:p>
    <w:p>
      <w:pPr>
        <w:pStyle w:val="TextBody"/>
        <w:bidi w:val="0"/>
        <w:spacing w:lineRule="auto" w:line="288"/>
        <w:jc w:val="left"/>
        <w:rPr/>
      </w:pPr>
      <w:r>
        <w:rPr>
          <w:rFonts w:ascii="sans-serif" w:hAnsi="sans-serif"/>
          <w:b w:val="false"/>
          <w:color w:val="000000"/>
          <w:sz w:val="10"/>
        </w:rPr>
        <w:t>(2)</w:t>
      </w:r>
      <w:r>
        <w:rPr>
          <w:color w:val="000000"/>
        </w:rPr>
        <w:t xml:space="preserve"> </w:t>
      </w:r>
      <w:r>
        <w:rPr>
          <w:rFonts w:ascii="sans-serif" w:hAnsi="sans-serif"/>
          <w:b w:val="false"/>
          <w:color w:val="000000"/>
          <w:sz w:val="16"/>
        </w:rPr>
        <w:t>This is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pStyle w:val="TextBody"/>
        <w:bidi w:val="0"/>
        <w:spacing w:before="10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2</w:t>
                      </w:r>
                    </w:p>
                  </w:txbxContent>
                </v:textbox>
                <w10:wrap type="none"/>
              </v:rect>
            </w:pict>
          </mc:Fallback>
        </mc:AlternateContent>
      </w:r>
    </w:p>
    <w:p>
      <w:pPr>
        <w:pStyle w:val="TextBody"/>
        <w:bidi w:val="0"/>
        <w:spacing w:lineRule="auto" w:line="288" w:before="0" w:after="0"/>
        <w:jc w:val="left"/>
        <w:rPr>
          <w:rFonts w:ascii="sans-serif" w:hAnsi="sans-serif"/>
          <w:b/>
          <w:color w:val="000000"/>
          <w:sz w:val="22"/>
          <w:u w:val="single"/>
        </w:rPr>
      </w:pPr>
      <w:r>
        <w:rPr>
          <w:rFonts w:ascii="sans-serif" w:hAnsi="sans-serif"/>
          <w:b/>
          <w:color w:val="000000"/>
          <w:sz w:val="22"/>
          <w:u w:val="single"/>
        </w:rPr>
        <w:t>Full-Year 2025 Outlook</w:t>
      </w:r>
    </w:p>
    <w:p>
      <w:pPr>
        <w:pStyle w:val="TextBody"/>
        <w:bidi w:val="0"/>
        <w:spacing w:lineRule="auto" w:line="288" w:before="60" w:after="283"/>
        <w:jc w:val="left"/>
        <w:rPr>
          <w:rFonts w:ascii="sans-serif" w:hAnsi="sans-serif"/>
          <w:b w:val="false"/>
          <w:color w:val="000000"/>
          <w:sz w:val="22"/>
        </w:rPr>
      </w:pPr>
      <w:r>
        <w:rPr>
          <w:rFonts w:ascii="sans-serif" w:hAnsi="sans-serif"/>
          <w:b w:val="false"/>
          <w:color w:val="000000"/>
          <w:sz w:val="22"/>
        </w:rPr>
        <w:t>Today, Sotera Health is updating its 2025 outlook:</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Net revenues growth remains in the range of 4.5% to 6.0%, on a constant currency basis,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2"/>
        </w:rPr>
        <w:t>Foreign currency exchange expected to contribute approximately 25 basis points to net revenues growth, from a previous outlook of a neutral impact,</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Adjusted EBITDA growth range raised to 6.75% to 7.75%, from a previous outlook of 6.00% to 7.50%, on a constant currency basis,</w:t>
      </w:r>
    </w:p>
    <w:p>
      <w:pPr>
        <w:pStyle w:val="TextBody"/>
        <w:bidi w:val="0"/>
        <w:spacing w:lineRule="auto" w:line="288" w:before="60" w:after="283"/>
        <w:ind w:left="0" w:right="0" w:hanging="360"/>
        <w:jc w:val="left"/>
        <w:rPr/>
      </w:pPr>
      <w:r>
        <w:rPr>
          <w:color w:val="000000"/>
        </w:rPr>
        <w:t>◦</w:t>
      </w:r>
      <w:r>
        <w:rPr>
          <w:rFonts w:ascii="sans-serif" w:hAnsi="sans-serif"/>
          <w:b w:val="false"/>
          <w:color w:val="000000"/>
          <w:sz w:val="22"/>
        </w:rPr>
        <w:t>Foreign currency expected to contribute approximately 25 basis points to Adjusted EBITDA growth, from a previous outlook of a neutral impact,</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Interest Expense range improved to $154 million to $158 million, from a previous outlook of $155 million to $165 million,</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Tax rate applicable to Adjusted Net Income</w:t>
      </w:r>
      <w:r>
        <w:rPr>
          <w:rFonts w:ascii="sans-serif" w:hAnsi="sans-serif"/>
          <w:b w:val="false"/>
          <w:color w:val="000000"/>
          <w:sz w:val="14"/>
        </w:rPr>
        <w:t>(3)</w:t>
      </w:r>
      <w:r>
        <w:rPr>
          <w:color w:val="000000"/>
        </w:rPr>
        <w:t xml:space="preserve"> </w:t>
      </w:r>
      <w:r>
        <w:rPr>
          <w:rFonts w:ascii="sans-serif" w:hAnsi="sans-serif"/>
          <w:b w:val="false"/>
          <w:color w:val="000000"/>
          <w:sz w:val="22"/>
        </w:rPr>
        <w:t>range improved to 29.00% to 31.00%, from a previous outlook of 31.5% to 33.5%,</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Adjusted EPS range raised to $0.81 to $0.86, from a previous outlook of $0.75 to $0.82,</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 xml:space="preserve">A weighted-average fully diluted share count remains in the range of 286 million to 287 million shares, and </w:t>
      </w:r>
    </w:p>
    <w:p>
      <w:pPr>
        <w:pStyle w:val="TextBody"/>
        <w:bidi w:val="0"/>
        <w:spacing w:lineRule="auto" w:line="288" w:before="100" w:after="283"/>
        <w:ind w:left="0" w:right="0" w:hanging="360"/>
        <w:jc w:val="left"/>
        <w:rPr/>
      </w:pPr>
      <w:r>
        <w:rPr>
          <w:color w:val="000000"/>
        </w:rPr>
        <w:t>•</w:t>
      </w:r>
      <w:r>
        <w:rPr>
          <w:rFonts w:ascii="sans-serif" w:hAnsi="sans-serif"/>
          <w:b w:val="false"/>
          <w:color w:val="000000"/>
          <w:sz w:val="22"/>
        </w:rPr>
        <w:t>Capital expenditures in the range of $125 million to $135 million, from a previous outlook of $170 million to $180 million.</w:t>
      </w:r>
    </w:p>
    <w:p>
      <w:pPr>
        <w:pStyle w:val="TextBody"/>
        <w:bidi w:val="0"/>
        <w:spacing w:lineRule="auto" w:line="288" w:before="240" w:after="283"/>
        <w:jc w:val="left"/>
        <w:rPr>
          <w:rFonts w:ascii="sans-serif" w:hAnsi="sans-serif"/>
          <w:b w:val="false"/>
          <w:color w:val="000000"/>
          <w:sz w:val="22"/>
        </w:rPr>
      </w:pPr>
      <w:r>
        <w:rPr>
          <w:rFonts w:ascii="sans-serif" w:hAnsi="sans-serif"/>
          <w:b w:val="false"/>
          <w:color w:val="000000"/>
          <w:sz w:val="22"/>
        </w:rPr>
        <w:t>The Company does not provide a reconciliation for non-GAAP financial measures on a forward-looking basis where it is unable to provide a meaningful or accurate calculation or estimation of reconciling items without unreasonable effort. The Company cannot reconcile its expected Adjusted EBITDA, Tax Rate Applicable to Net Income, Adjusted Net Income and Adjusted EPS without unreasonable effort because certain items that impact net income, earnings per share and other reconciling metrics are out of the Company’s control and/or cannot be reasonably predicted at this time, including uncertainties caused by changes to the regulatory landscape, restructuring items and certain fair value measurements, all of which are potential adjustments for future earnings.</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The outlook provided above contains a number of assumptions, including, among others, the Company’s current expectations regarding supply chain continuity, particularly for the supply of EO and Cobalt-60 (“Co-60”), and the impact of inflationary trends including their impact on energy prices and the supply of labor. Our outlook is based on current plans and expectations and is subject to several known and unknown risks and uncertainties, including those set forth below under “Cautionary Note Regarding Forward-Looking Statements.”</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Earnings Webcast</w:t>
      </w:r>
    </w:p>
    <w:p>
      <w:pPr>
        <w:pStyle w:val="TextBody"/>
        <w:bidi w:val="0"/>
        <w:spacing w:lineRule="auto" w:line="288" w:before="60" w:after="283"/>
        <w:jc w:val="left"/>
        <w:rPr/>
      </w:pPr>
      <w:r>
        <w:rPr>
          <w:rFonts w:ascii="sans-serif" w:hAnsi="sans-serif"/>
          <w:b w:val="false"/>
          <w:color w:val="000000"/>
          <w:sz w:val="22"/>
        </w:rPr>
        <w:t xml:space="preserve">Sotera Health management will host a conference call and live webcast to discuss the Company’s financial results and operating highlights at 9:00 a.m. Eastern Daylight Time today. To participate in the live call, please dial 1-844-481-2916 (toll-free in the United States), or 1-412-317-0709 if dialing-in from other locations. A live webcast of the conference call will be accessible at this </w:t>
      </w:r>
      <w:r>
        <w:rPr>
          <w:rFonts w:ascii="sans-serif" w:hAnsi="sans-serif"/>
          <w:b w:val="false"/>
          <w:color w:val="0E32E1"/>
          <w:sz w:val="22"/>
        </w:rPr>
        <w:t>link</w:t>
      </w:r>
      <w:r>
        <w:rPr>
          <w:color w:val="000000"/>
        </w:rPr>
        <w:t xml:space="preserve"> </w:t>
      </w:r>
      <w:r>
        <w:rPr>
          <w:rFonts w:ascii="sans-serif" w:hAnsi="sans-serif"/>
          <w:b w:val="false"/>
          <w:color w:val="000000"/>
          <w:sz w:val="22"/>
        </w:rPr>
        <w:t xml:space="preserve">or via the Investor Relations section of the Company’s website at </w:t>
      </w:r>
      <w:r>
        <w:rPr>
          <w:rFonts w:ascii="sans-serif" w:hAnsi="sans-serif"/>
          <w:b w:val="false"/>
          <w:color w:val="0E32E1"/>
          <w:sz w:val="22"/>
          <w:u w:val="single"/>
        </w:rPr>
        <w:t>Presentation &amp; Events | Sotera Health</w:t>
      </w:r>
      <w:r>
        <w:rPr>
          <w:rFonts w:ascii="sans-serif" w:hAnsi="sans-serif"/>
          <w:b w:val="false"/>
          <w:color w:val="000000"/>
          <w:sz w:val="22"/>
        </w:rPr>
        <w:t>, along with accompanying materials. A replay of the webcast will be available on the Company’s website.</w:t>
      </w:r>
    </w:p>
    <w:p>
      <w:pPr>
        <w:pStyle w:val="TextBody"/>
        <w:bidi w:val="0"/>
        <w:spacing w:lineRule="auto" w:line="288" w:before="140" w:after="283"/>
        <w:jc w:val="left"/>
        <w:rPr/>
      </w:pPr>
      <w:r>
        <w:rPr>
          <w:rFonts w:ascii="sans-serif" w:hAnsi="sans-serif"/>
          <w:b w:val="false"/>
          <w:color w:val="000000"/>
          <w:sz w:val="22"/>
        </w:rPr>
        <w:t xml:space="preserve">Updates on recent developments in matters relevant to investors can be found on the Investor Relations section of the Sotera Health website at </w:t>
      </w:r>
      <w:r>
        <w:rPr>
          <w:rFonts w:ascii="sans-serif" w:hAnsi="sans-serif"/>
          <w:b w:val="false"/>
          <w:color w:val="0E32E1"/>
          <w:sz w:val="22"/>
          <w:u w:val="single"/>
        </w:rPr>
        <w:t>Investor Relations | Sotera Health</w:t>
      </w:r>
      <w:r>
        <w:rPr>
          <w:rFonts w:ascii="sans-serif" w:hAnsi="sans-serif"/>
          <w:b w:val="false"/>
          <w:color w:val="000000"/>
          <w:sz w:val="22"/>
        </w:rPr>
        <w:t xml:space="preserve">. For developments related to EO, updates can be found at </w:t>
      </w:r>
      <w:r>
        <w:rPr>
          <w:rFonts w:ascii="sans-serif" w:hAnsi="sans-serif"/>
          <w:b w:val="false"/>
          <w:color w:val="0E32E1"/>
          <w:sz w:val="22"/>
          <w:u w:val="single"/>
        </w:rPr>
        <w:t>Ethylene Oxide | Sotera Health</w:t>
      </w:r>
      <w:r>
        <w:rPr>
          <w:rFonts w:ascii="sans-serif" w:hAnsi="sans-serif"/>
          <w:b w:val="false"/>
          <w:color w:val="000000"/>
          <w:sz w:val="22"/>
        </w:rPr>
        <w:t>.</w:t>
      </w:r>
    </w:p>
    <w:p>
      <w:pPr>
        <w:pStyle w:val="TextBody"/>
        <w:bidi w:val="0"/>
        <w:spacing w:lineRule="auto" w:line="288"/>
        <w:jc w:val="left"/>
        <w:rPr/>
      </w:pPr>
      <w:r>
        <w:rPr>
          <w:rFonts w:ascii="sans-serif" w:hAnsi="sans-serif"/>
          <w:b w:val="false"/>
          <w:color w:val="000000"/>
          <w:sz w:val="12"/>
        </w:rPr>
        <w:t>(3)</w:t>
      </w:r>
      <w:r>
        <w:rPr>
          <w:rFonts w:ascii="sans-serif" w:hAnsi="sans-serif"/>
          <w:b w:val="false"/>
          <w:color w:val="000000"/>
          <w:sz w:val="18"/>
        </w:rPr>
        <w:t>This is a non-GAAP financial measure used throughout this press release; please refer to the section “Non-GAAP Financial Measures” for explanations of our Non-GAAP financial measures and the schedules provided later in this release for reconciliations of reported GAAP to Non-GAAP financial measures.</w:t>
      </w:r>
    </w:p>
    <w:p>
      <w:pPr>
        <w:pStyle w:val="TextBody"/>
        <w:bidi w:val="0"/>
        <w:spacing w:before="10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3</w:t>
                      </w:r>
                    </w:p>
                  </w:txbxContent>
                </v:textbox>
                <w10:wrap type="none"/>
              </v:rect>
            </w:pict>
          </mc:Fallback>
        </mc:AlternateConten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Upcoming Events</w:t>
      </w:r>
    </w:p>
    <w:p>
      <w:pPr>
        <w:pStyle w:val="TextBody"/>
        <w:bidi w:val="0"/>
        <w:spacing w:lineRule="auto" w:line="288" w:before="60" w:after="100"/>
        <w:ind w:left="0" w:right="0" w:hanging="360"/>
        <w:jc w:val="left"/>
        <w:rPr/>
      </w:pPr>
      <w:r>
        <w:rPr>
          <w:color w:val="000000"/>
        </w:rPr>
        <w:t>•</w:t>
      </w:r>
      <w:r>
        <w:rPr>
          <w:rFonts w:ascii="sans-serif" w:hAnsi="sans-serif"/>
          <w:b w:val="false"/>
          <w:color w:val="000000"/>
          <w:sz w:val="22"/>
        </w:rPr>
        <w:t>Wolfe Healthcare Conference at 1:20 p.m. Eastern Time, November 17, 2025</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Jefferies London Healthcare Conference at 8:30 a.m. Greenwich Mean Time, November 19, 2025</w:t>
      </w:r>
    </w:p>
    <w:p>
      <w:pPr>
        <w:pStyle w:val="TextBody"/>
        <w:bidi w:val="0"/>
        <w:spacing w:lineRule="auto" w:line="288" w:before="0" w:after="100"/>
        <w:ind w:left="0" w:right="0" w:hanging="360"/>
        <w:jc w:val="left"/>
        <w:rPr/>
      </w:pPr>
      <w:r>
        <w:rPr>
          <w:color w:val="000000"/>
        </w:rPr>
        <w:t>•</w:t>
      </w:r>
      <w:r>
        <w:rPr>
          <w:rFonts w:ascii="sans-serif" w:hAnsi="sans-serif"/>
          <w:b w:val="false"/>
          <w:color w:val="000000"/>
          <w:sz w:val="22"/>
        </w:rPr>
        <w:t>Citi Global Healthcare Conference at 9:45 a.m. Eastern Time, December 2, 2025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Piper Sandler 36th Annual Healthcare Conference at 11:00 a.m. Eastern Time, December 3, 2025</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Cautionary Note Regarding Forward-Looking Statements</w:t>
      </w:r>
    </w:p>
    <w:p>
      <w:pPr>
        <w:pStyle w:val="TextBody"/>
        <w:bidi w:val="0"/>
        <w:spacing w:lineRule="auto" w:line="288" w:before="60" w:after="283"/>
        <w:jc w:val="left"/>
        <w:rPr>
          <w:rFonts w:ascii="sans-serif" w:hAnsi="sans-serif"/>
          <w:b w:val="false"/>
          <w:color w:val="000000"/>
          <w:sz w:val="22"/>
        </w:rPr>
      </w:pPr>
      <w:r>
        <w:rPr>
          <w:rFonts w:ascii="sans-serif" w:hAnsi="sans-serif"/>
          <w:b w:val="false"/>
          <w:color w:val="000000"/>
          <w:sz w:val="22"/>
        </w:rPr>
        <w:t xml:space="preserve">Unless expressly indicated or the context requires otherwise, the terms “Sotera Health,” “Company,” “we,” “us,” and “our” in this document refer to Sotera Health Company, a Delaware corporation, and, where appropriate, its subsidiaries on a consolidated basis. This release contains forward-looking statements within the meaning of the Private Securities Litigation Reform Act of 1995 and reflects management’s expectations about future events and the Company’s operating plans and performance and speak only as of the date hereof. Forward-looking statements present our current forecasts and estimates of future events. These statements do not strictly relate to historical or current results and can be identified by words such as “anticipate,” “appear,” “assume,” “believe,” “estimate,” “expect,” “forecast,” “intend,” “likely,” “may,” “plan,” “project,” “seek,” “should,” “strategy,” “will” and other terms of similar meaning or import in connection with any discussion of future operating, financial or other performance. These forward-looking statements are subject to risks, uncertainties and other factors and actual results may differ materially from those results projected in the statements. These forward-looking statements are subject to various risks, uncertainties and assumptions relating to our operations, financial results, financial condition, business, prospects, growth strategy and liquidity. These risks and uncertainties include, but are not limited to, a disruption in the availability or supply of, or increases in the price of, EO, Co-60 or our other direct materials, services and supplies, including as a result of geopolitical instability and/or sanctions against Russia by the United States, Canada, United Kingdom and/or the European Union; fluctuations in foreign currency exchange rates; evolving changes in environmental, health and safety regulations or preferences, and general economic, social and business conditions; health and safety risks associated with the use, storage, transportation and disposal of potentially hazardous materials such as EO and Co-60; the impact and outcome of current and future legal proceedings and liability claims, including litigation related to the use, emissions and releases of EO from our facilities in California, Georgia, Illinois and New Mexico and the possibility that additional claims will be made in the future relating to these or other facilities; our ability to satisfy the conditions for settlement of the EO claims related to our former facility in Willowbrook, Illinois; allegations of our failure to properly perform services and potential product liability claims, recalls, penalties and reputational harm; compliance with the extensive regulatory requirements to which we are subject, the related costs, and any failures to receive or maintain, or delays in receiving, required clearances or approvals; adverse changes in industry trends; competition we face; market conditions and changes, including inflationary trends and the impact of tariffs, that impact our long-term supply contracts with variable price clauses and increase our cost of revenues; business continuity hazards, including supply chain disruptions, the impact of the U.S. federal government shutdown, and other risks associated with our operations; the risks of doing business internationally, including global and regional economic and political instability and compliance with various applicable laws and potentially inconsistent laws and regulations in multiple jurisdictions; our ability to increase capacity at existing facilities, build new facilities in a timely and cost-effective manner and renew leases for our leased facilities; our ability to attract and retain qualified employees; severe health events or environmental events; cybersecurity incidents, unauthorized data disclosures, and our dependence on information technology systems; an inability to pursue strategic transactions, find suitable acquisition targets, or integrate strategic acquisitions into our business successfully; our ability to maintain effective internal control over financial reporting; our reliance on intellectual property to maintain our competitive position and the risk of claims from third parties that we have infringed or misappropriated, or are infringing or misappropriating, their intellectual property rights; our ability to comply with rapidly evolving data privacy and security laws and regulations in various jurisdictions and any ineffective compliance efforts </w:t>
      </w:r>
    </w:p>
    <w:p>
      <w:pPr>
        <w:pStyle w:val="TextBody"/>
        <w:bidi w:val="0"/>
        <w:spacing w:before="10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4</w:t>
                      </w:r>
                    </w:p>
                  </w:txbxContent>
                </v:textbox>
                <w10:wrap type="none"/>
              </v:rect>
            </w:pict>
          </mc:Fallback>
        </mc:AlternateContent>
      </w:r>
    </w:p>
    <w:p>
      <w:pPr>
        <w:pStyle w:val="TextBody"/>
        <w:bidi w:val="0"/>
        <w:spacing w:lineRule="auto" w:line="288" w:before="60" w:after="283"/>
        <w:jc w:val="left"/>
        <w:rPr>
          <w:rFonts w:ascii="sans-serif" w:hAnsi="sans-serif"/>
          <w:b w:val="false"/>
          <w:color w:val="000000"/>
          <w:sz w:val="22"/>
        </w:rPr>
      </w:pPr>
      <w:r>
        <w:rPr>
          <w:rFonts w:ascii="sans-serif" w:hAnsi="sans-serif"/>
          <w:b w:val="false"/>
          <w:color w:val="000000"/>
          <w:sz w:val="22"/>
        </w:rPr>
        <w:t>with such laws and regulations; our ability to generate profitability in future periods; impairment charges on our goodwill and other intangible assets with indefinite lives, as well as other long-lived assets and intangible assets with definite lives; the effects of unionization efforts and labor regulations in countries in which we operate; adverse changes to our tax positions in U.S. or non-U.S. jurisdictions or the interpretation and application of U.S. tax legislation or other changes in U.S. or non-U.S. taxation of our operations; and 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agreements governing our indebtedness. For additional discussion of these risks and uncertainties, please refer to the Company’s filings with the Securities and Exchange Commission, such as its Annual Report on Form 10-K and quarterly reports. We do not undertake any obligation to publicly update or revise these forward-looking statements, except as otherwise required by law.</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Non-GAAP and Financial Measures</w:t>
      </w:r>
    </w:p>
    <w:p>
      <w:pPr>
        <w:pStyle w:val="TextBody"/>
        <w:bidi w:val="0"/>
        <w:spacing w:lineRule="auto" w:line="288" w:before="60" w:after="283"/>
        <w:jc w:val="left"/>
        <w:rPr>
          <w:rFonts w:ascii="sans-serif" w:hAnsi="sans-serif"/>
          <w:b w:val="false"/>
          <w:color w:val="000000"/>
          <w:sz w:val="22"/>
        </w:rPr>
      </w:pPr>
      <w:r>
        <w:rPr>
          <w:rFonts w:ascii="sans-serif" w:hAnsi="sans-serif"/>
          <w:b w:val="false"/>
          <w:color w:val="000000"/>
          <w:sz w:val="22"/>
        </w:rPr>
        <w:t>To supplement our consolidated financial statements presented in accordance with GAAP, we consider Adjusted EBITDA, Adjusted EBITDA margin, Adjusted Net Income, Adjusted EPS, Net Debt and Net Leverage Ratio and constant currency, financial measures that are not based on any standardized methodology prescribed by GAAP.</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 xml:space="preserve">We define Adjusted Net Income as net income (loss) before amortization and certain other adjustments that we do not consider in our evaluation of our ongoing operating performance from period to period. </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We define Adjusted EBITDA as Adjusted Net Income before interest expense, depreciation (including depreciation of Co-60 used in our operations) and income tax provision applicable to Adjusted Net Income.</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Adjusted EBITDA margin is equal to Adjusted EBITDA divided by net revenues.</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We define Adjusted EPS as Adjusted Net Income divided by the weighted average number of diluted shares outstanding.</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Our Net Debt is equal to our total debt net of unamortized debt issuance costs and debt discounts, less cash and cash equivalents.</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Our Net Leverage Ratio is equal to Net Debt divided by Adjusted EBITDA.</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Constant currency is a non-GAAP financial measure we use to assess performance excluding the impact of foreign currency exchange rate changes. We calculate constant currency net revenues by translating prior year net revenues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 xml:space="preserve">We use these non-GAAP financial measures as the principal measures of our operating performance. Management believes these measures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without these measures and their disclosure. In addition, we believe these measures will assist investors in making comparisons to our historical operating results and analyzing the underlying performance of our operations for the periods </w:t>
      </w:r>
    </w:p>
    <w:p>
      <w:pPr>
        <w:pStyle w:val="TextBody"/>
        <w:bidi w:val="0"/>
        <w:spacing w:before="10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5</w:t>
                      </w:r>
                    </w:p>
                  </w:txbxContent>
                </v:textbox>
                <w10:wrap type="none"/>
              </v:rect>
            </w:pict>
          </mc:Fallback>
        </mc:AlternateContent>
      </w:r>
    </w:p>
    <w:p>
      <w:pPr>
        <w:pStyle w:val="TextBody"/>
        <w:bidi w:val="0"/>
        <w:spacing w:lineRule="auto" w:line="288" w:before="140" w:after="283"/>
        <w:jc w:val="left"/>
        <w:rPr>
          <w:rFonts w:ascii="sans-serif" w:hAnsi="sans-serif"/>
          <w:b w:val="false"/>
          <w:color w:val="000000"/>
          <w:sz w:val="22"/>
        </w:rPr>
      </w:pPr>
      <w:r>
        <w:rPr>
          <w:rFonts w:ascii="sans-serif" w:hAnsi="sans-serif"/>
          <w:b w:val="false"/>
          <w:color w:val="000000"/>
          <w:sz w:val="22"/>
        </w:rPr>
        <w:t>presented. Our management also uses these measurements in their financial analysis and operational decision-making and Adjusted EBITDA serves as the key metric for the attainment of our primary annual incentive program. These measures may be calculated differently from, and therefore may not be comparable to, a similarly titled measure used by other companies.</w:t>
      </w:r>
    </w:p>
    <w:p>
      <w:pPr>
        <w:pStyle w:val="TextBody"/>
        <w:bidi w:val="0"/>
        <w:spacing w:lineRule="auto" w:line="288" w:before="240" w:after="283"/>
        <w:jc w:val="left"/>
        <w:rPr>
          <w:rFonts w:ascii="sans-serif" w:hAnsi="sans-serif"/>
          <w:b/>
          <w:color w:val="000000"/>
          <w:sz w:val="22"/>
          <w:u w:val="single"/>
        </w:rPr>
      </w:pPr>
      <w:r>
        <w:rPr>
          <w:rFonts w:ascii="sans-serif" w:hAnsi="sans-serif"/>
          <w:b/>
          <w:color w:val="000000"/>
          <w:sz w:val="22"/>
          <w:u w:val="single"/>
        </w:rPr>
        <w:t>About Sotera Health</w:t>
      </w:r>
    </w:p>
    <w:p>
      <w:pPr>
        <w:pStyle w:val="TextBody"/>
        <w:bidi w:val="0"/>
        <w:spacing w:lineRule="auto" w:line="288" w:before="60" w:after="283"/>
        <w:jc w:val="left"/>
        <w:rPr>
          <w:rFonts w:ascii="sans-serif" w:hAnsi="sans-serif"/>
          <w:b w:val="false"/>
          <w:color w:val="000000"/>
          <w:sz w:val="22"/>
        </w:rPr>
      </w:pPr>
      <w:r>
        <w:rPr>
          <w:rFonts w:ascii="sans-serif" w:hAnsi="sans-serif"/>
          <w:b w:val="false"/>
          <w:color w:val="000000"/>
          <w:sz w:val="22"/>
        </w:rPr>
        <w:t>Sotera Health Company is a leading global provider of mission-critical end-to-end sterilization solutions and lab testing and advisory services for the healthcare industry. Sotera Health goes to market through three businesses – Sterigenics®, Nordion® and Nelson Labs®. Sotera Health is committed to its mission, Safeguarding Global Health®.</w:t>
      </w:r>
    </w:p>
    <w:p>
      <w:pPr>
        <w:pStyle w:val="TextBody"/>
        <w:bidi w:val="0"/>
        <w:spacing w:lineRule="auto" w:line="288" w:before="480" w:after="283"/>
        <w:jc w:val="left"/>
        <w:rPr>
          <w:rFonts w:ascii="sans-serif" w:hAnsi="sans-serif"/>
          <w:b/>
          <w:color w:val="000000"/>
          <w:sz w:val="22"/>
          <w:u w:val="single"/>
        </w:rPr>
      </w:pPr>
      <w:r>
        <w:rPr>
          <w:rFonts w:ascii="sans-serif" w:hAnsi="sans-serif"/>
          <w:b/>
          <w:color w:val="000000"/>
          <w:sz w:val="22"/>
          <w:u w:val="single"/>
        </w:rPr>
        <w:t xml:space="preserve">INVESTOR RELATIONS CONTACTS </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Jason Peterson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Vice President Investor Relations, Sotera Health            </w:t>
      </w:r>
    </w:p>
    <w:p>
      <w:pPr>
        <w:pStyle w:val="TextBody"/>
        <w:bidi w:val="0"/>
        <w:spacing w:lineRule="auto" w:line="288" w:before="0" w:after="0"/>
        <w:jc w:val="left"/>
        <w:rPr/>
      </w:pPr>
      <w:r>
        <w:rPr>
          <w:rFonts w:ascii="sans-serif" w:hAnsi="sans-serif"/>
          <w:b w:val="false"/>
          <w:color w:val="0563C1"/>
          <w:sz w:val="20"/>
          <w:u w:val="single"/>
        </w:rPr>
        <w:t>IR@soterahealth.com</w:t>
      </w:r>
      <w:r>
        <w:rPr>
          <w:color w:val="000000"/>
        </w:rPr>
        <w:t>                        </w:t>
      </w:r>
    </w:p>
    <w:p>
      <w:pPr>
        <w:pStyle w:val="TextBody"/>
        <w:bidi w:val="0"/>
        <w:spacing w:lineRule="auto" w:line="288" w:before="480" w:after="283"/>
        <w:jc w:val="left"/>
        <w:rPr>
          <w:rFonts w:ascii="sans-serif" w:hAnsi="sans-serif"/>
          <w:b/>
          <w:color w:val="000000"/>
          <w:sz w:val="22"/>
          <w:u w:val="single"/>
        </w:rPr>
      </w:pPr>
      <w:r>
        <w:rPr>
          <w:rFonts w:ascii="sans-serif" w:hAnsi="sans-serif"/>
          <w:b/>
          <w:color w:val="000000"/>
          <w:sz w:val="22"/>
          <w:u w:val="single"/>
        </w:rPr>
        <w:t>MEDIA</w:t>
      </w:r>
    </w:p>
    <w:p>
      <w:pPr>
        <w:pStyle w:val="TextBody"/>
        <w:bidi w:val="0"/>
        <w:spacing w:lineRule="auto" w:line="288" w:before="100" w:after="283"/>
        <w:jc w:val="left"/>
        <w:rPr>
          <w:rFonts w:ascii="sans-serif" w:hAnsi="sans-serif"/>
          <w:b w:val="false"/>
          <w:color w:val="000000"/>
          <w:sz w:val="22"/>
        </w:rPr>
      </w:pPr>
      <w:r>
        <w:rPr>
          <w:rFonts w:ascii="sans-serif" w:hAnsi="sans-serif"/>
          <w:b w:val="false"/>
          <w:color w:val="000000"/>
          <w:sz w:val="22"/>
        </w:rPr>
        <w:t>Kristin Gibbs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Chief Marketing Officer, Sotera Health</w:t>
      </w:r>
    </w:p>
    <w:p>
      <w:pPr>
        <w:pStyle w:val="TextBody"/>
        <w:bidi w:val="0"/>
        <w:spacing w:lineRule="auto" w:line="288" w:before="0" w:after="0"/>
        <w:jc w:val="left"/>
        <w:rPr>
          <w:rFonts w:ascii="sans-serif" w:hAnsi="sans-serif"/>
          <w:b w:val="false"/>
          <w:color w:val="0563C1"/>
          <w:sz w:val="20"/>
          <w:u w:val="single"/>
        </w:rPr>
      </w:pPr>
      <w:r>
        <w:rPr>
          <w:rFonts w:ascii="sans-serif" w:hAnsi="sans-serif"/>
          <w:b w:val="false"/>
          <w:color w:val="0563C1"/>
          <w:sz w:val="20"/>
          <w:u w:val="single"/>
        </w:rPr>
        <w:t>kgibbs@soterahealth.com</w:t>
      </w:r>
    </w:p>
    <w:p>
      <w:pPr>
        <w:pStyle w:val="TextBody"/>
        <w:bidi w:val="0"/>
        <w:spacing w:lineRule="auto" w:line="288" w:before="480" w:after="283"/>
        <w:jc w:val="left"/>
        <w:rPr>
          <w:rFonts w:ascii="sans-serif" w:hAnsi="sans-serif"/>
          <w:b w:val="false"/>
          <w:color w:val="000000"/>
          <w:sz w:val="22"/>
        </w:rPr>
      </w:pPr>
      <w:r>
        <w:rPr>
          <w:rFonts w:ascii="sans-serif" w:hAnsi="sans-serif"/>
          <w:b w:val="false"/>
          <w:color w:val="000000"/>
          <w:sz w:val="22"/>
        </w:rPr>
        <w:t>Source: Sotera Health Company</w:t>
      </w:r>
    </w:p>
    <w:p>
      <w:pPr>
        <w:pStyle w:val="TextBody"/>
        <w:bidi w:val="0"/>
        <w:spacing w:lineRule="auto" w:line="288" w:before="100" w:after="200"/>
        <w:jc w:val="center"/>
        <w:rPr>
          <w:rFonts w:ascii="sans-serif" w:hAnsi="sans-serif"/>
          <w:b w:val="false"/>
          <w:color w:val="000000"/>
          <w:sz w:val="22"/>
        </w:rPr>
      </w:pPr>
      <w:r>
        <w:rPr>
          <w:rFonts w:ascii="sans-serif" w:hAnsi="sans-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Consolidated Statements of Operations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3"/>
        <w:gridCol w:w="1284"/>
        <w:gridCol w:w="1290"/>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156"/>
      </w:tblGrid>
      <w:tr>
        <w:trPr/>
        <w:tc>
          <w:tcPr>
            <w:tcW w:w="155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255,529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311,312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860,176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cost of revenues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380,562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195,248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 EO litigation settlements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120,674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refinancing of debt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284,067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283,855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286,019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Sotera Health Company </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3.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Segment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73"/>
        <w:gridCol w:w="1390"/>
        <w:gridCol w:w="1401"/>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77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revenues: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518,425 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62,805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55,662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311,312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860,176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810,238 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income:</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Sterigenics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302,904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278,585 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Nordion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65,938 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Nelson Labs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segment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164,190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436,764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395,640 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Less adjustments: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(a)</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103,972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Share-based compensation</w:t>
            </w:r>
            <w:r>
              <w:rPr>
                <w:rFonts w:ascii="Times New Roman;serif" w:hAnsi="Times New Roman;serif"/>
                <w:b w:val="false"/>
                <w:color w:val="000000"/>
                <w:sz w:val="13"/>
              </w:rPr>
              <w:t>(b)</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on refinancing of debt</w:t>
            </w:r>
            <w:r>
              <w:rPr>
                <w:rFonts w:ascii="Times New Roman;serif" w:hAnsi="Times New Roman;serif"/>
                <w:b w:val="false"/>
                <w:color w:val="000000"/>
                <w:sz w:val="13"/>
              </w:rPr>
              <w:t>(c)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Gain on foreign currency and derivatives not designated as hedging instruments, net</w:t>
            </w:r>
            <w:r>
              <w:rPr>
                <w:rFonts w:ascii="Times New Roman;serif" w:hAnsi="Times New Roman;serif"/>
                <w:b w:val="false"/>
                <w:color w:val="000000"/>
                <w:sz w:val="13"/>
              </w:rPr>
              <w:t>(d)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Business optimization expenses</w:t>
            </w:r>
            <w:r>
              <w:rPr>
                <w:rFonts w:ascii="Times New Roman;serif" w:hAnsi="Times New Roman;serif"/>
                <w:b w:val="false"/>
                <w:color w:val="000000"/>
                <w:sz w:val="13"/>
              </w:rPr>
              <w:t>(e)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Professional services relating to EO sterilization facilities</w:t>
            </w:r>
            <w:r>
              <w:rPr>
                <w:rFonts w:ascii="Times New Roman;serif" w:hAnsi="Times New Roman;serif"/>
                <w:b w:val="false"/>
                <w:color w:val="000000"/>
                <w:sz w:val="13"/>
              </w:rPr>
              <w:t>(f)</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Illinois EO litigation settlements</w:t>
            </w:r>
            <w:r>
              <w:rPr>
                <w:rFonts w:ascii="Times New Roman;serif" w:hAnsi="Times New Roman;serif"/>
                <w:b w:val="false"/>
                <w:color w:val="000000"/>
                <w:sz w:val="13"/>
              </w:rPr>
              <w:t>(g)</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Accretion of asset retirement obligation</w:t>
            </w:r>
            <w:r>
              <w:rPr>
                <w:rFonts w:ascii="Times New Roman;serif" w:hAnsi="Times New Roman;serif"/>
                <w:b w:val="false"/>
                <w:color w:val="000000"/>
                <w:sz w:val="13"/>
              </w:rPr>
              <w:t>(h)</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72,935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77,009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540"/>
        <w:jc w:val="left"/>
        <w:rPr/>
      </w:pPr>
      <w:r>
        <w:rPr>
          <w:rFonts w:ascii="Times New Roman;serif" w:hAnsi="Times New Roman;serif"/>
          <w:b w:val="false"/>
          <w:color w:val="000000"/>
          <w:sz w:val="17"/>
        </w:rPr>
        <w:t>(a)</w:t>
      </w:r>
      <w:r>
        <w:rPr>
          <w:rFonts w:ascii="Times New Roman;serif" w:hAnsi="Times New Roman;serif"/>
          <w:b w:val="false"/>
          <w:color w:val="000000"/>
          <w:sz w:val="17"/>
          <w:shd w:fill="FFFFFF" w:val="clear"/>
        </w:rPr>
        <w:t>Includes depreciation of Co-60 held at gamma irradiation sites, and excludes accelerated depreciation associated with business optimization activities.</w:t>
      </w:r>
      <w:r>
        <w:rPr>
          <w:color w:val="000000"/>
        </w:rPr>
        <w:t xml:space="preserve"> </w:t>
      </w:r>
    </w:p>
    <w:p>
      <w:pPr>
        <w:pStyle w:val="TextBody"/>
        <w:bidi w:val="0"/>
        <w:spacing w:lineRule="auto" w:line="288" w:before="40" w:after="283"/>
        <w:ind w:left="0" w:right="0" w:hanging="540"/>
        <w:jc w:val="left"/>
        <w:rPr/>
      </w:pPr>
      <w:r>
        <w:rPr>
          <w:rFonts w:ascii="Times New Roman;serif" w:hAnsi="Times New Roman;serif"/>
          <w:b w:val="false"/>
          <w:color w:val="000000"/>
          <w:sz w:val="17"/>
          <w:shd w:fill="FFFFFF" w:val="clear"/>
        </w:rPr>
        <w:t>(b)Represents share-based compensation expense related to employees and Non-Employee Directors.</w:t>
      </w:r>
      <w:r>
        <w:rPr>
          <w:color w:val="000000"/>
        </w:rPr>
        <w:t xml:space="preserve"> </w:t>
      </w:r>
    </w:p>
    <w:p>
      <w:pPr>
        <w:pStyle w:val="TextBody"/>
        <w:bidi w:val="0"/>
        <w:spacing w:lineRule="auto" w:line="288" w:before="40" w:after="283"/>
        <w:ind w:left="0" w:right="0" w:hanging="540"/>
        <w:jc w:val="left"/>
        <w:rPr>
          <w:rFonts w:ascii="Times New Roman;serif" w:hAnsi="Times New Roman;serif"/>
          <w:b w:val="false"/>
          <w:color w:val="000000"/>
          <w:sz w:val="17"/>
          <w:shd w:fill="FFFFFF" w:val="clear"/>
        </w:rPr>
      </w:pPr>
      <w:r>
        <w:rPr>
          <w:rFonts w:ascii="Times New Roman;serif" w:hAnsi="Times New Roman;serif"/>
          <w:b w:val="false"/>
          <w:color w:val="000000"/>
          <w:sz w:val="17"/>
          <w:shd w:fill="FFFFFF" w:val="clear"/>
        </w:rPr>
        <w:t xml:space="preserve">(c)Represents the write-off of unamortized debt issuance costs and discounts, as well as certain other costs incurred related to refinancing activity for the Term Loans, the Secured Notes and the Revolving Credit Facility. </w:t>
      </w:r>
    </w:p>
    <w:p>
      <w:pPr>
        <w:pStyle w:val="TextBody"/>
        <w:bidi w:val="0"/>
        <w:spacing w:lineRule="auto" w:line="288" w:before="40" w:after="283"/>
        <w:ind w:left="0" w:right="0" w:hanging="540"/>
        <w:jc w:val="left"/>
        <w:rPr>
          <w:rFonts w:ascii="Times New Roman;serif" w:hAnsi="Times New Roman;serif"/>
          <w:b w:val="false"/>
          <w:color w:val="000000"/>
          <w:sz w:val="17"/>
          <w:shd w:fill="FFFFFF" w:val="clear"/>
        </w:rPr>
      </w:pPr>
      <w:r>
        <w:rPr>
          <w:rFonts w:ascii="Times New Roman;serif" w:hAnsi="Times New Roman;serif"/>
          <w:b w:val="false"/>
          <w:color w:val="000000"/>
          <w:sz w:val="17"/>
          <w:shd w:fill="FFFFFF" w:val="clear"/>
        </w:rPr>
        <w:t xml:space="preserve">(d)Represents the effects of (i) fluctuations in foreign currency exchange rates and (ii) non-cash mark-to-fair value of embedded derivatives relating to certain customer and supply contracts at Nordion. </w:t>
      </w:r>
    </w:p>
    <w:p>
      <w:pPr>
        <w:pStyle w:val="TextBody"/>
        <w:bidi w:val="0"/>
        <w:spacing w:lineRule="auto" w:line="288" w:before="40" w:after="283"/>
        <w:ind w:left="0" w:right="0" w:hanging="540"/>
        <w:jc w:val="left"/>
        <w:rPr>
          <w:rFonts w:ascii="Times New Roman;serif" w:hAnsi="Times New Roman;serif"/>
          <w:b w:val="false"/>
          <w:color w:val="000000"/>
          <w:sz w:val="17"/>
          <w:shd w:fill="FFFFFF" w:val="clear"/>
        </w:rPr>
      </w:pPr>
      <w:r>
        <w:rPr>
          <w:rFonts w:ascii="Times New Roman;serif" w:hAnsi="Times New Roman;serif"/>
          <w:b w:val="false"/>
          <w:color w:val="000000"/>
          <w:sz w:val="17"/>
          <w:shd w:fill="FFFFFF" w:val="clear"/>
        </w:rPr>
        <w:t>(e)Represents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540"/>
        <w:jc w:val="left"/>
        <w:rPr>
          <w:rFonts w:ascii="Times New Roman;serif" w:hAnsi="Times New Roman;serif"/>
          <w:b w:val="false"/>
          <w:color w:val="000000"/>
          <w:sz w:val="17"/>
          <w:shd w:fill="FFFFFF" w:val="clear"/>
        </w:rPr>
      </w:pPr>
      <w:r>
        <w:rPr>
          <w:rFonts w:ascii="Times New Roman;serif" w:hAnsi="Times New Roman;serif"/>
          <w:b w:val="false"/>
          <w:color w:val="000000"/>
          <w:sz w:val="17"/>
          <w:shd w:fill="FFFFFF" w:val="clear"/>
        </w:rPr>
        <w:t>(f)Represents litigation and other professional fees associated with our EO sterilization facilities.</w:t>
      </w:r>
    </w:p>
    <w:p>
      <w:pPr>
        <w:pStyle w:val="TextBody"/>
        <w:bidi w:val="0"/>
        <w:spacing w:lineRule="auto" w:line="288" w:before="40" w:after="283"/>
        <w:ind w:left="0" w:right="0" w:hanging="540"/>
        <w:jc w:val="left"/>
        <w:rPr/>
      </w:pPr>
      <w:r>
        <w:rPr>
          <w:rFonts w:ascii="Times New Roman;serif" w:hAnsi="Times New Roman;serif"/>
          <w:b w:val="false"/>
          <w:color w:val="000000"/>
          <w:sz w:val="17"/>
          <w:shd w:fill="FFFFFF" w:val="clear"/>
        </w:rPr>
        <w:t xml:space="preserve">(g)Represents (i) the cost to settle </w:t>
      </w:r>
      <w:r>
        <w:rPr>
          <w:rFonts w:ascii="Times New Roman;serif" w:hAnsi="Times New Roman;serif"/>
          <w:b w:val="false"/>
          <w:color w:val="000000"/>
          <w:sz w:val="17"/>
        </w:rPr>
        <w:t>97</w:t>
      </w:r>
      <w:r>
        <w:rPr>
          <w:color w:val="000000"/>
          <w:shd w:fill="FFFFFF" w:val="clear"/>
        </w:rPr>
        <w:t xml:space="preserve"> </w:t>
      </w:r>
      <w:r>
        <w:rPr>
          <w:rFonts w:ascii="Times New Roman;serif" w:hAnsi="Times New Roman;serif"/>
          <w:b w:val="false"/>
          <w:color w:val="000000"/>
          <w:sz w:val="17"/>
          <w:shd w:fill="FFFFFF" w:val="clear"/>
        </w:rPr>
        <w:t xml:space="preserve">pending and threatened EO claims against Sterigenics in Illinois pursuant to the term sheet entered into on April 3, 2025 and (ii) the cost to settle </w:t>
      </w:r>
      <w:r>
        <w:rPr>
          <w:rFonts w:ascii="Times New Roman;serif" w:hAnsi="Times New Roman;serif"/>
          <w:b w:val="false"/>
          <w:color w:val="000000"/>
          <w:sz w:val="17"/>
        </w:rPr>
        <w:t>129</w:t>
      </w:r>
      <w:r>
        <w:rPr>
          <w:color w:val="000000"/>
          <w:shd w:fill="FFFFFF" w:val="clear"/>
        </w:rPr>
        <w:t xml:space="preserve"> </w:t>
      </w:r>
      <w:r>
        <w:rPr>
          <w:rFonts w:ascii="Times New Roman;serif" w:hAnsi="Times New Roman;serif"/>
          <w:b w:val="false"/>
          <w:color w:val="000000"/>
          <w:sz w:val="17"/>
          <w:shd w:fill="FFFFFF" w:val="clear"/>
        </w:rPr>
        <w:t>pending and threatened EO claims against Sterigenics in Illinois pursuant to the term sheet entered into on July 23, 2025.</w:t>
      </w:r>
    </w:p>
    <w:p>
      <w:pPr>
        <w:pStyle w:val="TextBody"/>
        <w:bidi w:val="0"/>
        <w:spacing w:lineRule="auto" w:line="288" w:before="40" w:after="283"/>
        <w:ind w:left="0" w:right="0" w:hanging="540"/>
        <w:jc w:val="left"/>
        <w:rPr>
          <w:rFonts w:ascii="Times New Roman;serif" w:hAnsi="Times New Roman;serif"/>
          <w:b w:val="false"/>
          <w:color w:val="000000"/>
          <w:sz w:val="17"/>
          <w:shd w:fill="FFFFFF" w:val="clear"/>
        </w:rPr>
      </w:pPr>
      <w:r>
        <w:rPr>
          <w:rFonts w:ascii="Times New Roman;serif" w:hAnsi="Times New Roman;serif"/>
          <w:b w:val="false"/>
          <w:color w:val="000000"/>
          <w:sz w:val="17"/>
          <w:shd w:fill="FFFFFF" w:val="clear"/>
        </w:rPr>
        <w:t>(h)Represents non-cash accretion of ARO related to Co-60 gamma and EO sterilization facilities, which are based on estimated site remediation costs for any future decommissioning of these facilities and are accreted over the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Sotera Health Company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3.3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6895" w:type="dxa"/>
        <w:jc w:val="center"/>
        <w:tblInd w:w="0" w:type="dxa"/>
        <w:tblLayout w:type="fixed"/>
        <w:tblCellMar>
          <w:top w:w="28" w:type="dxa"/>
          <w:left w:w="28" w:type="dxa"/>
          <w:bottom w:w="28" w:type="dxa"/>
          <w:right w:w="28" w:type="dxa"/>
        </w:tblCellMar>
      </w:tblPr>
      <w:tblGrid>
        <w:gridCol w:w="1091"/>
        <w:gridCol w:w="963"/>
        <w:gridCol w:w="975"/>
        <w:gridCol w:w="285"/>
        <w:gridCol w:w="1338"/>
        <w:gridCol w:w="147"/>
        <w:gridCol w:w="109"/>
        <w:gridCol w:w="109"/>
        <w:gridCol w:w="109"/>
        <w:gridCol w:w="278"/>
        <w:gridCol w:w="1288"/>
        <w:gridCol w:w="203"/>
      </w:tblGrid>
      <w:tr>
        <w:trPr/>
        <w:tc>
          <w:tcPr>
            <w:tcW w:w="109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301,026</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278,865 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142,390</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140,327 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49,865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84,534</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57,687 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577,815</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1,093,972</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1,036,892 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34,427</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290,856</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317,653 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1,098,975</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1,081,073 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90,117</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3,186,162</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3,071,648 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242,399</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current portion</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2,128,996</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2,208,100 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209,980</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198,135 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54,316</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2,635,691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2,666,737 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550,471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404,911 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3,186,162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3,071,648 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9411" w:type="dxa"/>
        <w:jc w:val="center"/>
        <w:tblInd w:w="0" w:type="dxa"/>
        <w:tblLayout w:type="fixed"/>
        <w:tblCellMar>
          <w:top w:w="28" w:type="dxa"/>
          <w:left w:w="28" w:type="dxa"/>
          <w:bottom w:w="28" w:type="dxa"/>
          <w:right w:w="28" w:type="dxa"/>
        </w:tblCellMar>
      </w:tblPr>
      <w:tblGrid>
        <w:gridCol w:w="2435"/>
        <w:gridCol w:w="2135"/>
        <w:gridCol w:w="2149"/>
        <w:gridCol w:w="211"/>
        <w:gridCol w:w="841"/>
        <w:gridCol w:w="109"/>
        <w:gridCol w:w="109"/>
        <w:gridCol w:w="109"/>
        <w:gridCol w:w="109"/>
        <w:gridCol w:w="213"/>
        <w:gridCol w:w="837"/>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items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121,455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(84,445)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borrowings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(82,547)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 issuance costs and debt discount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Buyout of leased facilities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employee taxes on equity awards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(92,359)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 including restricted cash</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at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278,865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including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301,026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129,600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 income taxes, net of tax refunds received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included in accounts payable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26"/>
        <w:gridCol w:w="1488"/>
        <w:gridCol w:w="1511"/>
        <w:gridCol w:w="345"/>
        <w:gridCol w:w="199"/>
        <w:gridCol w:w="495"/>
        <w:gridCol w:w="172"/>
        <w:gridCol w:w="172"/>
        <w:gridCol w:w="172"/>
        <w:gridCol w:w="323"/>
        <w:gridCol w:w="228"/>
        <w:gridCol w:w="467"/>
        <w:gridCol w:w="109"/>
        <w:gridCol w:w="109"/>
        <w:gridCol w:w="109"/>
        <w:gridCol w:w="316"/>
        <w:gridCol w:w="220"/>
        <w:gridCol w:w="471"/>
        <w:gridCol w:w="167"/>
        <w:gridCol w:w="167"/>
        <w:gridCol w:w="167"/>
        <w:gridCol w:w="317"/>
        <w:gridCol w:w="218"/>
        <w:gridCol w:w="537"/>
      </w:tblGrid>
      <w:tr>
        <w:trPr/>
        <w:tc>
          <w:tcPr>
            <w:tcW w:w="172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48,400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43,102</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32,075</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5,648</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36,246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59,737</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(a)</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8,047</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23,465</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28,723</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refinancing of debt</w:t>
            </w:r>
            <w:r>
              <w:rPr>
                <w:rFonts w:ascii="Times New Roman;serif" w:hAnsi="Times New Roman;serif"/>
                <w:b w:val="false"/>
                <w:color w:val="000000"/>
                <w:sz w:val="12"/>
              </w:rPr>
              <w:t>(b)</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1,087</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1,167</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24,160</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 on foreign currency and derivatives not designated as hedging instruments, net</w:t>
            </w:r>
            <w:r>
              <w:rPr>
                <w:rFonts w:ascii="Times New Roman;serif" w:hAnsi="Times New Roman;serif"/>
                <w:b w:val="false"/>
                <w:color w:val="000000"/>
                <w:sz w:val="12"/>
              </w:rPr>
              <w:t>(c)</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(167)</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(1,294)</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optimization expenses</w:t>
            </w:r>
            <w:r>
              <w:rPr>
                <w:rFonts w:ascii="Times New Roman;serif" w:hAnsi="Times New Roman;serif"/>
                <w:b w:val="false"/>
                <w:color w:val="000000"/>
                <w:sz w:val="12"/>
              </w:rPr>
              <w:t>(d)</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3,098</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7,575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4,733</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Professional services relating to EO sterilization facilities</w:t>
            </w:r>
            <w:r>
              <w:rPr>
                <w:rFonts w:ascii="Times New Roman;serif" w:hAnsi="Times New Roman;serif"/>
                <w:b w:val="false"/>
                <w:color w:val="000000"/>
                <w:sz w:val="12"/>
              </w:rPr>
              <w:t>(e)</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11,152</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37,515</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22,357</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Illinois EO litigation settlements</w:t>
            </w:r>
            <w:r>
              <w:rPr>
                <w:rFonts w:ascii="Times New Roman;serif" w:hAnsi="Times New Roman;serif"/>
                <w:b w:val="false"/>
                <w:color w:val="000000"/>
                <w:sz w:val="12"/>
              </w:rPr>
              <w:t>(f)</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64,943</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Accretion of asset retirement obligation</w:t>
            </w:r>
            <w:r>
              <w:rPr>
                <w:rFonts w:ascii="Times New Roman;serif" w:hAnsi="Times New Roman;serif"/>
                <w:b w:val="false"/>
                <w:color w:val="000000"/>
                <w:sz w:val="12"/>
              </w:rPr>
              <w:t>(g)</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601</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1,738</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benefit associated with pre-tax adjustments</w:t>
            </w:r>
            <w:r>
              <w:rPr>
                <w:rFonts w:ascii="Times New Roman;serif" w:hAnsi="Times New Roman;serif"/>
                <w:b w:val="false"/>
                <w:color w:val="000000"/>
                <w:sz w:val="12"/>
              </w:rPr>
              <w:t>(h)</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(2,596)</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(44,081)</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(32,241)</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75,270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170,376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139,759</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39,147</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120,674</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123,731</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Depreciation</w:t>
            </w:r>
            <w:r>
              <w:rPr>
                <w:rFonts w:ascii="Times New Roman;serif" w:hAnsi="Times New Roman;serif"/>
                <w:b w:val="false"/>
                <w:color w:val="000000"/>
                <w:sz w:val="12"/>
              </w:rPr>
              <w:t>(i)</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22,642</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67,726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63,074</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provision applicable to Adjusted Net Income</w:t>
            </w:r>
            <w:r>
              <w:rPr>
                <w:rFonts w:ascii="Times New Roman;serif" w:hAnsi="Times New Roman;serif"/>
                <w:b w:val="false"/>
                <w:color w:val="000000"/>
                <w:sz w:val="12"/>
              </w:rPr>
              <w:t>(j)</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27,131</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77,988</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69,076</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(k)</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164,190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436,764</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395,640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311,312</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860,176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810,238</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number of shares outstanding:</w:t>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284,067</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283,059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283,855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282,624</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286,745</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286,019</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284,660</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0.17</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0.15</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0.17</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0.15</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earnings per share:</w:t>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0.26</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0.60</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0.26</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0.60</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0.49</w:t>
            </w:r>
          </w:p>
        </w:tc>
      </w:tr>
    </w:tbl>
    <w:p>
      <w:pPr>
        <w:pStyle w:val="TextBody"/>
        <w:bidi w:val="0"/>
        <w:spacing w:lineRule="auto" w:line="288" w:before="200" w:after="283"/>
        <w:jc w:val="left"/>
        <w:rPr/>
      </w:pPr>
      <w:r>
        <w:rPr>
          <w:rFonts w:ascii="Times New Roman;serif" w:hAnsi="Times New Roman;serif"/>
          <w:b w:val="false"/>
          <w:color w:val="000000"/>
          <w:sz w:val="17"/>
        </w:rPr>
        <w:t>(a)    </w:t>
      </w:r>
      <w:r>
        <w:rPr>
          <w:rFonts w:ascii="Times New Roman;serif" w:hAnsi="Times New Roman;serif"/>
          <w:b w:val="false"/>
          <w:color w:val="000000"/>
          <w:sz w:val="17"/>
          <w:shd w:fill="FFFFFF" w:val="clear"/>
        </w:rPr>
        <w:t>Represents share-based compensation expense related to employees and Non-Employee Directors.</w:t>
      </w:r>
    </w:p>
    <w:p>
      <w:pPr>
        <w:pStyle w:val="TextBody"/>
        <w:bidi w:val="0"/>
        <w:spacing w:lineRule="auto" w:line="288" w:before="40" w:after="283"/>
        <w:ind w:left="0" w:right="0" w:hanging="720"/>
        <w:jc w:val="left"/>
        <w:rPr/>
      </w:pPr>
      <w:r>
        <w:rPr>
          <w:rFonts w:ascii="Times New Roman;serif" w:hAnsi="Times New Roman;serif"/>
          <w:b w:val="false"/>
          <w:color w:val="000000"/>
          <w:sz w:val="17"/>
        </w:rPr>
        <w:t>(b)    </w:t>
      </w:r>
      <w:r>
        <w:rPr>
          <w:rFonts w:ascii="Times New Roman;serif" w:hAnsi="Times New Roman;serif"/>
          <w:b w:val="false"/>
          <w:color w:val="000000"/>
          <w:sz w:val="17"/>
          <w:shd w:fill="FFFFFF" w:val="clear"/>
        </w:rPr>
        <w:t xml:space="preserve">Represents the write-off of unamortized debt issuance costs and discounts, as well as certain other costs incurred related to refinancing activity for the Term Loans, the Secured Notes and the Revolving Credit Facility. </w:t>
      </w:r>
    </w:p>
    <w:p>
      <w:pPr>
        <w:pStyle w:val="TextBody"/>
        <w:bidi w:val="0"/>
        <w:spacing w:lineRule="auto" w:line="288" w:before="40" w:after="283"/>
        <w:ind w:left="0" w:right="0" w:hanging="720"/>
        <w:jc w:val="left"/>
        <w:rPr/>
      </w:pPr>
      <w:r>
        <w:rPr>
          <w:rFonts w:ascii="Times New Roman;serif" w:hAnsi="Times New Roman;serif"/>
          <w:b w:val="false"/>
          <w:color w:val="000000"/>
          <w:sz w:val="17"/>
        </w:rPr>
        <w:t>(c)    </w:t>
      </w:r>
      <w:r>
        <w:rPr>
          <w:rFonts w:ascii="Times New Roman;serif" w:hAnsi="Times New Roman;serif"/>
          <w:b w:val="false"/>
          <w:color w:val="000000"/>
          <w:sz w:val="17"/>
          <w:shd w:fill="FFFFFF" w:val="clear"/>
        </w:rPr>
        <w:t>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pPr>
      <w:r>
        <w:rPr>
          <w:rFonts w:ascii="Times New Roman;serif" w:hAnsi="Times New Roman;serif"/>
          <w:b w:val="false"/>
          <w:color w:val="000000"/>
          <w:sz w:val="17"/>
        </w:rPr>
        <w:t>(d)    </w:t>
      </w:r>
      <w:r>
        <w:rPr>
          <w:rFonts w:ascii="Times New Roman;serif" w:hAnsi="Times New Roman;serif"/>
          <w:b w:val="false"/>
          <w:color w:val="000000"/>
          <w:sz w:val="17"/>
          <w:shd w:fill="FFFFFF" w:val="clear"/>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720"/>
        <w:jc w:val="left"/>
        <w:rPr/>
      </w:pPr>
      <w:r>
        <w:rPr>
          <w:rFonts w:ascii="Times New Roman;serif" w:hAnsi="Times New Roman;serif"/>
          <w:b w:val="false"/>
          <w:color w:val="000000"/>
          <w:sz w:val="17"/>
        </w:rPr>
        <w:t>(e)    </w:t>
      </w:r>
      <w:r>
        <w:rPr>
          <w:rFonts w:ascii="Times New Roman;serif" w:hAnsi="Times New Roman;serif"/>
          <w:b w:val="false"/>
          <w:color w:val="000000"/>
          <w:sz w:val="17"/>
          <w:shd w:fill="FFFFFF" w:val="clear"/>
        </w:rPr>
        <w:t>Represents litigation and other professional fees associated with our EO sterilization facilities.</w:t>
      </w:r>
    </w:p>
    <w:p>
      <w:pPr>
        <w:pStyle w:val="TextBody"/>
        <w:bidi w:val="0"/>
        <w:spacing w:lineRule="auto" w:line="288" w:before="40" w:after="283"/>
        <w:ind w:left="0" w:right="0" w:hanging="720"/>
        <w:jc w:val="left"/>
        <w:rPr/>
      </w:pPr>
      <w:r>
        <w:rPr>
          <w:rFonts w:ascii="Times New Roman;serif" w:hAnsi="Times New Roman;serif"/>
          <w:b w:val="false"/>
          <w:color w:val="000000"/>
          <w:sz w:val="17"/>
        </w:rPr>
        <w:t>(f)    </w:t>
      </w:r>
      <w:r>
        <w:rPr>
          <w:rFonts w:ascii="Times New Roman;serif" w:hAnsi="Times New Roman;serif"/>
          <w:b w:val="false"/>
          <w:color w:val="000000"/>
          <w:sz w:val="17"/>
          <w:shd w:fill="FFFFFF" w:val="clear"/>
        </w:rPr>
        <w:t xml:space="preserve">Represents (i) the cost to settle </w:t>
      </w:r>
      <w:r>
        <w:rPr>
          <w:rFonts w:ascii="Times New Roman;serif" w:hAnsi="Times New Roman;serif"/>
          <w:b w:val="false"/>
          <w:color w:val="000000"/>
          <w:sz w:val="17"/>
        </w:rPr>
        <w:t>97</w:t>
      </w:r>
      <w:r>
        <w:rPr>
          <w:color w:val="000000"/>
          <w:shd w:fill="FFFFFF" w:val="clear"/>
        </w:rPr>
        <w:t xml:space="preserve"> </w:t>
      </w:r>
      <w:r>
        <w:rPr>
          <w:rFonts w:ascii="Times New Roman;serif" w:hAnsi="Times New Roman;serif"/>
          <w:b w:val="false"/>
          <w:color w:val="000000"/>
          <w:sz w:val="17"/>
          <w:shd w:fill="FFFFFF" w:val="clear"/>
        </w:rPr>
        <w:t xml:space="preserve">pending and threatened EO claims against Sterigenics in Illinois pursuant to the term sheet entered into on April 3, 2025 and (ii) the cost to settle </w:t>
      </w:r>
      <w:r>
        <w:rPr>
          <w:rFonts w:ascii="Times New Roman;serif" w:hAnsi="Times New Roman;serif"/>
          <w:b w:val="false"/>
          <w:color w:val="000000"/>
          <w:sz w:val="17"/>
        </w:rPr>
        <w:t>129</w:t>
      </w:r>
      <w:r>
        <w:rPr>
          <w:color w:val="000000"/>
          <w:shd w:fill="FFFFFF" w:val="clear"/>
        </w:rPr>
        <w:t xml:space="preserve"> </w:t>
      </w:r>
      <w:r>
        <w:rPr>
          <w:rFonts w:ascii="Times New Roman;serif" w:hAnsi="Times New Roman;serif"/>
          <w:b w:val="false"/>
          <w:color w:val="000000"/>
          <w:sz w:val="17"/>
          <w:shd w:fill="FFFFFF" w:val="clear"/>
        </w:rPr>
        <w:t>pending and threatened EO claims against Sterigenics in Illinois pursuant to the term sheet entered into on July 23, 2025.</w:t>
      </w:r>
    </w:p>
    <w:p>
      <w:pPr>
        <w:pStyle w:val="TextBody"/>
        <w:bidi w:val="0"/>
        <w:spacing w:lineRule="auto" w:line="288" w:before="40" w:after="283"/>
        <w:ind w:left="0" w:right="0" w:hanging="720"/>
        <w:jc w:val="left"/>
        <w:rPr/>
      </w:pPr>
      <w:r>
        <w:rPr>
          <w:rFonts w:ascii="Times New Roman;serif" w:hAnsi="Times New Roman;serif"/>
          <w:b w:val="false"/>
          <w:color w:val="000000"/>
          <w:sz w:val="17"/>
        </w:rPr>
        <w:t>(g)    </w:t>
      </w:r>
      <w:r>
        <w:rPr>
          <w:rFonts w:ascii="Times New Roman;serif" w:hAnsi="Times New Roman;serif"/>
          <w:b w:val="false"/>
          <w:color w:val="000000"/>
          <w:sz w:val="17"/>
          <w:shd w:fill="FFFFFF" w:val="clear"/>
        </w:rPr>
        <w:t>Represents non-cash accretion of ARO related to Co-60 gamma and EO sterilization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720"/>
        <w:jc w:val="left"/>
        <w:rPr/>
      </w:pPr>
      <w:r>
        <w:rPr>
          <w:rFonts w:ascii="Times New Roman;serif" w:hAnsi="Times New Roman;serif"/>
          <w:b w:val="false"/>
          <w:color w:val="000000"/>
          <w:sz w:val="17"/>
        </w:rPr>
        <w:t>(h)    </w:t>
      </w:r>
      <w:r>
        <w:rPr>
          <w:rFonts w:ascii="Times New Roman;serif" w:hAnsi="Times New Roman;serif"/>
          <w:b w:val="false"/>
          <w:color w:val="000000"/>
          <w:sz w:val="17"/>
          <w:shd w:fill="FFFFFF" w:val="clear"/>
        </w:rPr>
        <w:t>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40" w:after="283"/>
        <w:ind w:left="0" w:right="0" w:hanging="720"/>
        <w:jc w:val="left"/>
        <w:rPr/>
      </w:pPr>
      <w:r>
        <w:rPr>
          <w:rFonts w:ascii="Times New Roman;serif" w:hAnsi="Times New Roman;serif"/>
          <w:b w:val="false"/>
          <w:color w:val="231F20"/>
          <w:sz w:val="17"/>
        </w:rPr>
        <w:t>(i)    </w:t>
      </w:r>
      <w:r>
        <w:rPr>
          <w:rFonts w:ascii="Times New Roman;serif" w:hAnsi="Times New Roman;serif"/>
          <w:b w:val="false"/>
          <w:color w:val="000000"/>
          <w:sz w:val="17"/>
          <w:shd w:fill="FFFFFF" w:val="clear"/>
        </w:rPr>
        <w:t xml:space="preserve">Includes depreciation of Co-60 held at gamma irradiation sites, and excludes accelerated depreciation associated with business optimization activities. </w:t>
      </w:r>
    </w:p>
    <w:p>
      <w:pPr>
        <w:pStyle w:val="TextBody"/>
        <w:bidi w:val="0"/>
        <w:spacing w:lineRule="auto" w:line="288" w:before="40" w:after="283"/>
        <w:ind w:left="0" w:right="0" w:hanging="720"/>
        <w:jc w:val="left"/>
        <w:rPr/>
      </w:pPr>
      <w:r>
        <w:rPr>
          <w:rFonts w:ascii="Times New Roman;serif" w:hAnsi="Times New Roman;serif"/>
          <w:b w:val="false"/>
          <w:color w:val="000000"/>
          <w:sz w:val="17"/>
        </w:rPr>
        <w:t>(j)    </w:t>
      </w:r>
      <w:r>
        <w:rPr>
          <w:rFonts w:ascii="Times New Roman;serif" w:hAnsi="Times New Roman;serif"/>
          <w:b w:val="false"/>
          <w:color w:val="000000"/>
          <w:sz w:val="17"/>
          <w:shd w:fill="FFFFFF" w:val="clear"/>
        </w:rPr>
        <w:t>Represents the difference between the income tax provision as determined under U.S. GAAP and the income tax benefit associated with pre-tax adjustments described in footnote (h).</w:t>
      </w:r>
    </w:p>
    <w:p>
      <w:pPr>
        <w:pStyle w:val="TextBody"/>
        <w:bidi w:val="0"/>
        <w:spacing w:lineRule="auto" w:line="288" w:before="40" w:after="283"/>
        <w:ind w:left="0" w:right="0" w:hanging="720"/>
        <w:jc w:val="left"/>
        <w:rPr/>
      </w:pPr>
      <w:r>
        <w:rPr>
          <w:rFonts w:ascii="Times New Roman;serif" w:hAnsi="Times New Roman;serif"/>
          <w:b w:val="false"/>
          <w:color w:val="000000"/>
          <w:sz w:val="17"/>
        </w:rPr>
        <w:t>(k)    </w:t>
      </w:r>
      <w:r>
        <w:rPr>
          <w:rFonts w:ascii="Times New Roman;serif" w:hAnsi="Times New Roman;serif"/>
          <w:b w:val="false"/>
          <w:color w:val="000000"/>
          <w:sz w:val="17"/>
          <w:shd w:fill="FFFFFF" w:val="clear"/>
        </w:rPr>
        <w:t>$24.1 million and $25.8 million of the adjustments for the three months ended September 30, 2025 and 2024, respectively, and $72.7 million and $73.0 million of the adjustments for the nine months ended September 30, 2025 and 2024, respectively, are included in cost of revenues, primarily consisting of amortization of intangible assets, depreciation, and accretion of asset retirement obligations.</w:t>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 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240" w:after="283"/>
        <w:jc w:val="center"/>
        <w:rPr/>
      </w:pPr>
      <w:r>
        <w:rPr/>
      </w:r>
    </w:p>
    <w:tbl>
      <w:tblPr>
        <w:tblW w:w="6760" w:type="dxa"/>
        <w:jc w:val="center"/>
        <w:tblInd w:w="0" w:type="dxa"/>
        <w:tblLayout w:type="fixed"/>
        <w:tblCellMar>
          <w:top w:w="28" w:type="dxa"/>
          <w:left w:w="28" w:type="dxa"/>
          <w:bottom w:w="28" w:type="dxa"/>
          <w:right w:w="28" w:type="dxa"/>
        </w:tblCellMar>
      </w:tblPr>
      <w:tblGrid>
        <w:gridCol w:w="1049"/>
        <w:gridCol w:w="919"/>
        <w:gridCol w:w="926"/>
        <w:gridCol w:w="285"/>
        <w:gridCol w:w="1338"/>
        <w:gridCol w:w="147"/>
        <w:gridCol w:w="109"/>
        <w:gridCol w:w="109"/>
        <w:gridCol w:w="109"/>
        <w:gridCol w:w="278"/>
        <w:gridCol w:w="1288"/>
        <w:gridCol w:w="203"/>
      </w:tblGrid>
      <w:tr>
        <w:trPr/>
        <w:tc>
          <w:tcPr>
            <w:tcW w:w="104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13,964</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2,128,996</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2,208,100 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leases</w:t>
            </w:r>
          </w:p>
        </w:tc>
        <w:tc>
          <w:tcPr>
            <w:tcW w:w="1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3,347</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less current portion</w:t>
            </w:r>
          </w:p>
        </w:tc>
        <w:tc>
          <w:tcPr>
            <w:tcW w:w="1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94,506</w:t>
            </w: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95,286 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16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2,240,813</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2,321,112 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(299,192)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(277,242)</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1,941,621</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2,043,870 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EBITDA</w:t>
            </w:r>
            <w:r>
              <w:rPr>
                <w:rFonts w:ascii="Times New Roman;serif" w:hAnsi="Times New Roman;serif"/>
                <w:b/>
                <w:color w:val="000000"/>
                <w:sz w:val="13"/>
              </w:rPr>
              <w:t>(a)</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589,698</w:t>
            </w: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548,574 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Leverage</w:t>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3.7x</w:t>
            </w:r>
          </w:p>
        </w:tc>
      </w:tr>
    </w:tbl>
    <w:p>
      <w:pPr>
        <w:pStyle w:val="TextBody"/>
        <w:bidi w:val="0"/>
        <w:spacing w:before="0" w:after="0"/>
        <w:ind w:left="0" w:right="0" w:firstLine="360"/>
        <w:jc w:val="left"/>
        <w:rPr/>
      </w:pPr>
      <w:r>
        <w:rPr/>
      </w:r>
    </w:p>
    <w:p>
      <w:pPr>
        <w:pStyle w:val="TextBody"/>
        <w:bidi w:val="0"/>
        <w:spacing w:lineRule="auto" w:line="288" w:before="0" w:after="0"/>
        <w:ind w:left="0" w:right="0" w:hanging="540"/>
        <w:jc w:val="left"/>
        <w:rPr/>
      </w:pPr>
      <w:r>
        <w:rPr>
          <w:rFonts w:ascii="Times New Roman;serif" w:hAnsi="Times New Roman;serif"/>
          <w:b w:val="false"/>
          <w:color w:val="000000"/>
          <w:sz w:val="17"/>
        </w:rPr>
        <w:t>(a)</w:t>
      </w:r>
      <w:r>
        <w:rPr>
          <w:color w:val="000000"/>
        </w:rPr>
        <w:t>    </w:t>
      </w:r>
      <w:r>
        <w:rPr>
          <w:rFonts w:ascii="Times New Roman;serif" w:hAnsi="Times New Roman;serif"/>
          <w:b w:val="false"/>
          <w:color w:val="231F20"/>
          <w:sz w:val="17"/>
        </w:rPr>
        <w:t xml:space="preserve">Represents Adjusted EBITDA for the twelve months ended September 30, 2025 and </w:t>
      </w:r>
      <w:r>
        <w:rPr>
          <w:rFonts w:ascii="Times New Roman;serif" w:hAnsi="Times New Roman;serif"/>
          <w:b w:val="false"/>
          <w:color w:val="000000"/>
          <w:sz w:val="17"/>
        </w:rPr>
        <w:t>December 31, 2024</w:t>
      </w:r>
      <w:r>
        <w:rPr>
          <w:rFonts w:ascii="Times New Roman;serif" w:hAnsi="Times New Roman;serif"/>
          <w:b w:val="false"/>
          <w:color w:val="231F20"/>
          <w:sz w:val="17"/>
        </w:rPr>
        <w:t>, respectively. Refer to the reconciliation of net income (the most comparable GAAP measure) to Adjusted EBITDA on the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Sotera Health Company</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164.85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40"/>
        <w:gridCol w:w="1593"/>
        <w:gridCol w:w="1618"/>
        <w:gridCol w:w="773"/>
        <w:gridCol w:w="484"/>
        <w:gridCol w:w="1137"/>
        <w:gridCol w:w="109"/>
        <w:gridCol w:w="109"/>
        <w:gridCol w:w="109"/>
        <w:gridCol w:w="773"/>
        <w:gridCol w:w="474"/>
        <w:gridCol w:w="1186"/>
      </w:tblGrid>
      <w:tr>
        <w:trPr/>
        <w:tc>
          <w:tcPr>
            <w:tcW w:w="184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Twelve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Twelve Months Ended December 31,</w:t>
            </w:r>
          </w:p>
        </w:tc>
      </w:tr>
      <w:tr>
        <w:trPr/>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44,398</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55,886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79,377</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(a)</w:t>
            </w:r>
          </w:p>
        </w:tc>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36,896</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refinancing of debt</w:t>
            </w:r>
            <w:r>
              <w:rPr>
                <w:rFonts w:ascii="Times New Roman;serif" w:hAnsi="Times New Roman;serif"/>
                <w:b w:val="false"/>
                <w:color w:val="000000"/>
                <w:sz w:val="12"/>
              </w:rPr>
              <w:t>(b)</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24,168</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foreign currency and derivatives not designated as hedging instruments, net</w:t>
            </w:r>
            <w:r>
              <w:rPr>
                <w:rFonts w:ascii="Times New Roman;serif" w:hAnsi="Times New Roman;serif"/>
                <w:b w:val="false"/>
                <w:color w:val="000000"/>
                <w:sz w:val="12"/>
              </w:rPr>
              <w:t>(c)</w:t>
            </w:r>
          </w:p>
        </w:tc>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Business optimization expenses</w:t>
            </w:r>
            <w:r>
              <w:rPr>
                <w:rFonts w:ascii="Times New Roman;serif" w:hAnsi="Times New Roman;serif"/>
                <w:b w:val="false"/>
                <w:color w:val="000000"/>
                <w:sz w:val="12"/>
              </w:rPr>
              <w:t>(d)</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9,368</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Professional services relating to EO sterilization facilities</w:t>
            </w:r>
            <w:r>
              <w:rPr>
                <w:rFonts w:ascii="Times New Roman;serif" w:hAnsi="Times New Roman;serif"/>
                <w:b w:val="false"/>
                <w:color w:val="000000"/>
                <w:sz w:val="12"/>
              </w:rPr>
              <w:t>(e)</w:t>
            </w:r>
          </w:p>
        </w:tc>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47,852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32,694</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Illinois EO litigation settlements</w:t>
            </w:r>
            <w:r>
              <w:rPr>
                <w:rFonts w:ascii="Times New Roman;serif" w:hAnsi="Times New Roman;serif"/>
                <w:b w:val="false"/>
                <w:color w:val="000000"/>
                <w:sz w:val="12"/>
              </w:rPr>
              <w:t>(f)</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64,943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Accretion of asset retirement obligation</w:t>
            </w:r>
            <w:r>
              <w:rPr>
                <w:rFonts w:ascii="Times New Roman;serif" w:hAnsi="Times New Roman;serif"/>
                <w:b w:val="false"/>
                <w:color w:val="000000"/>
                <w:sz w:val="12"/>
              </w:rPr>
              <w:t>(g)</w:t>
            </w:r>
          </w:p>
        </w:tc>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benefit associated with pre-tax adjustments</w:t>
            </w:r>
            <w:r>
              <w:rPr>
                <w:rFonts w:ascii="Times New Roman;serif" w:hAnsi="Times New Roman;serif"/>
                <w:b w:val="false"/>
                <w:color w:val="000000"/>
                <w:sz w:val="12"/>
              </w:rPr>
              <w:t>(h)</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(45,327)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(33,487)</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2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229,117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198,500</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3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161,634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164,691</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Depreciation</w:t>
            </w:r>
            <w:r>
              <w:rPr>
                <w:rFonts w:ascii="Times New Roman;serif" w:hAnsi="Times New Roman;serif"/>
                <w:b w:val="false"/>
                <w:color w:val="000000"/>
                <w:sz w:val="12"/>
              </w:rPr>
              <w:t>(i)</w:t>
            </w:r>
          </w:p>
        </w:tc>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82,420</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tax provision applicable to Adjusted Net Income</w:t>
            </w:r>
            <w:r>
              <w:rPr>
                <w:rFonts w:ascii="Times New Roman;serif" w:hAnsi="Times New Roman;serif"/>
                <w:b w:val="false"/>
                <w:color w:val="000000"/>
                <w:sz w:val="12"/>
              </w:rPr>
              <w:t>(j)</w:t>
            </w:r>
          </w:p>
        </w:tc>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102,963</w:t>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Adjusted EBITDA</w:t>
            </w:r>
            <w:r>
              <w:rPr>
                <w:rFonts w:ascii="Times New Roman;serif" w:hAnsi="Times New Roman;serif"/>
                <w:b/>
                <w:color w:val="000000"/>
                <w:sz w:val="12"/>
              </w:rPr>
              <w:t>(k)</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589,698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548,574</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revenues</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1,150,379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1,100,441</w:t>
            </w:r>
          </w:p>
        </w:tc>
      </w:tr>
      <w:tr>
        <w:trPr/>
        <w:tc>
          <w:tcPr>
            <w:tcW w:w="5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margin</w:t>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51.3</w:t>
            </w:r>
            <w:r>
              <w:rPr>
                <w:color w:val="000000"/>
              </w:rPr>
              <w:t> </w:t>
            </w:r>
          </w:p>
        </w:tc>
        <w:tc>
          <w:tcPr>
            <w:tcW w:w="11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left"/>
        <w:rPr/>
      </w:pPr>
      <w:r>
        <w:rPr>
          <w:rFonts w:ascii="Times New Roman;serif" w:hAnsi="Times New Roman;serif"/>
          <w:b w:val="false"/>
          <w:color w:val="000000"/>
          <w:sz w:val="17"/>
        </w:rPr>
        <w:t>(a)    </w:t>
      </w:r>
      <w:r>
        <w:rPr>
          <w:rFonts w:ascii="Times New Roman;serif" w:hAnsi="Times New Roman;serif"/>
          <w:b w:val="false"/>
          <w:color w:val="000000"/>
          <w:sz w:val="17"/>
          <w:shd w:fill="FFFFFF" w:val="clear"/>
        </w:rPr>
        <w:t>Represents share-based compensation expense related to employees and Non-Employee Directors.</w:t>
      </w:r>
    </w:p>
    <w:p>
      <w:pPr>
        <w:pStyle w:val="TextBody"/>
        <w:bidi w:val="0"/>
        <w:spacing w:lineRule="auto" w:line="288" w:before="40" w:after="283"/>
        <w:ind w:left="0" w:right="0" w:hanging="720"/>
        <w:jc w:val="left"/>
        <w:rPr/>
      </w:pPr>
      <w:r>
        <w:rPr>
          <w:rFonts w:ascii="Times New Roman;serif" w:hAnsi="Times New Roman;serif"/>
          <w:b w:val="false"/>
          <w:color w:val="000000"/>
          <w:sz w:val="17"/>
        </w:rPr>
        <w:t>(b)    </w:t>
      </w:r>
      <w:r>
        <w:rPr>
          <w:rFonts w:ascii="Times New Roman;serif" w:hAnsi="Times New Roman;serif"/>
          <w:b w:val="false"/>
          <w:color w:val="000000"/>
          <w:sz w:val="17"/>
          <w:shd w:fill="FFFFFF" w:val="clear"/>
        </w:rPr>
        <w:t xml:space="preserve">Represents the write-off of unamortized debt issuance costs and discounts, as well as certain other costs incurred related to refinancing activity for the Term Loans, the Secured Notes and the Revolving Credit Facility. </w:t>
      </w:r>
    </w:p>
    <w:p>
      <w:pPr>
        <w:pStyle w:val="TextBody"/>
        <w:bidi w:val="0"/>
        <w:spacing w:lineRule="auto" w:line="288" w:before="40" w:after="283"/>
        <w:ind w:left="0" w:right="0" w:hanging="720"/>
        <w:jc w:val="left"/>
        <w:rPr/>
      </w:pPr>
      <w:r>
        <w:rPr>
          <w:rFonts w:ascii="Times New Roman;serif" w:hAnsi="Times New Roman;serif"/>
          <w:b w:val="false"/>
          <w:color w:val="000000"/>
          <w:sz w:val="17"/>
        </w:rPr>
        <w:t>(c)    </w:t>
      </w:r>
      <w:r>
        <w:rPr>
          <w:rFonts w:ascii="Times New Roman;serif" w:hAnsi="Times New Roman;serif"/>
          <w:b w:val="false"/>
          <w:color w:val="000000"/>
          <w:sz w:val="17"/>
          <w:shd w:fill="FFFFFF" w:val="clear"/>
        </w:rPr>
        <w:t>Represents the effects of (i) fluctuations in foreign currency exchange rates and (ii) non-cash mark-to-fair value of embedded derivatives relating to certain customer and supply contracts at Nordion.</w:t>
      </w:r>
    </w:p>
    <w:p>
      <w:pPr>
        <w:pStyle w:val="TextBody"/>
        <w:bidi w:val="0"/>
        <w:spacing w:lineRule="auto" w:line="288" w:before="40" w:after="283"/>
        <w:ind w:left="0" w:right="0" w:hanging="720"/>
        <w:jc w:val="left"/>
        <w:rPr/>
      </w:pPr>
      <w:r>
        <w:rPr>
          <w:rFonts w:ascii="Times New Roman;serif" w:hAnsi="Times New Roman;serif"/>
          <w:b w:val="false"/>
          <w:color w:val="000000"/>
          <w:sz w:val="17"/>
        </w:rPr>
        <w:t>(d)    </w:t>
      </w:r>
      <w:r>
        <w:rPr>
          <w:rFonts w:ascii="Times New Roman;serif" w:hAnsi="Times New Roman;serif"/>
          <w:b w:val="false"/>
          <w:color w:val="000000"/>
          <w:sz w:val="17"/>
          <w:shd w:fill="FFFFFF" w:val="clear"/>
        </w:rPr>
        <w:t>Represents (i) certain costs related to divestitures, acquisitions and the integration of acquisitions, (ii) professional fees and other costs associated with business optimization, cost saving and other process enhancement projects, and (iii) legal, consulting, and other fees associated with the secondary offerings and shareholder engagement.</w:t>
      </w:r>
    </w:p>
    <w:p>
      <w:pPr>
        <w:pStyle w:val="TextBody"/>
        <w:bidi w:val="0"/>
        <w:spacing w:lineRule="auto" w:line="288" w:before="40" w:after="283"/>
        <w:ind w:left="0" w:right="0" w:hanging="720"/>
        <w:jc w:val="left"/>
        <w:rPr/>
      </w:pPr>
      <w:r>
        <w:rPr>
          <w:rFonts w:ascii="Times New Roman;serif" w:hAnsi="Times New Roman;serif"/>
          <w:b w:val="false"/>
          <w:color w:val="000000"/>
          <w:sz w:val="17"/>
        </w:rPr>
        <w:t>(e)    </w:t>
      </w:r>
      <w:r>
        <w:rPr>
          <w:rFonts w:ascii="Times New Roman;serif" w:hAnsi="Times New Roman;serif"/>
          <w:b w:val="false"/>
          <w:color w:val="000000"/>
          <w:sz w:val="17"/>
          <w:shd w:fill="FFFFFF" w:val="clear"/>
        </w:rPr>
        <w:t>Represents litigation and other professional fees associated with our EO sterilization facilities.</w:t>
      </w:r>
    </w:p>
    <w:p>
      <w:pPr>
        <w:pStyle w:val="TextBody"/>
        <w:bidi w:val="0"/>
        <w:spacing w:lineRule="auto" w:line="288" w:before="40" w:after="283"/>
        <w:ind w:left="0" w:right="0" w:hanging="720"/>
        <w:jc w:val="left"/>
        <w:rPr/>
      </w:pPr>
      <w:r>
        <w:rPr>
          <w:rFonts w:ascii="Times New Roman;serif" w:hAnsi="Times New Roman;serif"/>
          <w:b w:val="false"/>
          <w:color w:val="000000"/>
          <w:sz w:val="17"/>
        </w:rPr>
        <w:t>(f)    </w:t>
      </w:r>
      <w:r>
        <w:rPr>
          <w:rFonts w:ascii="Times New Roman;serif" w:hAnsi="Times New Roman;serif"/>
          <w:b w:val="false"/>
          <w:color w:val="000000"/>
          <w:sz w:val="17"/>
          <w:shd w:fill="FFFFFF" w:val="clear"/>
        </w:rPr>
        <w:t xml:space="preserve">Represents (i) the cost to settle </w:t>
      </w:r>
      <w:r>
        <w:rPr>
          <w:rFonts w:ascii="Times New Roman;serif" w:hAnsi="Times New Roman;serif"/>
          <w:b w:val="false"/>
          <w:color w:val="000000"/>
          <w:sz w:val="17"/>
        </w:rPr>
        <w:t>97</w:t>
      </w:r>
      <w:r>
        <w:rPr>
          <w:color w:val="000000"/>
          <w:shd w:fill="FFFFFF" w:val="clear"/>
        </w:rPr>
        <w:t xml:space="preserve"> </w:t>
      </w:r>
      <w:r>
        <w:rPr>
          <w:rFonts w:ascii="Times New Roman;serif" w:hAnsi="Times New Roman;serif"/>
          <w:b w:val="false"/>
          <w:color w:val="000000"/>
          <w:sz w:val="17"/>
          <w:shd w:fill="FFFFFF" w:val="clear"/>
        </w:rPr>
        <w:t xml:space="preserve">pending and threatened EO claims against Sterigenics in Illinois pursuant to the term sheet entered into on April 3, 2025 and (ii) the cost to settle </w:t>
      </w:r>
      <w:r>
        <w:rPr>
          <w:rFonts w:ascii="Times New Roman;serif" w:hAnsi="Times New Roman;serif"/>
          <w:b w:val="false"/>
          <w:color w:val="000000"/>
          <w:sz w:val="17"/>
        </w:rPr>
        <w:t>129</w:t>
      </w:r>
      <w:r>
        <w:rPr>
          <w:color w:val="000000"/>
          <w:shd w:fill="FFFFFF" w:val="clear"/>
        </w:rPr>
        <w:t xml:space="preserve"> </w:t>
      </w:r>
      <w:r>
        <w:rPr>
          <w:rFonts w:ascii="Times New Roman;serif" w:hAnsi="Times New Roman;serif"/>
          <w:b w:val="false"/>
          <w:color w:val="000000"/>
          <w:sz w:val="17"/>
          <w:shd w:fill="FFFFFF" w:val="clear"/>
        </w:rPr>
        <w:t>pending and threatened EO claims against Sterigenics in Illinois pursuant to the term sheet entered into on July 23, 2025.</w:t>
      </w:r>
      <w:r>
        <w:rPr>
          <w:color w:val="000000"/>
          <w:shd w:fill="FFFFFF" w:val="clear"/>
        </w:rPr>
        <w:t xml:space="preserve"> </w:t>
      </w:r>
    </w:p>
    <w:p>
      <w:pPr>
        <w:pStyle w:val="TextBody"/>
        <w:bidi w:val="0"/>
        <w:spacing w:lineRule="auto" w:line="288" w:before="40" w:after="283"/>
        <w:ind w:left="0" w:right="0" w:hanging="720"/>
        <w:jc w:val="left"/>
        <w:rPr/>
      </w:pPr>
      <w:r>
        <w:rPr>
          <w:rFonts w:ascii="Times New Roman;serif" w:hAnsi="Times New Roman;serif"/>
          <w:b w:val="false"/>
          <w:color w:val="000000"/>
          <w:sz w:val="17"/>
        </w:rPr>
        <w:t>(g)    </w:t>
      </w:r>
      <w:r>
        <w:rPr>
          <w:rFonts w:ascii="Times New Roman;serif" w:hAnsi="Times New Roman;serif"/>
          <w:b w:val="false"/>
          <w:color w:val="000000"/>
          <w:sz w:val="17"/>
          <w:shd w:fill="FFFFFF" w:val="clear"/>
        </w:rPr>
        <w:t>Represents non-cash accretion of ARO related to Co-60 gamma and EO sterilization facilities, which are based on estimated site remediation costs for any future decommissioning of these facilities and are accreted over the life of the asset.</w:t>
      </w:r>
    </w:p>
    <w:p>
      <w:pPr>
        <w:pStyle w:val="TextBody"/>
        <w:bidi w:val="0"/>
        <w:spacing w:lineRule="auto" w:line="288" w:before="40" w:after="283"/>
        <w:ind w:left="0" w:right="0" w:hanging="720"/>
        <w:jc w:val="left"/>
        <w:rPr/>
      </w:pPr>
      <w:r>
        <w:rPr>
          <w:rFonts w:ascii="Times New Roman;serif" w:hAnsi="Times New Roman;serif"/>
          <w:b w:val="false"/>
          <w:color w:val="000000"/>
          <w:sz w:val="17"/>
        </w:rPr>
        <w:t>(h)    </w:t>
      </w:r>
      <w:r>
        <w:rPr>
          <w:rFonts w:ascii="Times New Roman;serif" w:hAnsi="Times New Roman;serif"/>
          <w:b w:val="false"/>
          <w:color w:val="000000"/>
          <w:sz w:val="17"/>
          <w:shd w:fill="FFFFFF" w:val="clear"/>
        </w:rPr>
        <w:t>Represents the income tax impact of adjustments calculated based on the tax rate applicable to each item. We eliminate the effect of tax rate changes as applied to tax assets and liabilities and unusual items from our presentation of adjusted net income.</w:t>
      </w:r>
    </w:p>
    <w:p>
      <w:pPr>
        <w:pStyle w:val="TextBody"/>
        <w:bidi w:val="0"/>
        <w:spacing w:lineRule="auto" w:line="288" w:before="20" w:after="283"/>
        <w:ind w:left="0" w:right="0" w:hanging="720"/>
        <w:jc w:val="left"/>
        <w:rPr/>
      </w:pPr>
      <w:r>
        <w:rPr>
          <w:rFonts w:ascii="Times New Roman;serif" w:hAnsi="Times New Roman;serif"/>
          <w:b w:val="false"/>
          <w:color w:val="000000"/>
          <w:sz w:val="17"/>
        </w:rPr>
        <w:t>(i)    </w:t>
      </w:r>
      <w:r>
        <w:rPr>
          <w:rFonts w:ascii="Times New Roman;serif" w:hAnsi="Times New Roman;serif"/>
          <w:b w:val="false"/>
          <w:color w:val="000000"/>
          <w:sz w:val="17"/>
          <w:shd w:fill="FFFFFF" w:val="clear"/>
        </w:rPr>
        <w:t>Includes depreciation of Co-60 held at gamma irradiation sites and excludes accelerated depreciation associated with business optimization activities.</w:t>
      </w:r>
    </w:p>
    <w:p>
      <w:pPr>
        <w:pStyle w:val="TextBody"/>
        <w:bidi w:val="0"/>
        <w:spacing w:lineRule="auto" w:line="288" w:before="40" w:after="283"/>
        <w:ind w:left="0" w:right="0" w:hanging="720"/>
        <w:jc w:val="left"/>
        <w:rPr/>
      </w:pPr>
      <w:r>
        <w:rPr>
          <w:rFonts w:ascii="Times New Roman;serif" w:hAnsi="Times New Roman;serif"/>
          <w:b w:val="false"/>
          <w:color w:val="231F20"/>
          <w:sz w:val="17"/>
        </w:rPr>
        <w:t>(j)    </w:t>
      </w:r>
      <w:r>
        <w:rPr>
          <w:rFonts w:ascii="Times New Roman;serif" w:hAnsi="Times New Roman;serif"/>
          <w:b w:val="false"/>
          <w:color w:val="000000"/>
          <w:sz w:val="17"/>
          <w:shd w:fill="FFFFFF" w:val="clear"/>
        </w:rPr>
        <w:t>Represents the difference between the income tax provision or benefit as determined under U.S. GAAP and the income tax provision or benefit associated with pre-tax adjustments described in footnote (h).</w:t>
      </w:r>
    </w:p>
    <w:p>
      <w:pPr>
        <w:pStyle w:val="TextBody"/>
        <w:bidi w:val="0"/>
        <w:spacing w:lineRule="auto" w:line="288" w:before="40" w:after="283"/>
        <w:ind w:left="0" w:right="0" w:hanging="720"/>
        <w:jc w:val="left"/>
        <w:rPr/>
      </w:pPr>
      <w:r>
        <w:rPr>
          <w:rFonts w:ascii="Times New Roman;serif" w:hAnsi="Times New Roman;serif"/>
          <w:b w:val="false"/>
          <w:color w:val="000000"/>
          <w:sz w:val="17"/>
        </w:rPr>
        <w:t>(k)    $96.8 million</w:t>
      </w:r>
      <w:r>
        <w:rPr>
          <w:color w:val="231F20"/>
        </w:rPr>
        <w:t xml:space="preserve"> </w:t>
      </w:r>
      <w:r>
        <w:rPr>
          <w:rFonts w:ascii="Times New Roman;serif" w:hAnsi="Times New Roman;serif"/>
          <w:b w:val="false"/>
          <w:color w:val="231F20"/>
          <w:sz w:val="17"/>
        </w:rPr>
        <w:t xml:space="preserve">and </w:t>
      </w:r>
      <w:r>
        <w:rPr>
          <w:rFonts w:ascii="Times New Roman;serif" w:hAnsi="Times New Roman;serif"/>
          <w:b w:val="false"/>
          <w:color w:val="000000"/>
          <w:sz w:val="17"/>
        </w:rPr>
        <w:t>$97.1 million</w:t>
      </w:r>
      <w:r>
        <w:rPr>
          <w:color w:val="231F20"/>
        </w:rPr>
        <w:t xml:space="preserve"> </w:t>
      </w:r>
      <w:r>
        <w:rPr>
          <w:rFonts w:ascii="Times New Roman;serif" w:hAnsi="Times New Roman;serif"/>
          <w:b w:val="false"/>
          <w:color w:val="231F20"/>
          <w:sz w:val="17"/>
        </w:rPr>
        <w:t xml:space="preserve">of the adjustments for the twelve months ended </w:t>
      </w:r>
      <w:r>
        <w:rPr>
          <w:rFonts w:ascii="Times New Roman;serif" w:hAnsi="Times New Roman;serif"/>
          <w:b w:val="false"/>
          <w:color w:val="000000"/>
          <w:sz w:val="17"/>
        </w:rPr>
        <w:t>September 30, 2025</w:t>
      </w:r>
      <w:r>
        <w:rPr>
          <w:color w:val="231F20"/>
        </w:rPr>
        <w:t xml:space="preserve"> </w:t>
      </w:r>
      <w:r>
        <w:rPr>
          <w:rFonts w:ascii="Times New Roman;serif" w:hAnsi="Times New Roman;serif"/>
          <w:b w:val="false"/>
          <w:color w:val="231F20"/>
          <w:sz w:val="17"/>
        </w:rPr>
        <w:t xml:space="preserve">and </w:t>
      </w:r>
      <w:r>
        <w:rPr>
          <w:rFonts w:ascii="Times New Roman;serif" w:hAnsi="Times New Roman;serif"/>
          <w:b w:val="false"/>
          <w:color w:val="000000"/>
          <w:sz w:val="17"/>
        </w:rPr>
        <w:t>December 31, 2024</w:t>
      </w:r>
      <w:r>
        <w:rPr>
          <w:rFonts w:ascii="Times New Roman;serif" w:hAnsi="Times New Roman;serif"/>
          <w:b w:val="false"/>
          <w:color w:val="231F20"/>
          <w:sz w:val="17"/>
        </w:rPr>
        <w:t>, respectively, are included in cost of revenues, primarily consisting of amortization of intangible assets, depreciation, and accretion of asset retirement obligations.</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13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5864</Words>
  <Characters>33781</Characters>
  <CharactersWithSpaces>39244</CharactersWithSpaces>
  <Paragraphs>854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