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431800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4"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January 11, 2022</w:t>
      </w:r>
    </w:p>
    <w:p>
      <w:pPr>
        <w:spacing w:after="0" w:line="25"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SOTERA HEALTH COMPANY</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(Exact Name of Registrant as Specified in Charter)</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ectPr>
          <w:pgSz w:w="11900" w:h="16838" w:orient="portrait"/>
          <w:cols w:equalWidth="0" w:num="1">
            <w:col w:w="11300"/>
          </w:cols>
          <w:pgMar w:left="300" w:top="823" w:right="299" w:bottom="1440" w:gutter="0" w:footer="0" w:header="0"/>
        </w:sectPr>
      </w:pPr>
    </w:p>
    <w:p>
      <w:pPr>
        <w:spacing w:after="0" w:line="33" w:lineRule="exact"/>
        <w:rPr>
          <w:sz w:val="24"/>
          <w:szCs w:val="24"/>
          <w:color w:val="auto"/>
        </w:rPr>
      </w:pPr>
    </w:p>
    <w:p>
      <w:pPr>
        <w:ind w:left="16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2540"/>
        <w:spacing w:after="0"/>
        <w:rPr>
          <w:sz w:val="20"/>
          <w:szCs w:val="20"/>
          <w:color w:val="auto"/>
        </w:rPr>
      </w:pPr>
      <w:r>
        <w:rPr>
          <w:rFonts w:ascii="Arial" w:cs="Arial" w:eastAsia="Arial" w:hAnsi="Arial"/>
          <w:sz w:val="10"/>
          <w:szCs w:val="10"/>
          <w:b w:val="1"/>
          <w:bCs w:val="1"/>
          <w:color w:val="auto"/>
        </w:rPr>
        <w:t>001-39729</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47-3531161</w:t>
      </w:r>
    </w:p>
    <w:p>
      <w:pPr>
        <w:spacing w:after="0" w:line="65" w:lineRule="exact"/>
        <w:rPr>
          <w:sz w:val="24"/>
          <w:szCs w:val="24"/>
          <w:color w:val="auto"/>
        </w:rPr>
      </w:pPr>
    </w:p>
    <w:p>
      <w:pPr>
        <w:sectPr>
          <w:pgSz w:w="11900" w:h="16838" w:orient="portrait"/>
          <w:cols w:equalWidth="0" w:num="3">
            <w:col w:w="4660" w:space="720"/>
            <w:col w:w="3060" w:space="720"/>
            <w:col w:w="2140"/>
          </w:cols>
          <w:pgMar w:left="300" w:top="823" w:right="299" w:bottom="1440" w:gutter="0" w:footer="0" w:header="0"/>
          <w:type w:val="continuous"/>
        </w:sectPr>
      </w:pPr>
    </w:p>
    <w:p>
      <w:pPr>
        <w:ind w:left="980"/>
        <w:spacing w:after="0"/>
        <w:rPr>
          <w:sz w:val="20"/>
          <w:szCs w:val="20"/>
          <w:color w:val="auto"/>
        </w:rPr>
      </w:pPr>
      <w:r>
        <w:rPr>
          <w:rFonts w:ascii="Arial" w:cs="Arial" w:eastAsia="Arial" w:hAnsi="Arial"/>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(IRS Employer Identification No.)</w:t>
      </w:r>
    </w:p>
    <w:p>
      <w:pPr>
        <w:spacing w:after="0" w:line="151" w:lineRule="exact"/>
        <w:rPr>
          <w:sz w:val="24"/>
          <w:szCs w:val="24"/>
          <w:color w:val="auto"/>
        </w:rPr>
      </w:pPr>
    </w:p>
    <w:p>
      <w:pPr>
        <w:sectPr>
          <w:pgSz w:w="11900" w:h="16838" w:orient="portrait"/>
          <w:cols w:equalWidth="0" w:num="3">
            <w:col w:w="4380" w:space="720"/>
            <w:col w:w="2960" w:space="720"/>
            <w:col w:w="2520"/>
          </w:cols>
          <w:pgMar w:left="300" w:top="823" w:right="299" w:bottom="1440" w:gutter="0" w:footer="0" w:header="0"/>
          <w:type w:val="continuous"/>
        </w:sectPr>
      </w:pPr>
    </w:p>
    <w:p>
      <w:pPr>
        <w:ind w:left="4820"/>
        <w:spacing w:after="0"/>
        <w:rPr>
          <w:sz w:val="20"/>
          <w:szCs w:val="20"/>
          <w:color w:val="auto"/>
        </w:rPr>
      </w:pPr>
      <w:r>
        <w:rPr>
          <w:rFonts w:ascii="Arial" w:cs="Arial" w:eastAsia="Arial" w:hAnsi="Arial"/>
          <w:sz w:val="12"/>
          <w:szCs w:val="12"/>
          <w:b w:val="1"/>
          <w:bCs w:val="1"/>
          <w:color w:val="auto"/>
        </w:rPr>
        <w:t>9100 South Hills Blvd, Suite 300</w:t>
      </w:r>
    </w:p>
    <w:p>
      <w:pPr>
        <w:spacing w:after="0" w:line="19" w:lineRule="exact"/>
        <w:rPr>
          <w:sz w:val="24"/>
          <w:szCs w:val="24"/>
          <w:color w:val="auto"/>
        </w:rPr>
      </w:pPr>
    </w:p>
    <w:p>
      <w:pPr>
        <w:ind w:left="4840"/>
        <w:spacing w:after="0"/>
        <w:rPr>
          <w:sz w:val="20"/>
          <w:szCs w:val="20"/>
          <w:color w:val="auto"/>
        </w:rPr>
      </w:pPr>
      <w:r>
        <w:rPr>
          <w:rFonts w:ascii="Arial" w:cs="Arial" w:eastAsia="Arial" w:hAnsi="Arial"/>
          <w:sz w:val="12"/>
          <w:szCs w:val="12"/>
          <w:b w:val="1"/>
          <w:bCs w:val="1"/>
          <w:color w:val="auto"/>
        </w:rPr>
        <w:t>Broadview Heights, Ohio 44147</w:t>
      </w:r>
    </w:p>
    <w:p>
      <w:pPr>
        <w:jc w:val="center"/>
        <w:ind w:right="20"/>
        <w:spacing w:after="0"/>
        <w:rPr>
          <w:sz w:val="20"/>
          <w:szCs w:val="20"/>
          <w:color w:val="auto"/>
        </w:rPr>
      </w:pPr>
      <w:r>
        <w:rPr>
          <w:rFonts w:ascii="Arial" w:cs="Arial" w:eastAsia="Arial" w:hAnsi="Arial"/>
          <w:sz w:val="10"/>
          <w:szCs w:val="10"/>
          <w:color w:val="auto"/>
        </w:rPr>
        <w:t>(Address of Principal Executive Offices) (Zip Code)</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(440) 262-1410</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(Registrant’s telephone number, including area code)</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8"/>
          <w:szCs w:val="8"/>
          <w:color w:val="auto"/>
        </w:rPr>
        <w:t>(Former name or former address, if changed since last report)</w:t>
      </w:r>
    </w:p>
    <w:p>
      <w:pPr>
        <w:spacing w:after="0" w:line="21"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ectPr>
          <w:pgSz w:w="11900" w:h="16838" w:orient="portrait"/>
          <w:cols w:equalWidth="0" w:num="1">
            <w:col w:w="11300"/>
          </w:cols>
          <w:pgMar w:left="300" w:top="823" w:right="299" w:bottom="1440" w:gutter="0" w:footer="0" w:header="0"/>
          <w:type w:val="continuous"/>
        </w:sectPr>
      </w:pPr>
    </w:p>
    <w:p>
      <w:pPr>
        <w:spacing w:after="0" w:line="117" w:lineRule="exact"/>
        <w:rPr>
          <w:sz w:val="24"/>
          <w:szCs w:val="24"/>
          <w:color w:val="auto"/>
        </w:rPr>
      </w:pPr>
    </w:p>
    <w:p>
      <w:pPr>
        <w:ind w:left="28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23"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23"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2"/>
          <w:szCs w:val="12"/>
          <w:color w:val="auto"/>
        </w:rPr>
      </w:pPr>
    </w:p>
    <w:p>
      <w:pPr>
        <w:ind w:right="5540" w:firstLine="4"/>
        <w:spacing w:after="0" w:line="511" w:lineRule="auto"/>
        <w:tabs>
          <w:tab w:leader="none" w:pos="4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Trading</w:t>
            </w:r>
          </w:p>
        </w:tc>
        <w:tc>
          <w:tcPr>
            <w:tcW w:w="370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Exchange</w:t>
            </w:r>
          </w:p>
        </w:tc>
      </w:tr>
      <w:tr>
        <w:trPr>
          <w:trHeight w:val="14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Title of Each Class</w:t>
            </w:r>
          </w:p>
        </w:tc>
        <w:tc>
          <w:tcPr>
            <w:tcW w:w="10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Symbol</w:t>
            </w:r>
          </w:p>
        </w:tc>
        <w:tc>
          <w:tcPr>
            <w:tcW w:w="12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59"/>
        </w:trPr>
        <w:tc>
          <w:tcPr>
            <w:tcW w:w="3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Common stock, $0.01 par value per share</w:t>
            </w:r>
          </w:p>
        </w:tc>
        <w:tc>
          <w:tcPr>
            <w:tcW w:w="3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SHC</w:t>
            </w:r>
          </w:p>
        </w:tc>
        <w:tc>
          <w:tcPr>
            <w:tcW w:w="3700" w:type="dxa"/>
            <w:vAlign w:val="bottom"/>
          </w:tcPr>
          <w:p>
            <w:pPr>
              <w:jc w:val="center"/>
              <w:spacing w:after="0"/>
              <w:rPr>
                <w:sz w:val="20"/>
                <w:szCs w:val="20"/>
                <w:color w:val="auto"/>
              </w:rPr>
            </w:pPr>
            <w:r>
              <w:rPr>
                <w:rFonts w:ascii="Arial" w:cs="Arial" w:eastAsia="Arial" w:hAnsi="Arial"/>
                <w:sz w:val="12"/>
                <w:szCs w:val="12"/>
                <w:b w:val="1"/>
                <w:bCs w:val="1"/>
                <w:color w:val="auto"/>
                <w:w w:val="93"/>
              </w:rPr>
              <w:t>The Nasdaq Stock Market LLC</w:t>
            </w:r>
          </w:p>
        </w:tc>
      </w:tr>
    </w:tbl>
    <w:p>
      <w:pPr>
        <w:spacing w:after="0" w:line="135" w:lineRule="exact"/>
        <w:rPr>
          <w:sz w:val="24"/>
          <w:szCs w:val="24"/>
          <w:color w:val="auto"/>
        </w:rPr>
      </w:pPr>
    </w:p>
    <w:p>
      <w:pPr>
        <w:ind w:right="460"/>
        <w:spacing w:after="0" w:line="213"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2"/>
          <w:szCs w:val="12"/>
          <w:color w:val="auto"/>
        </w:rPr>
        <w:t>☐</w:t>
      </w:r>
    </w:p>
    <w:p>
      <w:pPr>
        <w:spacing w:after="0" w:line="97"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568960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244475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2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See Item 7.01—Updated Financial Guidance below, which is incorporated by reference herein.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Updated Financial Guidance</w:t>
      </w:r>
    </w:p>
    <w:p>
      <w:pPr>
        <w:spacing w:after="0" w:line="8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On January 11, 2022, Sotera Health Company (the “Company”) issued a press release announcing updated financial guidance for full-year 2021 revenue (the “Press Release”). A copy of the Press Release is attached hereto as Exhibit 99.1.</w:t>
      </w:r>
    </w:p>
    <w:p>
      <w:pPr>
        <w:spacing w:after="0" w:line="4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This updated financial guidance is based on information available to the Company as of January 11, 2022 and is subject to completion of the Company’s year-end financial closing procedures and audit by the Company’s independent registered public accounting firm.</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J.P. Morgan Healthcare Conference Presentation</w:t>
      </w:r>
    </w:p>
    <w:p>
      <w:pPr>
        <w:spacing w:after="0" w:line="82"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As previously announced, Michael B. Petras, Jr., Chairman and CEO of the Company, will deliver a business update at the 40th Annual J.P. Morgan Healthcare Conference on January 11, 2022 at 7:30 a.m. Eastern. A copy of the Company's slide presentation is attached hereto as Exhibit 99.2 (“Conference Presentation”). The Conference Presentation, and a link to the live presentation or a replay of the webcast of the presentation, may also be accessed via the Investor Relations section of the Company's website.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ESG Investor Engagement</w:t>
      </w:r>
    </w:p>
    <w:p>
      <w:pPr>
        <w:spacing w:after="0" w:line="82" w:lineRule="exact"/>
        <w:rPr>
          <w:sz w:val="20"/>
          <w:szCs w:val="20"/>
          <w:color w:val="auto"/>
        </w:rPr>
      </w:pPr>
    </w:p>
    <w:p>
      <w:pPr>
        <w:ind w:right="580"/>
        <w:spacing w:after="0" w:line="379" w:lineRule="auto"/>
        <w:rPr>
          <w:sz w:val="20"/>
          <w:szCs w:val="20"/>
          <w:color w:val="auto"/>
        </w:rPr>
      </w:pPr>
      <w:r>
        <w:rPr>
          <w:rFonts w:ascii="Arial" w:cs="Arial" w:eastAsia="Arial" w:hAnsi="Arial"/>
          <w:sz w:val="10"/>
          <w:szCs w:val="10"/>
          <w:color w:val="auto"/>
        </w:rPr>
        <w:t>From time to time on or after January 11, 2022, representatives of the Company plan to conduct engagement with investors focused on environmental, social and governance (“ESG”) matters. A copy of the slide presentation representatives will use in this engagement is attached hereto as Exhibit 99.3 (“ESG Presentation”). A copy of the ESG Presentation is also accessible via the Investor Relations section of the Company's website.</w:t>
      </w:r>
    </w:p>
    <w:p>
      <w:pPr>
        <w:spacing w:after="0" w:line="69"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information in Items 2.02 and 7.01, including Exhibits 99.1, 99.2, and 99.3,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i w:val="1"/>
          <w:iCs w:val="1"/>
          <w:color w:val="auto"/>
        </w:rPr>
        <w:t>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360" w:type="dxa"/>
            <w:vAlign w:val="bottom"/>
            <w:gridSpan w:val="2"/>
          </w:tcPr>
          <w:p>
            <w:pPr>
              <w:spacing w:after="0"/>
              <w:rPr>
                <w:sz w:val="20"/>
                <w:szCs w:val="20"/>
                <w:color w:val="auto"/>
              </w:rPr>
            </w:pPr>
            <w:r>
              <w:rPr>
                <w:rFonts w:ascii="Arial" w:cs="Arial" w:eastAsia="Arial" w:hAnsi="Arial"/>
                <w:sz w:val="10"/>
                <w:szCs w:val="10"/>
                <w:color w:val="auto"/>
              </w:rPr>
              <w:t>Exhibit Number</w:t>
            </w:r>
          </w:p>
        </w:tc>
        <w:tc>
          <w:tcPr>
            <w:tcW w:w="20" w:type="dxa"/>
            <w:vAlign w:val="bottom"/>
          </w:tcPr>
          <w:p>
            <w:pPr>
              <w:spacing w:after="0"/>
              <w:rPr>
                <w:sz w:val="11"/>
                <w:szCs w:val="11"/>
                <w:color w:val="auto"/>
              </w:rPr>
            </w:pPr>
          </w:p>
        </w:tc>
        <w:tc>
          <w:tcPr>
            <w:tcW w:w="9920" w:type="dxa"/>
            <w:vAlign w:val="bottom"/>
            <w:gridSpan w:val="4"/>
          </w:tcPr>
          <w:p>
            <w:pPr>
              <w:spacing w:after="0"/>
              <w:rPr>
                <w:sz w:val="20"/>
                <w:szCs w:val="20"/>
                <w:color w:val="auto"/>
              </w:rPr>
            </w:pPr>
            <w:r>
              <w:rPr>
                <w:rFonts w:ascii="Arial" w:cs="Arial" w:eastAsia="Arial" w:hAnsi="Arial"/>
                <w:sz w:val="10"/>
                <w:szCs w:val="10"/>
                <w:color w:val="auto"/>
              </w:rPr>
              <w:t>Description</w:t>
            </w:r>
          </w:p>
        </w:tc>
      </w:tr>
      <w:tr>
        <w:trPr>
          <w:trHeight w:val="133"/>
        </w:trPr>
        <w:tc>
          <w:tcPr>
            <w:tcW w:w="12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99.1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80" w:type="dxa"/>
            <w:vAlign w:val="bottom"/>
            <w:tcBorders>
              <w:top w:val="single" w:sz="8" w:color="auto"/>
              <w:bottom w:val="single" w:sz="8" w:color="0000FF"/>
            </w:tcBorders>
            <w:gridSpan w:val="3"/>
          </w:tcPr>
          <w:p>
            <w:pPr>
              <w:spacing w:after="0" w:line="133" w:lineRule="exact"/>
              <w:rPr>
                <w:rFonts w:ascii="Arial" w:cs="Arial" w:eastAsia="Arial" w:hAnsi="Arial"/>
                <w:sz w:val="12"/>
                <w:szCs w:val="12"/>
                <w:color w:val="0000FF"/>
                <w:w w:val="87"/>
              </w:rPr>
            </w:pPr>
            <w:hyperlink w:anchor="page4">
              <w:r>
                <w:rPr>
                  <w:rFonts w:ascii="Arial" w:cs="Arial" w:eastAsia="Arial" w:hAnsi="Arial"/>
                  <w:sz w:val="12"/>
                  <w:szCs w:val="12"/>
                  <w:color w:val="0000FF"/>
                  <w:w w:val="87"/>
                </w:rPr>
                <w:t>Press Release issued by Sotera Health Company, dated January 11, 2022</w:t>
              </w:r>
            </w:hyperlink>
          </w:p>
        </w:tc>
        <w:tc>
          <w:tcPr>
            <w:tcW w:w="6440" w:type="dxa"/>
            <w:vAlign w:val="bottom"/>
            <w:tcBorders>
              <w:top w:val="single" w:sz="8" w:color="auto"/>
            </w:tcBorders>
          </w:tcPr>
          <w:p>
            <w:pPr>
              <w:spacing w:after="0"/>
              <w:rPr>
                <w:sz w:val="11"/>
                <w:szCs w:val="11"/>
                <w:color w:val="auto"/>
              </w:rPr>
            </w:pPr>
          </w:p>
        </w:tc>
      </w:tr>
      <w:tr>
        <w:trPr>
          <w:trHeight w:val="160"/>
        </w:trPr>
        <w:tc>
          <w:tcPr>
            <w:tcW w:w="1280" w:type="dxa"/>
            <w:vAlign w:val="bottom"/>
          </w:tcPr>
          <w:p>
            <w:pPr>
              <w:spacing w:after="0"/>
              <w:rPr>
                <w:sz w:val="20"/>
                <w:szCs w:val="20"/>
                <w:color w:val="auto"/>
              </w:rPr>
            </w:pPr>
            <w:r>
              <w:rPr>
                <w:rFonts w:ascii="Arial" w:cs="Arial" w:eastAsia="Arial" w:hAnsi="Arial"/>
                <w:sz w:val="12"/>
                <w:szCs w:val="12"/>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bottom w:val="single" w:sz="8" w:color="0000FF"/>
            </w:tcBorders>
            <w:gridSpan w:val="2"/>
          </w:tcPr>
          <w:p>
            <w:pPr>
              <w:spacing w:after="0"/>
              <w:rPr>
                <w:rFonts w:ascii="Arial" w:cs="Arial" w:eastAsia="Arial" w:hAnsi="Arial"/>
                <w:sz w:val="12"/>
                <w:szCs w:val="12"/>
                <w:color w:val="0000FF"/>
                <w:w w:val="88"/>
              </w:rPr>
            </w:pPr>
            <w:hyperlink w:anchor="page7">
              <w:r>
                <w:rPr>
                  <w:rFonts w:ascii="Arial" w:cs="Arial" w:eastAsia="Arial" w:hAnsi="Arial"/>
                  <w:sz w:val="12"/>
                  <w:szCs w:val="12"/>
                  <w:color w:val="0000FF"/>
                  <w:w w:val="88"/>
                </w:rPr>
                <w:t>Sotera Health Company Conference Presentation</w:t>
              </w:r>
            </w:hyperlink>
          </w:p>
        </w:tc>
        <w:tc>
          <w:tcPr>
            <w:tcW w:w="7560" w:type="dxa"/>
            <w:vAlign w:val="bottom"/>
            <w:gridSpan w:val="2"/>
          </w:tcPr>
          <w:p>
            <w:pPr>
              <w:spacing w:after="0"/>
              <w:rPr>
                <w:sz w:val="13"/>
                <w:szCs w:val="13"/>
                <w:color w:val="auto"/>
              </w:rPr>
            </w:pPr>
          </w:p>
        </w:tc>
      </w:tr>
      <w:tr>
        <w:trPr>
          <w:trHeight w:val="160"/>
        </w:trPr>
        <w:tc>
          <w:tcPr>
            <w:tcW w:w="1280" w:type="dxa"/>
            <w:vAlign w:val="bottom"/>
          </w:tcPr>
          <w:p>
            <w:pPr>
              <w:spacing w:after="0"/>
              <w:rPr>
                <w:sz w:val="20"/>
                <w:szCs w:val="20"/>
                <w:color w:val="auto"/>
              </w:rPr>
            </w:pPr>
            <w:r>
              <w:rPr>
                <w:rFonts w:ascii="Arial" w:cs="Arial" w:eastAsia="Arial" w:hAnsi="Arial"/>
                <w:sz w:val="12"/>
                <w:szCs w:val="12"/>
                <w:color w:val="auto"/>
              </w:rPr>
              <w:t>99.3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4"/>
          </w:tcPr>
          <w:p>
            <w:pPr>
              <w:spacing w:after="0"/>
              <w:rPr>
                <w:rFonts w:ascii="Arial" w:cs="Arial" w:eastAsia="Arial" w:hAnsi="Arial"/>
                <w:sz w:val="12"/>
                <w:szCs w:val="12"/>
                <w:color w:val="0000FF"/>
              </w:rPr>
            </w:pPr>
            <w:hyperlink w:anchor="page29">
              <w:r>
                <w:rPr>
                  <w:rFonts w:ascii="Arial" w:cs="Arial" w:eastAsia="Arial" w:hAnsi="Arial"/>
                  <w:sz w:val="12"/>
                  <w:szCs w:val="12"/>
                  <w:color w:val="0000FF"/>
                </w:rPr>
                <w:t>Sotera Health Company ESG Presentation</w:t>
              </w:r>
            </w:hyperlink>
          </w:p>
        </w:tc>
      </w:tr>
      <w:tr>
        <w:trPr>
          <w:trHeight w:val="376"/>
        </w:trPr>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487"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8140" w:type="dxa"/>
            <w:vAlign w:val="bottom"/>
            <w:gridSpan w:val="3"/>
          </w:tcPr>
          <w:p>
            <w:pPr>
              <w:ind w:left="2060"/>
              <w:spacing w:after="0"/>
              <w:rPr>
                <w:sz w:val="20"/>
                <w:szCs w:val="20"/>
                <w:color w:val="auto"/>
              </w:rPr>
            </w:pPr>
            <w:r>
              <w:rPr>
                <w:rFonts w:ascii="Arial" w:cs="Arial" w:eastAsia="Arial" w:hAnsi="Arial"/>
                <w:sz w:val="12"/>
                <w:szCs w:val="12"/>
                <w:color w:val="auto"/>
              </w:rPr>
              <w:t>Sotera Health Company</w:t>
            </w:r>
          </w:p>
        </w:tc>
      </w:tr>
      <w:tr>
        <w:trPr>
          <w:trHeight w:val="153"/>
        </w:trPr>
        <w:tc>
          <w:tcPr>
            <w:tcW w:w="3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860" w:type="dxa"/>
            <w:vAlign w:val="bottom"/>
            <w:gridSpan w:val="2"/>
          </w:tcPr>
          <w:p>
            <w:pPr>
              <w:ind w:left="60"/>
              <w:spacing w:after="0"/>
              <w:rPr>
                <w:sz w:val="20"/>
                <w:szCs w:val="20"/>
                <w:color w:val="auto"/>
              </w:rPr>
            </w:pPr>
            <w:r>
              <w:rPr>
                <w:rFonts w:ascii="Arial" w:cs="Arial" w:eastAsia="Arial" w:hAnsi="Arial"/>
                <w:sz w:val="12"/>
                <w:szCs w:val="12"/>
                <w:color w:val="auto"/>
              </w:rPr>
              <w:t>(Registrant)</w:t>
            </w:r>
          </w:p>
        </w:tc>
      </w:tr>
      <w:tr>
        <w:trPr>
          <w:trHeight w:val="378"/>
        </w:trPr>
        <w:tc>
          <w:tcPr>
            <w:tcW w:w="3160" w:type="dxa"/>
            <w:vAlign w:val="bottom"/>
          </w:tcPr>
          <w:p>
            <w:pPr>
              <w:spacing w:after="0"/>
              <w:rPr>
                <w:sz w:val="20"/>
                <w:szCs w:val="20"/>
                <w:color w:val="auto"/>
              </w:rPr>
            </w:pPr>
            <w:r>
              <w:rPr>
                <w:rFonts w:ascii="Arial" w:cs="Arial" w:eastAsia="Arial" w:hAnsi="Arial"/>
                <w:sz w:val="12"/>
                <w:szCs w:val="12"/>
                <w:color w:val="auto"/>
              </w:rPr>
              <w:t>Date: January 11, 2022</w:t>
            </w:r>
          </w:p>
        </w:tc>
        <w:tc>
          <w:tcPr>
            <w:tcW w:w="2280" w:type="dxa"/>
            <w:vAlign w:val="bottom"/>
          </w:tcPr>
          <w:p>
            <w:pPr>
              <w:ind w:left="2060"/>
              <w:spacing w:after="0"/>
              <w:rPr>
                <w:sz w:val="20"/>
                <w:szCs w:val="20"/>
                <w:color w:val="auto"/>
              </w:rPr>
            </w:pPr>
            <w:r>
              <w:rPr>
                <w:rFonts w:ascii="Arial" w:cs="Arial" w:eastAsia="Arial" w:hAnsi="Arial"/>
                <w:sz w:val="12"/>
                <w:szCs w:val="12"/>
                <w:color w:val="auto"/>
              </w:rPr>
              <w:t>By:</w:t>
            </w:r>
          </w:p>
        </w:tc>
        <w:tc>
          <w:tcPr>
            <w:tcW w:w="560" w:type="dxa"/>
            <w:vAlign w:val="bottom"/>
          </w:tcPr>
          <w:p>
            <w:pPr>
              <w:spacing w:after="0"/>
              <w:rPr>
                <w:sz w:val="24"/>
                <w:szCs w:val="24"/>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Scott J. Leffler</w:t>
            </w:r>
          </w:p>
        </w:tc>
      </w:tr>
      <w:tr>
        <w:trPr>
          <w:trHeight w:val="160"/>
        </w:trPr>
        <w:tc>
          <w:tcPr>
            <w:tcW w:w="3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Arial" w:cs="Arial" w:eastAsia="Arial" w:hAnsi="Arial"/>
                <w:sz w:val="12"/>
                <w:szCs w:val="12"/>
                <w:color w:val="auto"/>
              </w:rPr>
              <w:t>Scott J. Leffler</w:t>
            </w:r>
          </w:p>
        </w:tc>
      </w:tr>
      <w:tr>
        <w:trPr>
          <w:trHeight w:val="180"/>
        </w:trPr>
        <w:tc>
          <w:tcPr>
            <w:tcW w:w="3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Arial" w:cs="Arial" w:eastAsia="Arial" w:hAnsi="Arial"/>
                <w:sz w:val="12"/>
                <w:szCs w:val="12"/>
                <w:color w:val="auto"/>
              </w:rPr>
              <w:t>Chief Financial Officer and Treasurer</w:t>
            </w:r>
          </w:p>
        </w:tc>
      </w:tr>
    </w:tbl>
    <w:p>
      <w:pPr>
        <w:sectPr>
          <w:pgSz w:w="11900" w:h="16838" w:orient="portrait"/>
          <w:cols w:equalWidth="0" w:num="1">
            <w:col w:w="11300"/>
          </w:cols>
          <w:pgMar w:left="300" w:top="721" w:right="29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06299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34290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Sotera Health Chairman and CEO Presents at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40</w:t>
      </w:r>
      <w:r>
        <w:rPr>
          <w:rFonts w:ascii="Arial" w:cs="Arial" w:eastAsia="Arial" w:hAnsi="Arial"/>
          <w:sz w:val="24"/>
          <w:szCs w:val="24"/>
          <w:b w:val="1"/>
          <w:bCs w:val="1"/>
          <w:color w:val="auto"/>
          <w:vertAlign w:val="superscript"/>
        </w:rPr>
        <w:t>th</w:t>
      </w:r>
      <w:r>
        <w:rPr>
          <w:rFonts w:ascii="Arial" w:cs="Arial" w:eastAsia="Arial" w:hAnsi="Arial"/>
          <w:sz w:val="19"/>
          <w:szCs w:val="19"/>
          <w:b w:val="1"/>
          <w:bCs w:val="1"/>
          <w:color w:val="auto"/>
        </w:rPr>
        <w:t xml:space="preserve"> Annual J.P. Morgan Healthcare Virtual Conference</w:t>
      </w:r>
    </w:p>
    <w:p>
      <w:pPr>
        <w:spacing w:after="0" w:line="224"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b w:val="1"/>
          <w:bCs w:val="1"/>
          <w:color w:val="auto"/>
        </w:rPr>
        <w:t xml:space="preserve">CLEVELAND, OH, Jan. 11, 2022 </w:t>
      </w:r>
      <w:r>
        <w:rPr>
          <w:rFonts w:ascii="Arial" w:cs="Arial" w:eastAsia="Arial" w:hAnsi="Arial"/>
          <w:sz w:val="13"/>
          <w:szCs w:val="13"/>
          <w:color w:val="auto"/>
        </w:rPr>
        <w:t>– Sotera Health Company (“Sotera Health” or the “Company”) (NASDAQ: SHC), a leading global provider of mission-critical end-to-end sterilization solutions,</w:t>
      </w:r>
      <w:r>
        <w:rPr>
          <w:rFonts w:ascii="Arial" w:cs="Arial" w:eastAsia="Arial" w:hAnsi="Arial"/>
          <w:sz w:val="13"/>
          <w:szCs w:val="13"/>
          <w:b w:val="1"/>
          <w:bCs w:val="1"/>
          <w:color w:val="auto"/>
        </w:rPr>
        <w:t xml:space="preserve"> </w:t>
      </w:r>
      <w:r>
        <w:rPr>
          <w:rFonts w:ascii="Arial" w:cs="Arial" w:eastAsia="Arial" w:hAnsi="Arial"/>
          <w:sz w:val="13"/>
          <w:szCs w:val="13"/>
          <w:color w:val="auto"/>
        </w:rPr>
        <w:t>lab testing and advisory services for the healthcare industry, today is providing an update on the Company’s accomplishments and key growth drivers, as well as the current market dynamics related to its businesses. At the 40th Annual J.P. Morgan Healthcare Conference, Chairman and Chief Executive Officer Michael B. Petras, Jr. will highlight Sotera Health’s long-term organic and inorganic growth roadmap, addressable markets, and its environmental, social and governance (“ESG”) program.</w:t>
      </w:r>
    </w:p>
    <w:p>
      <w:pPr>
        <w:spacing w:after="0" w:line="273"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“We ended 2021 on a strong note, thanks to the great execution throughout the year by our Sotera Health team,” said Mr. Petras. “As a result, we now expect full-year 2021 revenues to be at the high-end of our previously communicated guidance range of $920 million to $ 930 million. This represents full-year total revenue growth of approximately 14% compared to the prior year. We look forward to reporting our full fourth-quarter and year-end 2021 financial results on March 1, 2022.”</w:t>
      </w:r>
    </w:p>
    <w:p>
      <w:pPr>
        <w:spacing w:after="0" w:line="278"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 xml:space="preserve">Sotera Health management, including Chief Financial Officer Scott J. Leffler, are participating in one-on-one meetings with investors during the conference. Interested stakeholders are invited to listen to the replay webcast, as well as view and download slides of Mr. Petras’ presentation, by accessing the link on the Sotera Health website under the Investor Relations section: </w:t>
      </w:r>
      <w:r>
        <w:rPr>
          <w:rFonts w:ascii="Arial" w:cs="Arial" w:eastAsia="Arial" w:hAnsi="Arial"/>
          <w:sz w:val="13"/>
          <w:szCs w:val="13"/>
          <w:u w:val="single" w:color="auto"/>
          <w:color w:val="0563C1"/>
        </w:rPr>
        <w:t>https://investors.soterahealth.com/events-and-presentations</w:t>
      </w:r>
      <w:r>
        <w:rPr>
          <w:rFonts w:ascii="Arial" w:cs="Arial" w:eastAsia="Arial" w:hAnsi="Arial"/>
          <w:sz w:val="13"/>
          <w:szCs w:val="13"/>
          <w:color w:val="000000"/>
        </w:rPr>
        <w:t>. The Company’s ESG presentation is available for viewing and download, under the Investor Relations section:</w:t>
      </w:r>
      <w:r>
        <w:rPr>
          <w:rFonts w:ascii="Arial" w:cs="Arial" w:eastAsia="Arial" w:hAnsi="Arial"/>
          <w:sz w:val="13"/>
          <w:szCs w:val="13"/>
          <w:color w:val="0563C1"/>
        </w:rPr>
        <w:t xml:space="preserve"> </w:t>
      </w:r>
      <w:r>
        <w:rPr>
          <w:rFonts w:ascii="Arial" w:cs="Arial" w:eastAsia="Arial" w:hAnsi="Arial"/>
          <w:sz w:val="13"/>
          <w:szCs w:val="13"/>
          <w:u w:val="single" w:color="auto"/>
          <w:color w:val="0563C1"/>
        </w:rPr>
        <w:t>https://investors.soterahealth.com/governance/governance-overview</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3"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In addition, any statements that refer to expectations, projections or other characterizations of future events or circumstances, are forward-looking statements. Any forward-looking statements contained in this release are based upon our historical performance and on our current plans, estimates and expectations of the Company’s future performance and the future performance of the markets in which the Company operates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595959"/>
        </w:rPr>
        <w:t>9100 South Hills Boulevard, Suite 300, Broadview Heights, OH 44147</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595959"/>
        </w:rPr>
        <w:t xml:space="preserve">440-262-1410 | </w:t>
      </w:r>
      <w:r>
        <w:rPr>
          <w:rFonts w:ascii="Arial" w:cs="Arial" w:eastAsia="Arial" w:hAnsi="Arial"/>
          <w:sz w:val="10"/>
          <w:szCs w:val="10"/>
          <w:b w:val="1"/>
          <w:bCs w:val="1"/>
          <w:color w:val="00A8C9"/>
        </w:rPr>
        <w:t>soterahealth.com</w:t>
      </w:r>
    </w:p>
    <w:p>
      <w:pPr>
        <w:sectPr>
          <w:pgSz w:w="11900" w:h="16838" w:orient="portrait"/>
          <w:cols w:equalWidth="0" w:num="1">
            <w:col w:w="11300"/>
          </w:cols>
          <w:pgMar w:left="300" w:top="122" w:right="299" w:bottom="1440" w:gutter="0" w:footer="0" w:header="0"/>
          <w:type w:val="continuous"/>
        </w:sectPr>
      </w:pPr>
    </w:p>
    <w:bookmarkStart w:id="4" w:name="page5"/>
    <w:bookmarkEnd w:id="4"/>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06299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42900"/>
                    </a:xfrm>
                    <a:prstGeom prst="rect">
                      <a:avLst/>
                    </a:prstGeom>
                    <a:noFill/>
                  </pic:spPr>
                </pic:pic>
              </a:graphicData>
            </a:graphic>
          </wp:anchor>
        </w:drawing>
      </w:r>
    </w:p>
    <w:p>
      <w:pPr>
        <w:ind w:right="60"/>
        <w:spacing w:after="0" w:line="247" w:lineRule="auto"/>
        <w:rPr>
          <w:sz w:val="20"/>
          <w:szCs w:val="20"/>
          <w:color w:val="auto"/>
        </w:rPr>
      </w:pPr>
      <w:r>
        <w:rPr>
          <w:rFonts w:ascii="Arial" w:cs="Arial" w:eastAsia="Arial" w:hAnsi="Arial"/>
          <w:sz w:val="13"/>
          <w:szCs w:val="13"/>
          <w:color w:val="auto"/>
        </w:rPr>
        <w:t>assumptions relating to our operations, financial results, financial condition, business, prospects, growth strategy and liquidity. These risks and uncertainties include, without limitation, any disruption in the availability or supply of ethylene oxide (“EO”) or cobalt-60 (“Co-60”); changes in industry trends, environmental, health and safety regulations or preferences;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our ability to increase capacity at existing facilities, renew leases for our leased facilities and build new facilities in a timely and cost-effective manner; intense competition for qualified employees in the industries in which we operate; the risks of doing business internationally; and any inability to pursue strategic transactions or find suitable acquisition targets. For additional discussion of these risks and uncertainties, please refer to those described in the Company’s Annual Report on Form 10-K for the year ended December 31, 2020, and the Company’s other filings with the SEC, including its Quarterly Reports on Form 10-Q, including under the headings “Risk Factors” and “Cautionary Note Regarding Forward-Looking Statements”.</w:t>
      </w:r>
    </w:p>
    <w:p>
      <w:pPr>
        <w:spacing w:after="0" w:line="281"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The Company’s financial statement closing procedures for the three months and year ended December 31, 2021 are not yet complete and, as a result, these preliminary estimates of financial information above reflect the Company’s preliminary estimate with respect to such results based on information currently available to management, and may vary from the Company’s actual financial results as of and for the three months and year ended December 31, 2021.</w:t>
      </w:r>
    </w:p>
    <w:p>
      <w:pPr>
        <w:spacing w:after="0" w:line="278"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These estimates were prepared by the Company’s management in connection with the preparation of its financial statements and are based upon a number of assumptions. Additional items that may require adjustments to the preliminary financial results may be identified as a result of the completion of our financial statement closing procedures, final adjustments and other developments arising between now and the time that our financial results, for the three months and year ended December 31, 2021 are released, and could result in material changes to the Company’s estimated preliminary financial results. Estimates of financial results are inherently uncertain and we undertake no obligation to update this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Sotera Health:</w:t>
      </w:r>
    </w:p>
    <w:p>
      <w:pPr>
        <w:spacing w:after="0" w:line="74"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0"/>
          <w:szCs w:val="10"/>
          <w:color w:val="595959"/>
        </w:rPr>
        <w:t>9100 South Hills Boulevard, Suite 300, Broadview Heights, OH 44147</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595959"/>
        </w:rPr>
        <w:t xml:space="preserve">440-262-1410 | </w:t>
      </w:r>
      <w:r>
        <w:rPr>
          <w:rFonts w:ascii="Arial" w:cs="Arial" w:eastAsia="Arial" w:hAnsi="Arial"/>
          <w:sz w:val="10"/>
          <w:szCs w:val="10"/>
          <w:b w:val="1"/>
          <w:bCs w:val="1"/>
          <w:color w:val="00A8C9"/>
        </w:rPr>
        <w:t>soterahealth.com</w:t>
      </w:r>
    </w:p>
    <w:p>
      <w:pPr>
        <w:sectPr>
          <w:pgSz w:w="11900" w:h="16838" w:orient="portrait"/>
          <w:cols w:equalWidth="0" w:num="1">
            <w:col w:w="11260"/>
          </w:cols>
          <w:pgMar w:left="300" w:top="1440" w:right="339" w:bottom="1440" w:gutter="0" w:footer="0" w:header="0"/>
        </w:sectPr>
      </w:pPr>
    </w:p>
    <w:bookmarkStart w:id="5" w:name="page6"/>
    <w:bookmarkEnd w:id="5"/>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06299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4290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INVESTOR RELATIONS CONTACTS: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gridSpan w:val="2"/>
          </w:tcPr>
          <w:p>
            <w:pPr>
              <w:spacing w:after="0"/>
              <w:rPr>
                <w:sz w:val="20"/>
                <w:szCs w:val="20"/>
                <w:color w:val="auto"/>
              </w:rPr>
            </w:pPr>
            <w:r>
              <w:rPr>
                <w:rFonts w:ascii="Arial" w:cs="Arial" w:eastAsia="Arial" w:hAnsi="Arial"/>
                <w:sz w:val="13"/>
                <w:szCs w:val="13"/>
                <w:color w:val="auto"/>
              </w:rPr>
              <w:t>Sally J. Curley, IRC</w:t>
            </w:r>
          </w:p>
        </w:tc>
        <w:tc>
          <w:tcPr>
            <w:tcW w:w="1400" w:type="dxa"/>
            <w:vAlign w:val="bottom"/>
            <w:gridSpan w:val="2"/>
          </w:tcPr>
          <w:p>
            <w:pPr>
              <w:spacing w:after="0"/>
              <w:rPr>
                <w:sz w:val="20"/>
                <w:szCs w:val="20"/>
                <w:color w:val="auto"/>
              </w:rPr>
            </w:pPr>
            <w:r>
              <w:rPr>
                <w:rFonts w:ascii="Arial" w:cs="Arial" w:eastAsia="Arial" w:hAnsi="Arial"/>
                <w:sz w:val="13"/>
                <w:szCs w:val="13"/>
                <w:color w:val="auto"/>
              </w:rPr>
              <w:t>Jenny Kobin</w:t>
            </w:r>
          </w:p>
        </w:tc>
      </w:tr>
      <w:tr>
        <w:trPr>
          <w:trHeight w:val="128"/>
        </w:trPr>
        <w:tc>
          <w:tcPr>
            <w:tcW w:w="1860" w:type="dxa"/>
            <w:vAlign w:val="bottom"/>
            <w:gridSpan w:val="2"/>
          </w:tcPr>
          <w:p>
            <w:pPr>
              <w:spacing w:after="0" w:line="128" w:lineRule="exact"/>
              <w:rPr>
                <w:sz w:val="20"/>
                <w:szCs w:val="20"/>
                <w:color w:val="auto"/>
              </w:rPr>
            </w:pPr>
            <w:r>
              <w:rPr>
                <w:rFonts w:ascii="Arial" w:cs="Arial" w:eastAsia="Arial" w:hAnsi="Arial"/>
                <w:sz w:val="13"/>
                <w:szCs w:val="13"/>
                <w:color w:val="auto"/>
              </w:rPr>
              <w:t>Curley Global IR, LLC</w:t>
            </w:r>
          </w:p>
        </w:tc>
        <w:tc>
          <w:tcPr>
            <w:tcW w:w="1400" w:type="dxa"/>
            <w:vAlign w:val="bottom"/>
            <w:gridSpan w:val="2"/>
          </w:tcPr>
          <w:p>
            <w:pPr>
              <w:ind w:left="140"/>
              <w:spacing w:after="0" w:line="128" w:lineRule="exact"/>
              <w:rPr>
                <w:sz w:val="20"/>
                <w:szCs w:val="20"/>
                <w:color w:val="auto"/>
              </w:rPr>
            </w:pPr>
            <w:r>
              <w:rPr>
                <w:rFonts w:ascii="Arial" w:cs="Arial" w:eastAsia="Arial" w:hAnsi="Arial"/>
                <w:sz w:val="13"/>
                <w:szCs w:val="13"/>
                <w:color w:val="auto"/>
              </w:rPr>
              <w:t>IR Advisory Solutions</w:t>
            </w:r>
          </w:p>
        </w:tc>
      </w:tr>
      <w:tr>
        <w:trPr>
          <w:trHeight w:val="118"/>
        </w:trPr>
        <w:tc>
          <w:tcPr>
            <w:tcW w:w="1160" w:type="dxa"/>
            <w:vAlign w:val="bottom"/>
            <w:tcBorders>
              <w:bottom w:val="single" w:sz="8" w:color="0563C1"/>
            </w:tcBorders>
          </w:tcPr>
          <w:p>
            <w:pPr>
              <w:spacing w:after="0" w:line="118" w:lineRule="exact"/>
              <w:rPr>
                <w:sz w:val="20"/>
                <w:szCs w:val="20"/>
                <w:color w:val="auto"/>
              </w:rPr>
            </w:pPr>
            <w:r>
              <w:rPr>
                <w:rFonts w:ascii="Arial" w:cs="Arial" w:eastAsia="Arial" w:hAnsi="Arial"/>
                <w:sz w:val="12"/>
                <w:szCs w:val="12"/>
                <w:color w:val="0563C1"/>
                <w:w w:val="98"/>
              </w:rPr>
              <w:t>IR@soterahealth.com</w:t>
            </w:r>
          </w:p>
        </w:tc>
        <w:tc>
          <w:tcPr>
            <w:tcW w:w="700" w:type="dxa"/>
            <w:vAlign w:val="bottom"/>
          </w:tcPr>
          <w:p>
            <w:pPr>
              <w:spacing w:after="0"/>
              <w:rPr>
                <w:sz w:val="10"/>
                <w:szCs w:val="10"/>
                <w:color w:val="auto"/>
              </w:rPr>
            </w:pPr>
          </w:p>
        </w:tc>
        <w:tc>
          <w:tcPr>
            <w:tcW w:w="1160" w:type="dxa"/>
            <w:vAlign w:val="bottom"/>
            <w:tcBorders>
              <w:bottom w:val="single" w:sz="8" w:color="0563C1"/>
            </w:tcBorders>
          </w:tcPr>
          <w:p>
            <w:pPr>
              <w:spacing w:after="0" w:line="118" w:lineRule="exact"/>
              <w:rPr>
                <w:sz w:val="20"/>
                <w:szCs w:val="20"/>
                <w:color w:val="auto"/>
              </w:rPr>
            </w:pPr>
            <w:r>
              <w:rPr>
                <w:rFonts w:ascii="Arial" w:cs="Arial" w:eastAsia="Arial" w:hAnsi="Arial"/>
                <w:sz w:val="12"/>
                <w:szCs w:val="12"/>
                <w:color w:val="0563C1"/>
                <w:w w:val="98"/>
              </w:rPr>
              <w:t>IR@soterahealth.com</w:t>
            </w:r>
          </w:p>
        </w:tc>
        <w:tc>
          <w:tcPr>
            <w:tcW w:w="240" w:type="dxa"/>
            <w:vAlign w:val="bottom"/>
          </w:tcPr>
          <w:p>
            <w:pPr>
              <w:spacing w:after="0"/>
              <w:rPr>
                <w:sz w:val="10"/>
                <w:szCs w:val="10"/>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Kristin Gibbs</w:t>
      </w:r>
    </w:p>
    <w:p>
      <w:pPr>
        <w:spacing w:after="0" w:line="205" w:lineRule="auto"/>
        <w:rPr>
          <w:sz w:val="20"/>
          <w:szCs w:val="20"/>
          <w:color w:val="auto"/>
        </w:rPr>
      </w:pPr>
      <w:r>
        <w:rPr>
          <w:rFonts w:ascii="Arial" w:cs="Arial" w:eastAsia="Arial" w:hAnsi="Arial"/>
          <w:sz w:val="13"/>
          <w:szCs w:val="13"/>
          <w:color w:val="auto"/>
        </w:rPr>
        <w:t>Chief Marketing Officer, Sotera Health</w:t>
      </w:r>
    </w:p>
    <w:p>
      <w:pPr>
        <w:spacing w:after="0"/>
        <w:rPr>
          <w:sz w:val="20"/>
          <w:szCs w:val="20"/>
          <w:color w:val="auto"/>
        </w:rPr>
      </w:pPr>
      <w:r>
        <w:rPr>
          <w:rFonts w:ascii="Arial" w:cs="Arial" w:eastAsia="Arial" w:hAnsi="Arial"/>
          <w:sz w:val="12"/>
          <w:szCs w:val="12"/>
          <w:u w:val="single" w:color="auto"/>
          <w:color w:val="0563C1"/>
        </w:rPr>
        <w:t>kgibbs@soterahealth.com</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Source: Sotera Health Company</w:t>
      </w:r>
    </w:p>
    <w:p>
      <w:pPr>
        <w:spacing w:after="0" w:line="31"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0"/>
          <w:szCs w:val="10"/>
          <w:color w:val="595959"/>
        </w:rPr>
        <w:t>9100 South Hills Boulevard, Suite 300, Broadview Heights, OH 44147</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595959"/>
        </w:rPr>
        <w:t xml:space="preserve">440-262-1410 | </w:t>
      </w:r>
      <w:r>
        <w:rPr>
          <w:rFonts w:ascii="Arial" w:cs="Arial" w:eastAsia="Arial" w:hAnsi="Arial"/>
          <w:sz w:val="10"/>
          <w:szCs w:val="10"/>
          <w:b w:val="1"/>
          <w:bCs w:val="1"/>
          <w:color w:val="00A8C9"/>
        </w:rPr>
        <w:t>soterahealth.com</w:t>
      </w:r>
    </w:p>
    <w:p>
      <w:pPr>
        <w:sectPr>
          <w:pgSz w:w="11900" w:h="16838" w:orient="portrait"/>
          <w:cols w:equalWidth="0" w:num="1">
            <w:col w:w="10159"/>
          </w:cols>
          <w:pgMar w:left="300" w:top="1440"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2022-01-11T05:55:26Z</dcterms:created>
  <dcterms:modified xsi:type="dcterms:W3CDTF">2022-01-11T05:55:26Z</dcterms:modified>
</cp:coreProperties>
</file>