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GEVEDA STEPHANIE</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WARBURG PINCUS &amp; CO.</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450 LEXINGTON AVENUE</w:t>
      </w:r>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7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10017</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3"/>
        </w:trPr>
        <w:tc>
          <w:tcPr>
            <w:tcW w:w="3820" w:type="dxa"/>
            <w:vAlign w:val="bottom"/>
            <w:gridSpan w:val="2"/>
          </w:tcPr>
          <w:p>
            <w:pPr>
              <w:ind w:left="80"/>
              <w:spacing w:after="0" w:line="21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Sotera Health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SHC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00"/>
        </w:trPr>
        <w:tc>
          <w:tcPr>
            <w:tcW w:w="200" w:type="dxa"/>
            <w:vAlign w:val="bottom"/>
            <w:tcBorders>
              <w:bottom w:val="single" w:sz="8" w:color="2C2C2C"/>
            </w:tcBorders>
          </w:tcPr>
          <w:p>
            <w:pPr>
              <w:spacing w:after="0"/>
              <w:rPr>
                <w:sz w:val="8"/>
                <w:szCs w:val="8"/>
                <w:color w:val="auto"/>
              </w:rPr>
            </w:pPr>
          </w:p>
        </w:tc>
        <w:tc>
          <w:tcPr>
            <w:tcW w:w="3620" w:type="dxa"/>
            <w:vAlign w:val="bottom"/>
            <w:tcBorders>
              <w:bottom w:val="single" w:sz="8" w:color="2C2C2C"/>
            </w:tcBorders>
          </w:tcPr>
          <w:p>
            <w:pPr>
              <w:spacing w:after="0"/>
              <w:rPr>
                <w:sz w:val="8"/>
                <w:szCs w:val="8"/>
                <w:color w:val="auto"/>
              </w:rPr>
            </w:pPr>
          </w:p>
        </w:tc>
        <w:tc>
          <w:tcPr>
            <w:tcW w:w="200" w:type="dxa"/>
            <w:vAlign w:val="bottom"/>
          </w:tcPr>
          <w:p>
            <w:pPr>
              <w:spacing w:after="0"/>
              <w:rPr>
                <w:sz w:val="8"/>
                <w:szCs w:val="8"/>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0"/>
        </w:trPr>
        <w:tc>
          <w:tcPr>
            <w:tcW w:w="200" w:type="dxa"/>
            <w:vAlign w:val="bottom"/>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7"/>
        </w:trPr>
        <w:tc>
          <w:tcPr>
            <w:tcW w:w="200" w:type="dxa"/>
            <w:vAlign w:val="bottom"/>
            <w:vMerge w:val="continue"/>
          </w:tcPr>
          <w:p>
            <w:pPr>
              <w:spacing w:after="0"/>
              <w:rPr>
                <w:sz w:val="11"/>
                <w:szCs w:val="11"/>
                <w:color w:val="auto"/>
              </w:rPr>
            </w:pPr>
          </w:p>
        </w:tc>
        <w:tc>
          <w:tcPr>
            <w:tcW w:w="362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tcPr>
          <w:p>
            <w:pPr>
              <w:ind w:left="400"/>
              <w:spacing w:after="0" w:line="137"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7"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38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11/20/2020</w:t>
            </w: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3"/>
        </w:trPr>
        <w:tc>
          <w:tcPr>
            <w:tcW w:w="200" w:type="dxa"/>
            <w:vAlign w:val="bottom"/>
            <w:tcBorders>
              <w:bottom w:val="single" w:sz="8" w:color="2C2C2C"/>
            </w:tcBorders>
          </w:tcPr>
          <w:p>
            <w:pPr>
              <w:spacing w:after="0"/>
              <w:rPr>
                <w:sz w:val="23"/>
                <w:szCs w:val="23"/>
                <w:color w:val="auto"/>
              </w:rPr>
            </w:pPr>
          </w:p>
        </w:tc>
        <w:tc>
          <w:tcPr>
            <w:tcW w:w="3620" w:type="dxa"/>
            <w:vAlign w:val="bottom"/>
            <w:tcBorders>
              <w:bottom w:val="single" w:sz="8" w:color="2C2C2C"/>
            </w:tcBorders>
          </w:tcPr>
          <w:p>
            <w:pPr>
              <w:spacing w:after="0"/>
              <w:rPr>
                <w:sz w:val="23"/>
                <w:szCs w:val="23"/>
                <w:color w:val="auto"/>
              </w:rPr>
            </w:pPr>
          </w:p>
        </w:tc>
        <w:tc>
          <w:tcPr>
            <w:tcW w:w="200" w:type="dxa"/>
            <w:vAlign w:val="bottom"/>
            <w:tcBorders>
              <w:bottom w:val="single" w:sz="8" w:color="2C2C2C"/>
            </w:tcBorders>
          </w:tcPr>
          <w:p>
            <w:pPr>
              <w:spacing w:after="0"/>
              <w:rPr>
                <w:sz w:val="23"/>
                <w:szCs w:val="23"/>
                <w:color w:val="auto"/>
              </w:rPr>
            </w:pPr>
          </w:p>
        </w:tc>
        <w:tc>
          <w:tcPr>
            <w:tcW w:w="3100" w:type="dxa"/>
            <w:vAlign w:val="bottom"/>
            <w:tcBorders>
              <w:bottom w:val="single" w:sz="8" w:color="2C2C2C"/>
            </w:tcBorders>
            <w:gridSpan w:val="2"/>
          </w:tcPr>
          <w:p>
            <w:pPr>
              <w:spacing w:after="0"/>
              <w:rPr>
                <w:sz w:val="23"/>
                <w:szCs w:val="23"/>
                <w:color w:val="auto"/>
              </w:rPr>
            </w:pPr>
          </w:p>
        </w:tc>
        <w:tc>
          <w:tcPr>
            <w:tcW w:w="0" w:type="dxa"/>
            <w:vAlign w:val="bottom"/>
          </w:tcPr>
          <w:p>
            <w:pPr>
              <w:spacing w:after="0"/>
              <w:rPr>
                <w:sz w:val="1"/>
                <w:szCs w:val="1"/>
                <w:color w:val="auto"/>
              </w:rPr>
            </w:pPr>
          </w:p>
        </w:tc>
      </w:tr>
      <w:tr>
        <w:trPr>
          <w:trHeight w:val="199"/>
        </w:trPr>
        <w:tc>
          <w:tcPr>
            <w:tcW w:w="200" w:type="dxa"/>
            <w:vAlign w:val="bottom"/>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6"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1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-2433320</wp:posOffset>
            </wp:positionH>
            <wp:positionV relativeFrom="paragraph">
              <wp:posOffset>269240</wp:posOffset>
            </wp:positionV>
            <wp:extent cx="6964045" cy="12604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260475"/>
                    </a:xfrm>
                    <a:prstGeom prst="rect">
                      <a:avLst/>
                    </a:prstGeom>
                    <a:noFill/>
                  </pic:spPr>
                </pic:pic>
              </a:graphicData>
            </a:graphic>
          </wp:anchor>
        </w:drawing>
      </w:r>
    </w:p>
    <w:p>
      <w:pPr>
        <w:spacing w:after="0" w:line="483"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3"/>
                <w:szCs w:val="13"/>
                <w:color w:val="auto"/>
              </w:rPr>
            </w:pPr>
          </w:p>
        </w:tc>
        <w:tc>
          <w:tcPr>
            <w:tcW w:w="1140" w:type="dxa"/>
            <w:vAlign w:val="bottom"/>
            <w:gridSpan w:val="2"/>
          </w:tcPr>
          <w:p>
            <w:pPr>
              <w:ind w:left="14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3160" w:type="dxa"/>
            <w:vAlign w:val="bottom"/>
            <w:gridSpan w:val="8"/>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vMerge w:val="continue"/>
          </w:tcPr>
          <w:p>
            <w:pPr>
              <w:spacing w:after="0"/>
              <w:rPr>
                <w:sz w:val="11"/>
                <w:szCs w:val="11"/>
                <w:color w:val="auto"/>
              </w:rPr>
            </w:pP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80" w:type="dxa"/>
            <w:vAlign w:val="bottom"/>
            <w:tcBorders>
              <w:bottom w:val="single" w:sz="8" w:color="2C2C2C"/>
            </w:tcBorders>
            <w:gridSpan w:val="4"/>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0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 share</w:t>
            </w:r>
          </w:p>
        </w:tc>
        <w:tc>
          <w:tcPr>
            <w:tcW w:w="11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7"/>
                <w:szCs w:val="17"/>
                <w:color w:val="0000FF"/>
              </w:rPr>
              <w:t>11/20/2020</w:t>
            </w: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w w:val="97"/>
              </w:rPr>
              <w:t>5,869</w:t>
            </w:r>
            <w:r>
              <w:rPr>
                <w:rFonts w:ascii="Times New Roman" w:cs="Times New Roman" w:eastAsia="Times New Roman" w:hAnsi="Times New Roman"/>
                <w:sz w:val="22"/>
                <w:szCs w:val="22"/>
                <w:color w:val="008000"/>
                <w:w w:val="97"/>
                <w:vertAlign w:val="superscript"/>
              </w:rPr>
              <w:t>(1)</w:t>
            </w:r>
          </w:p>
        </w:tc>
        <w:tc>
          <w:tcPr>
            <w:tcW w:w="44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1"/>
                <w:szCs w:val="21"/>
                <w:color w:val="auto"/>
              </w:rPr>
            </w:pPr>
          </w:p>
        </w:tc>
        <w:tc>
          <w:tcPr>
            <w:tcW w:w="560" w:type="dxa"/>
            <w:vAlign w:val="bottom"/>
            <w:gridSpan w:val="3"/>
            <w:vMerge w:val="restart"/>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380" w:type="dxa"/>
            <w:vAlign w:val="bottom"/>
          </w:tcPr>
          <w:p>
            <w:pPr>
              <w:spacing w:after="0"/>
              <w:rPr>
                <w:sz w:val="21"/>
                <w:szCs w:val="21"/>
                <w:color w:val="auto"/>
              </w:rPr>
            </w:pPr>
          </w:p>
        </w:tc>
        <w:tc>
          <w:tcPr>
            <w:tcW w:w="8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5,869</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gridSpan w:val="3"/>
            <w:vMerge w:val="continue"/>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20" w:type="dxa"/>
            <w:vAlign w:val="bottom"/>
            <w:gridSpan w:val="2"/>
            <w:vMerge w:val="continue"/>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1"/>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jc w:val="center"/>
              <w:ind w:left="1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840" w:type="dxa"/>
            <w:vAlign w:val="bottom"/>
            <w:gridSpan w:val="10"/>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vMerge w:val="restart"/>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Title</w:t>
            </w: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vMerge w:val="continue"/>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-1753235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6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2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consist of 5,869 Restricted Stock Units ("RSUs") that were granted on November 20, 2020, pursuant to the terms of an RSU agreement under the Sotera Health Company 2020 Omnibus Incentive Plan. Each RSU represents the Reporting Person's right to receive one share of Common Stock, subject to vesting conditions. The RSUs will vest in full on the date immediately prior to the Issuer's next regular annual shareholders meeting, subject to the Reporting Person's continued service as a non-employee director of the Issuer through such date.</w:t>
      </w:r>
    </w:p>
    <w:p>
      <w:pPr>
        <w:spacing w:after="0" w:line="1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6" w:lineRule="exact"/>
        <w:rPr>
          <w:sz w:val="24"/>
          <w:szCs w:val="24"/>
          <w:color w:val="auto"/>
        </w:rPr>
      </w:pPr>
    </w:p>
    <w:p>
      <w:pPr>
        <w:ind w:left="40" w:right="380"/>
        <w:spacing w:after="0" w:line="272" w:lineRule="auto"/>
        <w:rPr>
          <w:sz w:val="20"/>
          <w:szCs w:val="20"/>
          <w:color w:val="auto"/>
        </w:rPr>
      </w:pPr>
      <w:r>
        <w:rPr>
          <w:rFonts w:ascii="Times New Roman" w:cs="Times New Roman" w:eastAsia="Times New Roman" w:hAnsi="Times New Roman"/>
          <w:sz w:val="13"/>
          <w:szCs w:val="13"/>
          <w:color w:val="008000"/>
        </w:rPr>
        <w:t>The Power of Attorney for Ms. Geveda is filed as an exhibit to the Form 3 filed by Ms. Geveda with the Securities and Exchange Commission on November 20, 2020, which is hereby incorporated by reference.</w:t>
      </w:r>
    </w:p>
    <w:p>
      <w:pPr>
        <w:spacing w:after="0" w:line="33"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Jessica L.M.H. Epp,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1423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4236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 in fact for Stephanie</w:t>
        <w:tab/>
        <w:t>11/24/2020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9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Geveda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359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335915" cy="8255"/>
                    </a:xfrm>
                    <a:prstGeom prst="rect">
                      <a:avLst/>
                    </a:prstGeom>
                    <a:noFill/>
                  </pic:spPr>
                </pic:pic>
              </a:graphicData>
            </a:graphic>
          </wp:anchor>
        </w:drawing>
      </w:r>
    </w:p>
    <w:p>
      <w:pPr>
        <w:spacing w:after="0" w:line="36"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673202" TargetMode="External"/><Relationship Id="rId14" Type="http://schemas.openxmlformats.org/officeDocument/2006/relationships/hyperlink" Target="http://www.sec.gov/cgi-bin/browse-edgar?action=getcompany&amp;CIK=00018224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2020-11-24T19:32:09Z</dcterms:created>
  <dcterms:modified xsi:type="dcterms:W3CDTF">2020-11-24T19:32:09Z</dcterms:modified>
</cp:coreProperties>
</file>