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321945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(Titles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83601L 102</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right="6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of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as amended (the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otherwise subject to the liabilities of that section of the Act but shall be subject to all other provisions of the Act (however, see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149225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191770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511" w:right="51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4"/>
        </w:trPr>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1"/>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WP XI, L.P.</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2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198,216,494</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40" w:hanging="424"/>
        <w:spacing w:after="0" w:line="253"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U.S. Securities and Exchange Commission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9"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70" w:right="43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4"/>
        </w:trPr>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2"/>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Warburg Pincus Private Equity XI, L.P.</w:t>
            </w: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2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198,216,494</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right="60" w:hanging="424"/>
        <w:spacing w:after="0" w:line="254"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4"/>
        </w:trPr>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1"/>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Warburg Pincus XI Partners, L.P.</w:t>
            </w: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2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198,216,494</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60" w:hanging="424"/>
        <w:spacing w:after="0" w:line="254"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4" w:name="page5"/>
    <w:bookmarkEnd w:id="4"/>
    <w:tbl>
      <w:tblPr>
        <w:tblLayout w:type="fixed"/>
        <w:tblInd w:w="14" w:type="dxa"/>
        <w:tblCellMar>
          <w:top w:w="0" w:type="dxa"/>
          <w:left w:w="0" w:type="dxa"/>
          <w:bottom w:w="0" w:type="dxa"/>
          <w:right w:w="0" w:type="dxa"/>
        </w:tblCellMar>
      </w:tblPr>
      <w:tr>
        <w:trPr>
          <w:trHeight w:val="234"/>
        </w:trPr>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2"/>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Warburg Pincus Private Equity XI-B, L.P.</w:t>
            </w: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2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198,216,494</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60" w:hanging="424"/>
        <w:spacing w:after="0" w:line="254"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5" w:name="page6"/>
    <w:bookmarkEnd w:id="5"/>
    <w:tbl>
      <w:tblPr>
        <w:tblLayout w:type="fixed"/>
        <w:tblInd w:w="14" w:type="dxa"/>
        <w:tblCellMar>
          <w:top w:w="0" w:type="dxa"/>
          <w:left w:w="0" w:type="dxa"/>
          <w:bottom w:w="0" w:type="dxa"/>
          <w:right w:w="0" w:type="dxa"/>
        </w:tblCellMar>
      </w:tblPr>
      <w:tr>
        <w:trPr>
          <w:trHeight w:val="234"/>
        </w:trPr>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1"/>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Warburg Pincus Private Equity XI-C, L.P.</w:t>
            </w: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2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198,216,494</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60" w:hanging="424"/>
        <w:spacing w:after="0" w:line="254"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70" w:right="439" w:bottom="1440" w:gutter="0" w:footer="0" w:header="0"/>
        </w:sectPr>
      </w:pPr>
    </w:p>
    <w:bookmarkStart w:id="6" w:name="page7"/>
    <w:bookmarkEnd w:id="6"/>
    <w:tbl>
      <w:tblPr>
        <w:tblLayout w:type="fixed"/>
        <w:tblInd w:w="14" w:type="dxa"/>
        <w:tblCellMar>
          <w:top w:w="0" w:type="dxa"/>
          <w:left w:w="0" w:type="dxa"/>
          <w:bottom w:w="0" w:type="dxa"/>
          <w:right w:w="0" w:type="dxa"/>
        </w:tblCellMar>
      </w:tblPr>
      <w:tr>
        <w:trPr>
          <w:trHeight w:val="234"/>
        </w:trPr>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2"/>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Bull Co-Invest L.P.</w:t>
            </w: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2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198,216,494</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right="60" w:hanging="424"/>
        <w:spacing w:after="0" w:line="254"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7" w:name="page8"/>
    <w:bookmarkEnd w:id="7"/>
    <w:tbl>
      <w:tblPr>
        <w:tblLayout w:type="fixed"/>
        <w:tblInd w:w="14" w:type="dxa"/>
        <w:tblCellMar>
          <w:top w:w="0" w:type="dxa"/>
          <w:left w:w="0" w:type="dxa"/>
          <w:bottom w:w="0" w:type="dxa"/>
          <w:right w:w="0" w:type="dxa"/>
        </w:tblCellMar>
      </w:tblPr>
      <w:tr>
        <w:trPr>
          <w:trHeight w:val="234"/>
        </w:trPr>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1"/>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Warburg Pincus XI, L.P.</w:t>
            </w: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2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198,216,494</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right="60" w:hanging="424"/>
        <w:spacing w:after="0" w:line="254"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4"/>
          </w:cols>
          <w:pgMar w:left="436" w:top="270" w:right="439" w:bottom="1440" w:gutter="0" w:footer="0" w:header="0"/>
        </w:sectPr>
      </w:pPr>
    </w:p>
    <w:bookmarkStart w:id="8" w:name="page9"/>
    <w:bookmarkEnd w:id="8"/>
    <w:tbl>
      <w:tblPr>
        <w:tblLayout w:type="fixed"/>
        <w:tblInd w:w="14" w:type="dxa"/>
        <w:tblCellMar>
          <w:top w:w="0" w:type="dxa"/>
          <w:left w:w="0" w:type="dxa"/>
          <w:bottom w:w="0" w:type="dxa"/>
          <w:right w:w="0" w:type="dxa"/>
        </w:tblCellMar>
      </w:tblPr>
      <w:tr>
        <w:trPr>
          <w:trHeight w:val="234"/>
        </w:trPr>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2"/>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WP Global LLC</w:t>
            </w: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2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198,216,494</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right="60" w:hanging="424"/>
        <w:spacing w:after="0" w:line="254"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70" w:right="439" w:bottom="1440" w:gutter="0" w:footer="0" w:header="0"/>
        </w:sectPr>
      </w:pPr>
    </w:p>
    <w:bookmarkStart w:id="9" w:name="page10"/>
    <w:bookmarkEnd w:id="9"/>
    <w:tbl>
      <w:tblPr>
        <w:tblLayout w:type="fixed"/>
        <w:tblInd w:w="14" w:type="dxa"/>
        <w:tblCellMar>
          <w:top w:w="0" w:type="dxa"/>
          <w:left w:w="0" w:type="dxa"/>
          <w:bottom w:w="0" w:type="dxa"/>
          <w:right w:w="0" w:type="dxa"/>
        </w:tblCellMar>
      </w:tblPr>
      <w:tr>
        <w:trPr>
          <w:trHeight w:val="234"/>
        </w:trPr>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1"/>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Warburg Pincus Partners II, L.P.</w:t>
            </w: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2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198,216,494</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right="60" w:hanging="424"/>
        <w:spacing w:after="0" w:line="254"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70" w:right="439" w:bottom="1440" w:gutter="0" w:footer="0" w:header="0"/>
        </w:sectPr>
      </w:pPr>
    </w:p>
    <w:bookmarkStart w:id="10" w:name="page11"/>
    <w:bookmarkEnd w:id="10"/>
    <w:tbl>
      <w:tblPr>
        <w:tblLayout w:type="fixed"/>
        <w:tblInd w:w="14" w:type="dxa"/>
        <w:tblCellMar>
          <w:top w:w="0" w:type="dxa"/>
          <w:left w:w="0" w:type="dxa"/>
          <w:bottom w:w="0" w:type="dxa"/>
          <w:right w:w="0" w:type="dxa"/>
        </w:tblCellMar>
      </w:tblPr>
      <w:tr>
        <w:trPr>
          <w:trHeight w:val="234"/>
        </w:trPr>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2"/>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Warburg Pincus Partners GP LLC</w:t>
            </w: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2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198,216,494</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60" w:hanging="424"/>
        <w:spacing w:after="0" w:line="254"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70" w:right="439" w:bottom="1440" w:gutter="0" w:footer="0" w:header="0"/>
        </w:sectPr>
      </w:pPr>
    </w:p>
    <w:bookmarkStart w:id="11" w:name="page12"/>
    <w:bookmarkEnd w:id="11"/>
    <w:tbl>
      <w:tblPr>
        <w:tblLayout w:type="fixed"/>
        <w:tblInd w:w="14" w:type="dxa"/>
        <w:tblCellMar>
          <w:top w:w="0" w:type="dxa"/>
          <w:left w:w="0" w:type="dxa"/>
          <w:bottom w:w="0" w:type="dxa"/>
          <w:right w:w="0" w:type="dxa"/>
        </w:tblCellMar>
      </w:tblPr>
      <w:tr>
        <w:trPr>
          <w:trHeight w:val="234"/>
        </w:trPr>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1"/>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Warburg Pincus &amp; Co.</w:t>
            </w: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New York</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2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198,216,494</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60" w:hanging="424"/>
        <w:spacing w:after="0" w:line="254"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4"/>
          </w:cols>
          <w:pgMar w:left="436" w:top="270" w:right="439" w:bottom="1440" w:gutter="0" w:footer="0" w:header="0"/>
        </w:sectPr>
      </w:pPr>
    </w:p>
    <w:bookmarkStart w:id="12" w:name="page13"/>
    <w:bookmarkEnd w:id="12"/>
    <w:tbl>
      <w:tblPr>
        <w:tblLayout w:type="fixed"/>
        <w:tblInd w:w="14" w:type="dxa"/>
        <w:tblCellMar>
          <w:top w:w="0" w:type="dxa"/>
          <w:left w:w="0" w:type="dxa"/>
          <w:bottom w:w="0" w:type="dxa"/>
          <w:right w:w="0" w:type="dxa"/>
        </w:tblCellMar>
      </w:tblPr>
      <w:tr>
        <w:trPr>
          <w:trHeight w:val="234"/>
        </w:trPr>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2"/>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Warburg Pincus (Cayman) XI, L.P.</w:t>
            </w: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2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198,216,494</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60" w:hanging="424"/>
        <w:spacing w:after="0" w:line="254"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70" w:right="439" w:bottom="1440" w:gutter="0" w:footer="0" w:header="0"/>
        </w:sectPr>
      </w:pPr>
    </w:p>
    <w:bookmarkStart w:id="13" w:name="page14"/>
    <w:bookmarkEnd w:id="13"/>
    <w:tbl>
      <w:tblPr>
        <w:tblLayout w:type="fixed"/>
        <w:tblInd w:w="14" w:type="dxa"/>
        <w:tblCellMar>
          <w:top w:w="0" w:type="dxa"/>
          <w:left w:w="0" w:type="dxa"/>
          <w:bottom w:w="0" w:type="dxa"/>
          <w:right w:w="0" w:type="dxa"/>
        </w:tblCellMar>
      </w:tblPr>
      <w:tr>
        <w:trPr>
          <w:trHeight w:val="234"/>
        </w:trPr>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1"/>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Warburg Pincus XI-C, LLC</w:t>
            </w: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2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198,216,494</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60" w:hanging="424"/>
        <w:spacing w:after="0" w:line="254"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70" w:right="439" w:bottom="1440" w:gutter="0" w:footer="0" w:header="0"/>
        </w:sectPr>
      </w:pPr>
    </w:p>
    <w:bookmarkStart w:id="14" w:name="page15"/>
    <w:bookmarkEnd w:id="14"/>
    <w:tbl>
      <w:tblPr>
        <w:tblLayout w:type="fixed"/>
        <w:tblInd w:w="14" w:type="dxa"/>
        <w:tblCellMar>
          <w:top w:w="0" w:type="dxa"/>
          <w:left w:w="0" w:type="dxa"/>
          <w:bottom w:w="0" w:type="dxa"/>
          <w:right w:w="0" w:type="dxa"/>
        </w:tblCellMar>
      </w:tblPr>
      <w:tr>
        <w:trPr>
          <w:trHeight w:val="234"/>
        </w:trPr>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2"/>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Warburg Pincus Partners II (Cayman), L.P.</w:t>
            </w: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5"/>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60" w:type="dxa"/>
            <w:vAlign w:val="bottom"/>
          </w:tcPr>
          <w:p>
            <w:pPr>
              <w:spacing w:after="0"/>
              <w:rPr>
                <w:sz w:val="15"/>
                <w:szCs w:val="15"/>
                <w:color w:val="auto"/>
              </w:rPr>
            </w:pPr>
          </w:p>
        </w:tc>
        <w:tc>
          <w:tcPr>
            <w:tcW w:w="2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Pr>
          <w:p>
            <w:pPr>
              <w:spacing w:after="0"/>
              <w:rPr>
                <w:sz w:val="15"/>
                <w:szCs w:val="15"/>
                <w:color w:val="auto"/>
              </w:rPr>
            </w:pPr>
          </w:p>
        </w:tc>
        <w:tc>
          <w:tcPr>
            <w:tcW w:w="2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w w:val="96"/>
              </w:rPr>
              <w:t>198,216,494</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424" w:right="60" w:hanging="424"/>
        <w:spacing w:after="0" w:line="254"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70" w:right="439" w:bottom="1440" w:gutter="0" w:footer="0" w:header="0"/>
        </w:sectPr>
      </w:pPr>
    </w:p>
    <w:bookmarkStart w:id="15" w:name="page16"/>
    <w:bookmarkEnd w:id="15"/>
    <w:tbl>
      <w:tblPr>
        <w:tblLayout w:type="fixed"/>
        <w:tblInd w:w="14" w:type="dxa"/>
        <w:tblCellMar>
          <w:top w:w="0" w:type="dxa"/>
          <w:left w:w="0" w:type="dxa"/>
          <w:bottom w:w="0" w:type="dxa"/>
          <w:right w:w="0" w:type="dxa"/>
        </w:tblCellMar>
      </w:tblPr>
      <w:tr>
        <w:trPr>
          <w:trHeight w:val="234"/>
        </w:trPr>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1"/>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5"/>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22"/>
                <w:szCs w:val="22"/>
                <w:color w:val="auto"/>
              </w:rPr>
              <w:t>Warburg Pincus (Bermuda) Private Equity GP, Ltd.</w:t>
            </w: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5"/>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9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Bermuda</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60" w:type="dxa"/>
            <w:vAlign w:val="bottom"/>
          </w:tcPr>
          <w:p>
            <w:pPr>
              <w:spacing w:after="0"/>
              <w:rPr>
                <w:sz w:val="15"/>
                <w:szCs w:val="15"/>
                <w:color w:val="auto"/>
              </w:rPr>
            </w:pPr>
          </w:p>
        </w:tc>
        <w:tc>
          <w:tcPr>
            <w:tcW w:w="2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60" w:type="dxa"/>
            <w:vAlign w:val="bottom"/>
          </w:tcPr>
          <w:p>
            <w:pPr>
              <w:spacing w:after="0"/>
              <w:rPr>
                <w:sz w:val="15"/>
                <w:szCs w:val="15"/>
                <w:color w:val="auto"/>
              </w:rPr>
            </w:pPr>
          </w:p>
        </w:tc>
        <w:tc>
          <w:tcPr>
            <w:tcW w:w="200" w:type="dxa"/>
            <w:vAlign w:val="bottom"/>
            <w:tcBorders>
              <w:right w:val="single" w:sz="8" w:color="auto"/>
            </w:tcBorders>
          </w:tcPr>
          <w:p>
            <w:pPr>
              <w:ind w:left="4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6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60" w:type="dxa"/>
            <w:vAlign w:val="bottom"/>
          </w:tcPr>
          <w:p>
            <w:pPr>
              <w:spacing w:after="0"/>
              <w:rPr>
                <w:sz w:val="20"/>
                <w:szCs w:val="20"/>
                <w:color w:val="auto"/>
              </w:rPr>
            </w:pPr>
          </w:p>
        </w:tc>
        <w:tc>
          <w:tcPr>
            <w:tcW w:w="20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60" w:type="dxa"/>
            <w:vAlign w:val="bottom"/>
            <w:tcBorders>
              <w:bottom w:val="single" w:sz="8" w:color="auto"/>
            </w:tcBorders>
          </w:tcPr>
          <w:p>
            <w:pPr>
              <w:spacing w:after="0"/>
              <w:rPr>
                <w:sz w:val="6"/>
                <w:szCs w:val="6"/>
                <w:color w:val="auto"/>
              </w:rPr>
            </w:pPr>
          </w:p>
        </w:tc>
        <w:tc>
          <w:tcPr>
            <w:tcW w:w="20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w w:val="96"/>
              </w:rPr>
              <w:t>198,216,494</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9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right="60" w:hanging="424"/>
        <w:spacing w:after="0" w:line="254"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70" w:right="439" w:bottom="1440" w:gutter="0" w:footer="0" w:header="0"/>
        </w:sectPr>
      </w:pPr>
    </w:p>
    <w:bookmarkStart w:id="16" w:name="page17"/>
    <w:bookmarkEnd w:id="16"/>
    <w:tbl>
      <w:tblPr>
        <w:tblLayout w:type="fixed"/>
        <w:tblInd w:w="14" w:type="dxa"/>
        <w:tblCellMar>
          <w:top w:w="0" w:type="dxa"/>
          <w:left w:w="0" w:type="dxa"/>
          <w:bottom w:w="0" w:type="dxa"/>
          <w:right w:w="0" w:type="dxa"/>
        </w:tblCellMar>
      </w:tblPr>
      <w:tr>
        <w:trPr>
          <w:trHeight w:val="234"/>
        </w:trPr>
        <w:tc>
          <w:tcPr>
            <w:tcW w:w="1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CUSIP No. 83601L 102</w:t>
            </w:r>
          </w:p>
        </w:tc>
        <w:tc>
          <w:tcPr>
            <w:tcW w:w="92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13G</w:t>
            </w:r>
          </w:p>
        </w:tc>
        <w:tc>
          <w:tcPr>
            <w:tcW w:w="0" w:type="dxa"/>
            <w:vAlign w:val="bottom"/>
          </w:tcPr>
          <w:p>
            <w:pPr>
              <w:spacing w:after="0"/>
              <w:rPr>
                <w:sz w:val="1"/>
                <w:szCs w:val="1"/>
                <w:color w:val="auto"/>
              </w:rPr>
            </w:pPr>
          </w:p>
        </w:tc>
      </w:tr>
      <w:tr>
        <w:trPr>
          <w:trHeight w:val="122"/>
        </w:trPr>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440" w:type="dxa"/>
            <w:vAlign w:val="bottom"/>
            <w:tcBorders>
              <w:bottom w:val="single" w:sz="8" w:color="auto"/>
            </w:tcBorders>
            <w:gridSpan w:val="4"/>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1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0440" w:type="dxa"/>
            <w:vAlign w:val="bottom"/>
            <w:tcBorders>
              <w:bottom w:val="single" w:sz="8" w:color="auto"/>
              <w:right w:val="single" w:sz="8" w:color="auto"/>
            </w:tcBorders>
            <w:gridSpan w:val="4"/>
          </w:tcPr>
          <w:p>
            <w:pPr>
              <w:ind w:left="100"/>
              <w:spacing w:after="0"/>
              <w:rPr>
                <w:sz w:val="20"/>
                <w:szCs w:val="20"/>
                <w:color w:val="auto"/>
              </w:rPr>
            </w:pPr>
            <w:r>
              <w:rPr>
                <w:rFonts w:ascii="Times New Roman" w:cs="Times New Roman" w:eastAsia="Times New Roman" w:hAnsi="Times New Roman"/>
                <w:sz w:val="22"/>
                <w:szCs w:val="22"/>
                <w:color w:val="auto"/>
              </w:rPr>
              <w:t>Warburg Pincus LLC</w:t>
            </w:r>
          </w:p>
        </w:tc>
        <w:tc>
          <w:tcPr>
            <w:tcW w:w="0" w:type="dxa"/>
            <w:vAlign w:val="bottom"/>
          </w:tcPr>
          <w:p>
            <w:pPr>
              <w:spacing w:after="0"/>
              <w:rPr>
                <w:sz w:val="1"/>
                <w:szCs w:val="1"/>
                <w:color w:val="auto"/>
              </w:rPr>
            </w:pPr>
          </w:p>
        </w:tc>
      </w:tr>
      <w:tr>
        <w:trPr>
          <w:trHeight w:val="163"/>
        </w:trPr>
        <w:tc>
          <w:tcPr>
            <w:tcW w:w="380" w:type="dxa"/>
            <w:vAlign w:val="bottom"/>
            <w:tcBorders>
              <w:left w:val="single" w:sz="8" w:color="auto"/>
            </w:tcBorders>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right w:val="single" w:sz="8" w:color="auto"/>
            </w:tcBorders>
          </w:tcPr>
          <w:p>
            <w:pPr>
              <w:spacing w:after="0"/>
              <w:rPr>
                <w:sz w:val="14"/>
                <w:szCs w:val="14"/>
                <w:color w:val="auto"/>
              </w:rPr>
            </w:pPr>
          </w:p>
        </w:tc>
        <w:tc>
          <w:tcPr>
            <w:tcW w:w="10440" w:type="dxa"/>
            <w:vAlign w:val="bottom"/>
            <w:tcBorders>
              <w:right w:val="single" w:sz="8" w:color="auto"/>
            </w:tcBorders>
            <w:gridSpan w:val="4"/>
          </w:tcPr>
          <w:p>
            <w:pPr>
              <w:ind w:left="10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840" w:type="dxa"/>
            <w:vAlign w:val="bottom"/>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w:t>
            </w:r>
          </w:p>
        </w:tc>
        <w:tc>
          <w:tcPr>
            <w:tcW w:w="9260" w:type="dxa"/>
            <w:vAlign w:val="bottom"/>
            <w:tcBorders>
              <w:right w:val="single" w:sz="8" w:color="auto"/>
            </w:tcBorders>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044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rPr>
              <w:t>Delaware</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2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0"/>
        </w:trPr>
        <w:tc>
          <w:tcPr>
            <w:tcW w:w="1440" w:type="dxa"/>
            <w:vAlign w:val="bottom"/>
            <w:tcBorders>
              <w:left w:val="single" w:sz="8" w:color="auto"/>
              <w:right w:val="single" w:sz="8" w:color="auto"/>
            </w:tcBorders>
            <w:gridSpan w:val="3"/>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4"/>
        </w:trPr>
        <w:tc>
          <w:tcPr>
            <w:tcW w:w="1440" w:type="dxa"/>
            <w:vAlign w:val="bottom"/>
            <w:tcBorders>
              <w:left w:val="single" w:sz="8" w:color="auto"/>
              <w:right w:val="single" w:sz="8" w:color="auto"/>
            </w:tcBorders>
            <w:gridSpan w:val="3"/>
            <w:vMerge w:val="continue"/>
          </w:tcPr>
          <w:p>
            <w:pPr>
              <w:spacing w:after="0"/>
              <w:rPr>
                <w:sz w:val="3"/>
                <w:szCs w:val="3"/>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8"/>
              </w:rPr>
              <w:t>SHARES</w:t>
            </w:r>
          </w:p>
        </w:tc>
        <w:tc>
          <w:tcPr>
            <w:tcW w:w="26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2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380" w:type="dxa"/>
            <w:vAlign w:val="bottom"/>
            <w:tcBorders>
              <w:left w:val="single" w:sz="8" w:color="auto"/>
            </w:tcBorders>
          </w:tcPr>
          <w:p>
            <w:pPr>
              <w:spacing w:after="0"/>
              <w:rPr>
                <w:sz w:val="3"/>
                <w:szCs w:val="3"/>
                <w:color w:val="auto"/>
              </w:rPr>
            </w:pPr>
          </w:p>
        </w:tc>
        <w:tc>
          <w:tcPr>
            <w:tcW w:w="1060" w:type="dxa"/>
            <w:vAlign w:val="bottom"/>
            <w:tcBorders>
              <w:right w:val="single" w:sz="8" w:color="auto"/>
            </w:tcBorders>
            <w:gridSpan w:val="2"/>
            <w:vMerge w:val="continue"/>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26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50"/>
              <w:spacing w:after="0"/>
              <w:rPr>
                <w:sz w:val="20"/>
                <w:szCs w:val="20"/>
                <w:color w:val="auto"/>
              </w:rPr>
            </w:pPr>
            <w:r>
              <w:rPr>
                <w:rFonts w:ascii="Times New Roman" w:cs="Times New Roman" w:eastAsia="Times New Roman" w:hAnsi="Times New Roman"/>
                <w:sz w:val="18"/>
                <w:szCs w:val="18"/>
                <w:color w:val="auto"/>
                <w:w w:val="97"/>
              </w:rPr>
              <w:t>BENEFICIALLY</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2"/>
                <w:szCs w:val="22"/>
                <w:color w:val="auto"/>
              </w:rPr>
              <w:t>198,216,494(1)</w:t>
            </w:r>
          </w:p>
        </w:tc>
        <w:tc>
          <w:tcPr>
            <w:tcW w:w="0" w:type="dxa"/>
            <w:vAlign w:val="bottom"/>
          </w:tcPr>
          <w:p>
            <w:pPr>
              <w:spacing w:after="0"/>
              <w:rPr>
                <w:sz w:val="1"/>
                <w:szCs w:val="1"/>
                <w:color w:val="auto"/>
              </w:rPr>
            </w:pPr>
          </w:p>
        </w:tc>
      </w:tr>
      <w:tr>
        <w:trPr>
          <w:trHeight w:val="234"/>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9"/>
              </w:rPr>
              <w:t>OWNED BY</w:t>
            </w:r>
          </w:p>
        </w:tc>
        <w:tc>
          <w:tcPr>
            <w:tcW w:w="2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1060" w:type="dxa"/>
            <w:vAlign w:val="bottom"/>
            <w:tcBorders>
              <w:right w:val="single" w:sz="8" w:color="auto"/>
            </w:tcBorders>
            <w:gridSpan w:val="2"/>
          </w:tcPr>
          <w:p>
            <w:pPr>
              <w:jc w:val="center"/>
              <w:ind w:right="163"/>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260" w:type="dxa"/>
            <w:vAlign w:val="bottom"/>
            <w:tcBorders>
              <w:right w:val="single" w:sz="8" w:color="auto"/>
            </w:tcBorders>
          </w:tcPr>
          <w:p>
            <w:pPr>
              <w:ind w:left="10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260" w:type="dxa"/>
            <w:vAlign w:val="bottom"/>
            <w:tcBorders>
              <w:right w:val="single" w:sz="8" w:color="auto"/>
            </w:tcBorders>
          </w:tcPr>
          <w:p>
            <w:pPr>
              <w:ind w:left="2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gridSpan w:val="3"/>
          </w:tcPr>
          <w:p>
            <w:pPr>
              <w:jc w:val="center"/>
              <w:ind w:left="30"/>
              <w:spacing w:after="0"/>
              <w:rPr>
                <w:sz w:val="20"/>
                <w:szCs w:val="20"/>
                <w:color w:val="auto"/>
              </w:rPr>
            </w:pPr>
            <w:r>
              <w:rPr>
                <w:rFonts w:ascii="Times New Roman" w:cs="Times New Roman" w:eastAsia="Times New Roman" w:hAnsi="Times New Roman"/>
                <w:sz w:val="18"/>
                <w:szCs w:val="18"/>
                <w:color w:val="auto"/>
                <w:w w:val="98"/>
              </w:rPr>
              <w:t>REPORTING</w:t>
            </w:r>
          </w:p>
        </w:tc>
        <w:tc>
          <w:tcPr>
            <w:tcW w:w="2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0" w:type="dxa"/>
            <w:vAlign w:val="bottom"/>
            <w:tcBorders>
              <w:left w:val="single" w:sz="8" w:color="auto"/>
            </w:tcBorders>
          </w:tcPr>
          <w:p>
            <w:pPr>
              <w:spacing w:after="0"/>
              <w:rPr>
                <w:sz w:val="20"/>
                <w:szCs w:val="20"/>
                <w:color w:val="auto"/>
              </w:rPr>
            </w:pPr>
          </w:p>
        </w:tc>
        <w:tc>
          <w:tcPr>
            <w:tcW w:w="1060" w:type="dxa"/>
            <w:vAlign w:val="bottom"/>
            <w:tcBorders>
              <w:right w:val="single" w:sz="8" w:color="auto"/>
            </w:tcBorders>
            <w:gridSpan w:val="2"/>
          </w:tcPr>
          <w:p>
            <w:pPr>
              <w:jc w:val="center"/>
              <w:ind w:right="163"/>
              <w:spacing w:after="0"/>
              <w:rPr>
                <w:sz w:val="20"/>
                <w:szCs w:val="20"/>
                <w:color w:val="auto"/>
              </w:rPr>
            </w:pPr>
            <w:r>
              <w:rPr>
                <w:rFonts w:ascii="Times New Roman" w:cs="Times New Roman" w:eastAsia="Times New Roman" w:hAnsi="Times New Roman"/>
                <w:sz w:val="18"/>
                <w:szCs w:val="18"/>
                <w:color w:val="auto"/>
                <w:w w:val="98"/>
              </w:rPr>
              <w:t>PERSON</w:t>
            </w:r>
          </w:p>
        </w:tc>
        <w:tc>
          <w:tcPr>
            <w:tcW w:w="2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60" w:type="dxa"/>
            <w:vAlign w:val="bottom"/>
            <w:tcBorders>
              <w:right w:val="single" w:sz="8" w:color="auto"/>
            </w:tcBorders>
          </w:tcPr>
          <w:p>
            <w:pPr>
              <w:ind w:left="2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380" w:type="dxa"/>
            <w:vAlign w:val="bottom"/>
            <w:tcBorders>
              <w:left w:val="single" w:sz="8" w:color="auto"/>
            </w:tcBorders>
          </w:tcPr>
          <w:p>
            <w:pPr>
              <w:spacing w:after="0"/>
              <w:rPr>
                <w:sz w:val="6"/>
                <w:szCs w:val="6"/>
                <w:color w:val="auto"/>
              </w:rPr>
            </w:pPr>
          </w:p>
        </w:tc>
        <w:tc>
          <w:tcPr>
            <w:tcW w:w="1060" w:type="dxa"/>
            <w:vAlign w:val="bottom"/>
            <w:tcBorders>
              <w:right w:val="single" w:sz="8" w:color="auto"/>
            </w:tcBorders>
            <w:gridSpan w:val="2"/>
            <w:vMerge w:val="restart"/>
          </w:tcPr>
          <w:p>
            <w:pPr>
              <w:jc w:val="center"/>
              <w:ind w:right="163"/>
              <w:spacing w:after="0"/>
              <w:rPr>
                <w:sz w:val="20"/>
                <w:szCs w:val="20"/>
                <w:color w:val="auto"/>
              </w:rPr>
            </w:pPr>
            <w:r>
              <w:rPr>
                <w:rFonts w:ascii="Times New Roman" w:cs="Times New Roman" w:eastAsia="Times New Roman" w:hAnsi="Times New Roman"/>
                <w:sz w:val="18"/>
                <w:szCs w:val="18"/>
                <w:color w:val="auto"/>
                <w:w w:val="99"/>
              </w:rPr>
              <w:t>WITH:</w:t>
            </w:r>
          </w:p>
        </w:tc>
        <w:tc>
          <w:tcPr>
            <w:tcW w:w="26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92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Borders>
              <w:left w:val="single" w:sz="8" w:color="auto"/>
            </w:tcBorders>
          </w:tcPr>
          <w:p>
            <w:pPr>
              <w:spacing w:after="0"/>
              <w:rPr>
                <w:sz w:val="11"/>
                <w:szCs w:val="11"/>
                <w:color w:val="auto"/>
              </w:rPr>
            </w:pPr>
          </w:p>
        </w:tc>
        <w:tc>
          <w:tcPr>
            <w:tcW w:w="1060" w:type="dxa"/>
            <w:vAlign w:val="bottom"/>
            <w:tcBorders>
              <w:right w:val="single" w:sz="8" w:color="auto"/>
            </w:tcBorders>
            <w:gridSpan w:val="2"/>
            <w:vMerge w:val="continue"/>
          </w:tcPr>
          <w:p>
            <w:pPr>
              <w:spacing w:after="0"/>
              <w:rPr>
                <w:sz w:val="11"/>
                <w:szCs w:val="11"/>
                <w:color w:val="auto"/>
              </w:rPr>
            </w:pPr>
          </w:p>
        </w:tc>
        <w:tc>
          <w:tcPr>
            <w:tcW w:w="2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1"/>
                <w:szCs w:val="11"/>
                <w:color w:val="auto"/>
              </w:rPr>
            </w:pPr>
          </w:p>
        </w:tc>
        <w:tc>
          <w:tcPr>
            <w:tcW w:w="92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380" w:type="dxa"/>
            <w:vAlign w:val="bottom"/>
            <w:tcBorders>
              <w:lef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260" w:type="dxa"/>
            <w:vAlign w:val="bottom"/>
            <w:tcBorders>
              <w:right w:val="single" w:sz="8" w:color="auto"/>
            </w:tcBorders>
            <w:vMerge w:val="continue"/>
          </w:tcPr>
          <w:p>
            <w:pPr>
              <w:spacing w:after="0"/>
              <w:rPr>
                <w:sz w:val="8"/>
                <w:szCs w:val="8"/>
                <w:color w:val="auto"/>
              </w:rPr>
            </w:pPr>
          </w:p>
        </w:tc>
        <w:tc>
          <w:tcPr>
            <w:tcW w:w="80" w:type="dxa"/>
            <w:vAlign w:val="bottom"/>
          </w:tcPr>
          <w:p>
            <w:pPr>
              <w:spacing w:after="0"/>
              <w:rPr>
                <w:sz w:val="8"/>
                <w:szCs w:val="8"/>
                <w:color w:val="auto"/>
              </w:rPr>
            </w:pPr>
          </w:p>
        </w:tc>
        <w:tc>
          <w:tcPr>
            <w:tcW w:w="92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118,929,897</w:t>
            </w: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right w:val="single" w:sz="8" w:color="auto"/>
            </w:tcBorders>
          </w:tcPr>
          <w:p>
            <w:pPr>
              <w:spacing w:after="0"/>
              <w:rPr>
                <w:sz w:val="19"/>
                <w:szCs w:val="19"/>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w w:val="87"/>
              </w:rPr>
              <w:t>AGGREGATE</w:t>
            </w:r>
          </w:p>
        </w:tc>
        <w:tc>
          <w:tcPr>
            <w:tcW w:w="934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22"/>
                <w:szCs w:val="22"/>
                <w:color w:val="auto"/>
                <w:w w:val="96"/>
              </w:rPr>
              <w:t>118,929,897</w:t>
            </w: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95"/>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600" w:type="dxa"/>
            <w:vAlign w:val="bottom"/>
            <w:tcBorders>
              <w:left w:val="single" w:sz="8" w:color="auto"/>
              <w:right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11</w:t>
            </w: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w w:val="96"/>
              </w:rPr>
              <w:t>69.69% (2)</w:t>
            </w: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right w:val="single" w:sz="8" w:color="auto"/>
            </w:tcBorders>
          </w:tcPr>
          <w:p>
            <w:pPr>
              <w:spacing w:after="0"/>
              <w:rPr>
                <w:sz w:val="19"/>
                <w:szCs w:val="19"/>
                <w:color w:val="auto"/>
              </w:rPr>
            </w:pPr>
          </w:p>
        </w:tc>
        <w:tc>
          <w:tcPr>
            <w:tcW w:w="1044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0"/>
        </w:trPr>
        <w:tc>
          <w:tcPr>
            <w:tcW w:w="380" w:type="dxa"/>
            <w:vAlign w:val="bottom"/>
            <w:tcBorders>
              <w:left w:val="single" w:sz="8" w:color="auto"/>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24" w:right="60" w:hanging="424"/>
        <w:spacing w:after="0" w:line="254"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more fully described in Item 4 of this Schedule 13G, the Warburg Pincus Investors are party to a Stockholders Agreement with the GTCR Investors and certain other holders of Common Stock of the Issuer. The Warburg Pincus Investors, together with the GTCR Investors, hold an aggregate total of 198,216,494 shares of Common Stock of the Issuer (approximately 69.7% of the outstanding shares of Common Stock of the Issuer), of which 79,286,594 shares of Common Stock are publicly reported as being owned by the GTCR Investors in such entities’ Form 3, filed with the Commission on November 20, 2020. Although the Warburg Pincus Reporting Persons may be deemed to beneficially own the Common Stock held as of record by the GTCR Investors as a result of the Stockholders Agreement, the Warburg Pincus Reporting Person expressly disclaims beneficial ownership (within the meaning of Rule 13d-3 of the Exchange Act) with respect to any shares of Common Stock other than the shares of Common Stock of the Issuer owned of record by such Warburg Pincus Reporting Person. The percentages used herein have been determined in accordance with footnote 2 below. Capitalized terms used herein are defined in Items 2(a) or 4 below.</w:t>
      </w:r>
    </w:p>
    <w:p>
      <w:pPr>
        <w:spacing w:after="0" w:line="93" w:lineRule="exact"/>
        <w:rPr>
          <w:rFonts w:ascii="Times New Roman" w:cs="Times New Roman" w:eastAsia="Times New Roman" w:hAnsi="Times New Roman"/>
          <w:sz w:val="18"/>
          <w:szCs w:val="18"/>
          <w:color w:val="auto"/>
        </w:rPr>
      </w:pPr>
    </w:p>
    <w:p>
      <w:pPr>
        <w:ind w:left="424" w:right="200" w:hanging="424"/>
        <w:spacing w:after="0" w:line="282" w:lineRule="auto"/>
        <w:tabs>
          <w:tab w:leader="none" w:pos="42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total of approximately 284,421,755 shares of Common Stock of the Issuer outstanding as of November 24, 2020, as reported in “The Offering” in the Issuer’s Form 424B filed with the Commission on November 23, 2020.</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70" w:right="439" w:bottom="1440" w:gutter="0" w:footer="0" w:header="0"/>
        </w:sectPr>
      </w:pPr>
    </w:p>
    <w:bookmarkStart w:id="17" w:name="page18"/>
    <w:bookmarkEnd w:id="17"/>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name of the issuer is Sotera Health Company, a Delaware corporation (the “Issuer”).</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principal executive offices of the Issuer are located at 9100 South Hills Blvd, Suite 300 Broadview Heights, Ohio 44147.</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2(a).</w:t>
      </w:r>
      <w:r>
        <w:rPr>
          <w:sz w:val="20"/>
          <w:szCs w:val="20"/>
          <w:color w:val="auto"/>
        </w:rPr>
        <w:tab/>
      </w:r>
      <w:r>
        <w:rPr>
          <w:rFonts w:ascii="Times New Roman" w:cs="Times New Roman" w:eastAsia="Times New Roman" w:hAnsi="Times New Roman"/>
          <w:sz w:val="18"/>
          <w:szCs w:val="18"/>
          <w:b w:val="1"/>
          <w:bCs w:val="1"/>
          <w:color w:val="auto"/>
        </w:rPr>
        <w:t>Name of Person Filing:</w:t>
      </w:r>
    </w:p>
    <w:p>
      <w:pPr>
        <w:spacing w:after="0" w:line="121" w:lineRule="exact"/>
        <w:rPr>
          <w:sz w:val="20"/>
          <w:szCs w:val="20"/>
          <w:color w:val="auto"/>
        </w:rPr>
      </w:pPr>
    </w:p>
    <w:p>
      <w:pPr>
        <w:ind w:left="980"/>
        <w:spacing w:after="0" w:line="252" w:lineRule="auto"/>
        <w:rPr>
          <w:sz w:val="20"/>
          <w:szCs w:val="20"/>
          <w:color w:val="auto"/>
        </w:rPr>
      </w:pPr>
      <w:r>
        <w:rPr>
          <w:rFonts w:ascii="Times New Roman" w:cs="Times New Roman" w:eastAsia="Times New Roman" w:hAnsi="Times New Roman"/>
          <w:sz w:val="18"/>
          <w:szCs w:val="18"/>
          <w:color w:val="auto"/>
        </w:rPr>
        <w:t>This Schedule 13G is being filed jointly by (i)Warburg Pincus Private Equity XI, L.P., a Delaware limited partnership (“WP XI”), (ii) Warburg Pincus XI Partners, L.P., a Delaware limited partnership (“Warburg Pincus XI Partners”), (iii) WP XI Partners, L.P., a Delaware limited partnership (“WP XI Partners”), (iv) Warburg Pincus Private Equity XI-B, L.P., a Delaware limited partnership (“WP XI-B”, and together with WP XI, Warburg Pincus XI Partners and WP XI Partners, the “WP XI Funds”), (v) Warburg Pincus Private Equity XI-C, L.P., a Delaware limited partnership (“WP XI-C”), (vi) Bull Co-Invest L.P., a Delaware limited partnership (“Bull Co-Invest”), (vii) Warburg Pincus XI, L.P., a Delaware limited partnership (“WP XI LP”), which is the general partner of the WP XI Funds, (viii) WP Global LLC, a Delaware limited liability company (“WP Global”), which is the general partner of WP XI LP, (ix) Warburg Pincus Partners II, L.P., a Delaware limited partnership (“WPP II”) which is the managing member of WP Global, (x) Warburg Pincus Partners GP LLC, a Delaware limited liability company (“WPP GP LLC”), which is the general partner of WPP, (xi) Warburg Pincus &amp; Co. a New York corporation (“WP”), which is the managing member of WPP GP LLC, (xii) Warburg Pincus (Cayman) XI, L.P., a Cayman Islands limited partnership (“WP Cayman”), which is the general partner of WP XI-C, (xiii) Warburg Pincus XI-C, LLC, a Delaware limited liability company (“Warburg Pincus XI-C”), which is the general partner of WP Cayman, (xiv) Warburg Pincus Partners II (Cayman), L.P., a Cayman Islands limited partnership (“WPP II Cayman”), which is the sole member of Warburg Pincus XI-C (xv) Warburg Pincus (Bermuda) Private Equity GP Ltd., a Bermuda limited company (“Warburg Pincus (Bermuda)”), which is the general partner of WPP II Cayman, and (xvi) Warburg Pincus LLC, a Delaware limited liability company (“WP LLC”) is the manager of the WP XI Funds and WP XI-C. WP Bull Manager, LLC (“WP Bull Manager”) is the general partner of Bull Co-Invest, and WP is the managing member of WP Bull Manager, LLC. The WP XI Funds, Bull Co-Invest, WP XI-C, WP XI LP, WP Global, WPP II, WPP GP LLC, WP Cayman, Warburg Pincus XI-C, WPP II Cayman, Warburg Pincus (Bermuda), WP Bull Manager, WP LLC and WP are collectively referred to herein as the “Warburg Pincus Reporting Persons.”</w:t>
      </w:r>
    </w:p>
    <w:p>
      <w:pPr>
        <w:spacing w:after="0" w:line="335"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principal business address of each of the Warburg Pincus Reporting Persons is 450 Lexington Avenue, New York, New York 10017.</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See Item 2(a).</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Titles of Classes of Securities: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par value $0.01 per share (the “Common Stock”).</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color w:val="auto"/>
        </w:rPr>
        <w:t>CUSIP Number:</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83601L 102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6" w:right="459" w:bottom="1440" w:gutter="0" w:footer="0" w:header="0"/>
        </w:sectPr>
      </w:pPr>
    </w:p>
    <w:bookmarkStart w:id="18" w:name="page19"/>
    <w:bookmarkEnd w:id="18"/>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Rule 13d-1(b), or 13d-2(b) or (c), Check Whether the Person Filing is a(n):</w:t>
      </w:r>
    </w:p>
    <w:p>
      <w:pPr>
        <w:spacing w:after="0" w:line="243" w:lineRule="exact"/>
        <w:rPr>
          <w:sz w:val="20"/>
          <w:szCs w:val="20"/>
          <w:color w:val="auto"/>
        </w:rPr>
      </w:pPr>
    </w:p>
    <w:p>
      <w:pPr>
        <w:ind w:left="1500" w:hanging="397"/>
        <w:spacing w:after="0"/>
        <w:tabs>
          <w:tab w:leader="none" w:pos="1500" w:val="left"/>
        </w:tabs>
        <w:numPr>
          <w:ilvl w:val="0"/>
          <w:numId w:val="19"/>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Not applicable</w:t>
      </w:r>
    </w:p>
    <w:p>
      <w:pPr>
        <w:spacing w:after="0" w:line="88" w:lineRule="exact"/>
        <w:rPr>
          <w:sz w:val="20"/>
          <w:szCs w:val="20"/>
          <w:color w:val="auto"/>
        </w:rPr>
      </w:pPr>
    </w:p>
    <w:p>
      <w:pPr>
        <w:ind w:left="1500" w:hanging="397"/>
        <w:spacing w:after="0" w:line="207" w:lineRule="exact"/>
        <w:tabs>
          <w:tab w:leader="none" w:pos="150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 (15 U.S.C. 78o).</w:t>
      </w:r>
    </w:p>
    <w:p>
      <w:pPr>
        <w:spacing w:after="0" w:line="117" w:lineRule="exact"/>
        <w:rPr>
          <w:rFonts w:ascii="Times New Roman" w:cs="Times New Roman" w:eastAsia="Times New Roman" w:hAnsi="Times New Roman"/>
          <w:sz w:val="18"/>
          <w:szCs w:val="18"/>
          <w:color w:val="auto"/>
        </w:rPr>
      </w:pPr>
    </w:p>
    <w:p>
      <w:pPr>
        <w:ind w:left="1500" w:hanging="397"/>
        <w:spacing w:after="0" w:line="207" w:lineRule="exact"/>
        <w:tabs>
          <w:tab w:leader="none" w:pos="150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 (15 U.S.C. 78c).</w:t>
      </w:r>
    </w:p>
    <w:p>
      <w:pPr>
        <w:spacing w:after="0" w:line="117" w:lineRule="exact"/>
        <w:rPr>
          <w:rFonts w:ascii="Times New Roman" w:cs="Times New Roman" w:eastAsia="Times New Roman" w:hAnsi="Times New Roman"/>
          <w:sz w:val="18"/>
          <w:szCs w:val="18"/>
          <w:color w:val="auto"/>
        </w:rPr>
      </w:pPr>
    </w:p>
    <w:p>
      <w:pPr>
        <w:ind w:left="1500" w:hanging="397"/>
        <w:spacing w:after="0" w:line="207" w:lineRule="exact"/>
        <w:tabs>
          <w:tab w:leader="none" w:pos="150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 (15 U.S.C. 78c).</w:t>
      </w:r>
    </w:p>
    <w:p>
      <w:pPr>
        <w:spacing w:after="0" w:line="117" w:lineRule="exact"/>
        <w:rPr>
          <w:rFonts w:ascii="Times New Roman" w:cs="Times New Roman" w:eastAsia="Times New Roman" w:hAnsi="Times New Roman"/>
          <w:sz w:val="18"/>
          <w:szCs w:val="18"/>
          <w:color w:val="auto"/>
        </w:rPr>
      </w:pPr>
    </w:p>
    <w:p>
      <w:pPr>
        <w:ind w:left="1500" w:hanging="397"/>
        <w:spacing w:after="0" w:line="207" w:lineRule="exact"/>
        <w:tabs>
          <w:tab w:leader="none" w:pos="150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1500" w:hanging="397"/>
        <w:spacing w:after="0" w:line="207" w:lineRule="exact"/>
        <w:tabs>
          <w:tab w:leader="none" w:pos="150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in accordance with §240.13d-1(b)(1)(ii)(E).</w:t>
      </w:r>
    </w:p>
    <w:p>
      <w:pPr>
        <w:spacing w:after="0" w:line="117" w:lineRule="exact"/>
        <w:rPr>
          <w:rFonts w:ascii="Times New Roman" w:cs="Times New Roman" w:eastAsia="Times New Roman" w:hAnsi="Times New Roman"/>
          <w:sz w:val="18"/>
          <w:szCs w:val="18"/>
          <w:color w:val="auto"/>
        </w:rPr>
      </w:pPr>
    </w:p>
    <w:p>
      <w:pPr>
        <w:ind w:left="1500" w:hanging="397"/>
        <w:spacing w:after="0" w:line="207" w:lineRule="exact"/>
        <w:tabs>
          <w:tab w:leader="none" w:pos="150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or endowment fund in accordance with §240.13d-1(b)(1)(ii)(F).</w:t>
      </w:r>
    </w:p>
    <w:p>
      <w:pPr>
        <w:spacing w:after="0" w:line="117" w:lineRule="exact"/>
        <w:rPr>
          <w:rFonts w:ascii="Times New Roman" w:cs="Times New Roman" w:eastAsia="Times New Roman" w:hAnsi="Times New Roman"/>
          <w:sz w:val="18"/>
          <w:szCs w:val="18"/>
          <w:color w:val="auto"/>
        </w:rPr>
      </w:pPr>
    </w:p>
    <w:p>
      <w:pPr>
        <w:ind w:left="1500" w:hanging="397"/>
        <w:spacing w:after="0" w:line="207" w:lineRule="exact"/>
        <w:tabs>
          <w:tab w:leader="none" w:pos="150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or control person in accordance with §240.13d-1(b)(1)(ii)(G).</w:t>
      </w:r>
    </w:p>
    <w:p>
      <w:pPr>
        <w:spacing w:after="0" w:line="117" w:lineRule="exact"/>
        <w:rPr>
          <w:rFonts w:ascii="Times New Roman" w:cs="Times New Roman" w:eastAsia="Times New Roman" w:hAnsi="Times New Roman"/>
          <w:sz w:val="18"/>
          <w:szCs w:val="18"/>
          <w:color w:val="auto"/>
        </w:rPr>
      </w:pPr>
    </w:p>
    <w:p>
      <w:pPr>
        <w:ind w:left="1500" w:hanging="397"/>
        <w:spacing w:after="0" w:line="207" w:lineRule="exact"/>
        <w:tabs>
          <w:tab w:leader="none" w:pos="150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 (13 U.S.C. 1813).</w:t>
      </w:r>
    </w:p>
    <w:p>
      <w:pPr>
        <w:spacing w:after="0" w:line="117" w:lineRule="exact"/>
        <w:rPr>
          <w:rFonts w:ascii="Times New Roman" w:cs="Times New Roman" w:eastAsia="Times New Roman" w:hAnsi="Times New Roman"/>
          <w:sz w:val="18"/>
          <w:szCs w:val="18"/>
          <w:color w:val="auto"/>
        </w:rPr>
      </w:pPr>
    </w:p>
    <w:p>
      <w:pPr>
        <w:ind w:left="1780" w:right="40" w:hanging="677"/>
        <w:spacing w:after="0" w:line="239" w:lineRule="exact"/>
        <w:tabs>
          <w:tab w:leader="none" w:pos="151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 (15 U.S.C. 80a-3).</w:t>
      </w:r>
    </w:p>
    <w:p>
      <w:pPr>
        <w:spacing w:after="0" w:line="62" w:lineRule="exact"/>
        <w:rPr>
          <w:rFonts w:ascii="Times New Roman" w:cs="Times New Roman" w:eastAsia="Times New Roman" w:hAnsi="Times New Roman"/>
          <w:sz w:val="18"/>
          <w:szCs w:val="18"/>
          <w:color w:val="auto"/>
        </w:rPr>
      </w:pPr>
    </w:p>
    <w:p>
      <w:pPr>
        <w:ind w:left="1500" w:hanging="397"/>
        <w:spacing w:after="0" w:line="207" w:lineRule="exact"/>
        <w:tabs>
          <w:tab w:leader="none" w:pos="150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Non-U.S. institution in accordance with §240. 13d-1(b)(1)(ii)(J).</w:t>
      </w:r>
    </w:p>
    <w:p>
      <w:pPr>
        <w:spacing w:after="0" w:line="117" w:lineRule="exact"/>
        <w:rPr>
          <w:rFonts w:ascii="Times New Roman" w:cs="Times New Roman" w:eastAsia="Times New Roman" w:hAnsi="Times New Roman"/>
          <w:sz w:val="18"/>
          <w:szCs w:val="18"/>
          <w:color w:val="auto"/>
        </w:rPr>
      </w:pPr>
    </w:p>
    <w:p>
      <w:pPr>
        <w:ind w:left="1500" w:hanging="397"/>
        <w:spacing w:after="0" w:line="207" w:lineRule="exact"/>
        <w:tabs>
          <w:tab w:leader="none" w:pos="1500" w:val="left"/>
        </w:tabs>
        <w:numPr>
          <w:ilvl w:val="0"/>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§240.13d-1(b)(1)(ii)(K).</w:t>
      </w:r>
    </w:p>
    <w:p>
      <w:pPr>
        <w:spacing w:after="0" w:line="14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 13d-1(b)(1)(ii)(J),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5957570</wp:posOffset>
            </wp:positionH>
            <wp:positionV relativeFrom="paragraph">
              <wp:posOffset>-7620</wp:posOffset>
            </wp:positionV>
            <wp:extent cx="8001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00100" cy="8890"/>
                    </a:xfrm>
                    <a:prstGeom prst="rect">
                      <a:avLst/>
                    </a:prstGeom>
                    <a:noFill/>
                  </pic:spPr>
                </pic:pic>
              </a:graphicData>
            </a:graphic>
          </wp:anchor>
        </w:drawing>
      </w:r>
    </w:p>
    <w:p>
      <w:pPr>
        <w:spacing w:after="0" w:line="35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Items 4(a)-(c) is set forth in Rows 5-11 of the cover page hereto for each Warburg Pincus Reporting Person and is incorporated herein by reference for each such Warburg Pincus Reporting Person.</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On November 19, 2020, (i) the Issuer, (ii) the WP XI Funds, WP XI-C and Bull Co-Invest (collectively, the “Warburg Pincus Sponsors”), (iii) GTCR Fund XI/A LP, GTCR Fund XI/C LP, and GTCR Co-Invest XI LP (collectively, the “GTCR Funds”) and (iv) certain other holders of Common Stock of the issuer ( the “Other Investors”), entered into a Stockholders Agreement (the “Stockholders Agreement”). The Stockholders Agreement sets forth certain governance arrangements with respect to the Issuer, transfer restrictions on Other Investors and indemnification matters. Pursuant to the Stockholders Agreement, each of the Warburg Pincus Sponsors and the GTCR Funds has agreed to vote the shares of Common Stock of the Issuer that each holds of record in a certain manner on matters related to the election of certain directors appointed by the Warburg Pincus Sponsors and the GTCR Sponsors. The Warburg Pincus Sponsors and the GTCR Sponsors hold an aggregate total of 198,216,494 shares of Common Stock of the Issuer (approximately 69.7% of the outstanding shares of Common Stock of the Issuer), including 79,286,597 shares of Common Stock of the Issuer that are publicly reported as being owned by the GTCR Sponsors and 118,929,897 shares of Common Stock of the Issuer that are publicly reported as being owned by the Warburg Pincus Sponsors. The Warburg Pincus Reporting Persons are not entitled to any rights as a shareholder of the Issuer with respect to the shares of Common Stock of the Issuer beneficially owned by the Other Investors or the GTCR Sponsors except as expressly set forth in the Stockholders Agreement and the Warburg Pincus Reporting Persons do not have dispositive power over the Common Stock owned by the GTCR Sponsors. Each Warburg Pincus Reporting Person expressly disclaims</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40" w:top="266" w:right="539" w:bottom="1440" w:gutter="0" w:footer="0" w:header="0"/>
        </w:sectPr>
      </w:pPr>
    </w:p>
    <w:bookmarkStart w:id="19" w:name="page20"/>
    <w:bookmarkEnd w:id="19"/>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beneficial ownership (within the meaning of Rule 13d-3 of the Exchange Act) with respect to any shares of Common Stock of the Issuer other than the shares of Common Stock of the Issuer owned of record by such Warburg Pincus Reporting Person. The number of shares of Common Stock of the Issuer owned by each Warburg Pincus Reporting Person as set forth in Rows 5 – 11 of their respective cover pages to this Schedule 13G does not reflect the aggregate shares of Common Stock of the Issuer owned by the Other Investors.</w:t>
      </w:r>
    </w:p>
    <w:p>
      <w:pPr>
        <w:spacing w:after="0" w:line="180" w:lineRule="exact"/>
        <w:rPr>
          <w:sz w:val="20"/>
          <w:szCs w:val="20"/>
          <w:color w:val="auto"/>
        </w:rPr>
      </w:pPr>
    </w:p>
    <w:p>
      <w:pPr>
        <w:jc w:val="both"/>
        <w:ind w:left="4" w:right="20" w:firstLine="440"/>
        <w:spacing w:after="0" w:line="277" w:lineRule="auto"/>
        <w:rPr>
          <w:sz w:val="20"/>
          <w:szCs w:val="20"/>
          <w:color w:val="auto"/>
        </w:rPr>
      </w:pPr>
      <w:r>
        <w:rPr>
          <w:rFonts w:ascii="Times New Roman" w:cs="Times New Roman" w:eastAsia="Times New Roman" w:hAnsi="Times New Roman"/>
          <w:sz w:val="17"/>
          <w:szCs w:val="17"/>
          <w:color w:val="auto"/>
        </w:rPr>
        <w:t>The aggregate total of 79,286,597 shares of Common Stock of the Issuer indicated in this Schedule 13G as being beneficially owned by the GTCR Sponsors is derived from the GTCR Sponsors’ Form 3, filed with the U.S. Securities and Exchange Commission (the “Commission”) on November 20, 2020, and is not purported to be an accurate representation of the GTCR Sponsors’ beneficial ownership as of the date of this Schedule 13G. The GTCR Sponsors are responsible for reporting their beneficial ownership of shares of Common Stock of the Issuer on their own behalf, and the Warburg Pincus Reporting Persons disclaim responsibility for reporting the shares of Common Stock of the Issuer beneficially owned by the GTCR Sponsors.</w:t>
      </w:r>
    </w:p>
    <w:p>
      <w:pPr>
        <w:spacing w:after="0" w:line="168"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The percentages used herein are calculated based upon the 284,421,755 shares of Common Stock of Sotera Health Company (the “Issuer”) outstanding as of November 24, 2020, as reported in “The Offering” in the Issuer’s Form 424B filed with the U.S. Securities and Exchange Commission (“Commission”) on November 23, 2020.</w:t>
      </w:r>
    </w:p>
    <w:p>
      <w:pPr>
        <w:spacing w:after="0" w:line="32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4" w:right="320"/>
        <w:spacing w:after="0" w:line="235"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323"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21" w:lineRule="exact"/>
        <w:rPr>
          <w:sz w:val="20"/>
          <w:szCs w:val="20"/>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Other than as set forth herein, no other person has the right to receive or the power to direct the receipt of dividends from, or the proceeds from the sale of, in excess of 5% of the total outstanding Common Stock.</w:t>
      </w:r>
    </w:p>
    <w:p>
      <w:pPr>
        <w:spacing w:after="0" w:line="306" w:lineRule="exact"/>
        <w:rPr>
          <w:sz w:val="20"/>
          <w:szCs w:val="20"/>
          <w:color w:val="auto"/>
        </w:rPr>
      </w:pPr>
    </w:p>
    <w:p>
      <w:pPr>
        <w:ind w:left="1084" w:right="580" w:hanging="1092"/>
        <w:spacing w:after="0" w:line="286" w:lineRule="auto"/>
        <w:tabs>
          <w:tab w:leader="none" w:pos="1064"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121" w:lineRule="exact"/>
        <w:rPr>
          <w:sz w:val="20"/>
          <w:szCs w:val="20"/>
          <w:color w:val="auto"/>
        </w:rPr>
      </w:pPr>
    </w:p>
    <w:p>
      <w:pPr>
        <w:ind w:left="4" w:right="180" w:hanging="4"/>
        <w:spacing w:after="0" w:line="266"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Warburg Pincus Reporting Persons are making this single, joint filing because they may be deemed to constitute a “group” within the meaning of the Exchange Act. The joint filing agreement among the Warburg Pincus Reporting Persons to file this Schedule 13G jointly in accordance with Rule 13d-1(k) of the Exchange Act is attached hereto as Exhibit 99.1.</w:t>
      </w:r>
    </w:p>
    <w:p>
      <w:pPr>
        <w:spacing w:after="0" w:line="175" w:lineRule="exact"/>
        <w:rPr>
          <w:rFonts w:ascii="Times New Roman" w:cs="Times New Roman" w:eastAsia="Times New Roman" w:hAnsi="Times New Roman"/>
          <w:sz w:val="18"/>
          <w:szCs w:val="18"/>
          <w:color w:val="auto"/>
        </w:rPr>
      </w:pPr>
    </w:p>
    <w:p>
      <w:pPr>
        <w:jc w:val="both"/>
        <w:ind w:left="4" w:right="400" w:hanging="4"/>
        <w:spacing w:after="0" w:line="266" w:lineRule="auto"/>
        <w:tabs>
          <w:tab w:leader="none" w:pos="25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Warburg Pincus Reporting Person expressly disclaims beneficial ownership (within the meaning of Rule 13d-3 of the Exchange Act) with respect to any shares of Common Stock of the Issuer other than the shares of Common Stock of the issuer owned of record by such Warburg Pincus Reporting Person.</w:t>
      </w:r>
    </w:p>
    <w:p>
      <w:pPr>
        <w:spacing w:after="0" w:line="32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Notice of Dissolution of Group.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4"/>
          </w:cols>
          <w:pgMar w:left="436" w:top="270" w:right="4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February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2021</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WARBURG PINCUS PRIVATE EQUITY XI, L.P.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XI, L.P.,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WP Global LLC, 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II, L.P., its managing</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GP LLC, its general</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WARBURG PINCUS XI PARTNERS, L.P.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XI, L.P.,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WP Global LLC, 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II, L.P., its managing</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GP LLC, its general</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WARBURG PINCUS PRIVATE EQUITY XI-B, L.P.</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XI, L.P.,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WP Global LLC, 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II, L.P., its managing</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GP LLC, its general</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130" w:lineRule="exact"/>
        <w:rPr>
          <w:sz w:val="20"/>
          <w:szCs w:val="20"/>
          <w:color w:val="auto"/>
        </w:rPr>
      </w:pPr>
    </w:p>
    <w:p>
      <w:pPr>
        <w:sectPr>
          <w:pgSz w:w="11900" w:h="16838" w:orient="portrait"/>
          <w:cols w:equalWidth="0" w:num="1">
            <w:col w:w="11020"/>
          </w:cols>
          <w:pgMar w:left="440" w:top="266" w:right="439"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66" w:right="439" w:bottom="1440" w:gutter="0" w:footer="0" w:header="0"/>
          <w:type w:val="continuous"/>
        </w:sectPr>
      </w:pPr>
    </w:p>
    <w:bookmarkStart w:id="21" w:name="page22"/>
    <w:bookmarkEnd w:id="2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WP XI Partners, L.P.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XI, L.P.,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WP Global LLC, 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II, L.P., its managing</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GP LLC, its general</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WARBURG PINCUS PRIVATE EQUITY XI-C, L.P.</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(Cayman) XI, L.P., its general</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XI-C, LLC, 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II (Cayman), L.P., its</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(Bermuda) Private Equity GP Ltd.,</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BULL CO-INVEST L.P.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WP Bull Manager LLC, 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WARBURG PINCUS XI, L.P.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WP Global LLC, 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II, L.P., its managing</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GP LLC, its general</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130" w:lineRule="exact"/>
        <w:rPr>
          <w:sz w:val="20"/>
          <w:szCs w:val="20"/>
          <w:color w:val="auto"/>
        </w:rPr>
      </w:pPr>
    </w:p>
    <w:p>
      <w:pPr>
        <w:sectPr>
          <w:pgSz w:w="11900" w:h="16838" w:orient="portrait"/>
          <w:cols w:equalWidth="0" w:num="1">
            <w:col w:w="10020"/>
          </w:cols>
          <w:pgMar w:left="1440" w:top="266" w:right="439" w:bottom="1440" w:gutter="0" w:footer="0" w:header="0"/>
        </w:sectPr>
      </w:pPr>
    </w:p>
    <w:p>
      <w:pPr>
        <w:ind w:left="442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020"/>
          </w:cols>
          <w:pgMar w:left="1440" w:top="266" w:right="439" w:bottom="1440" w:gutter="0" w:footer="0" w:header="0"/>
          <w:type w:val="continuous"/>
        </w:sectPr>
      </w:pPr>
    </w:p>
    <w:bookmarkStart w:id="22" w:name="page23"/>
    <w:bookmarkEnd w:id="2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WP GLOBAL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II, L.P., its managing</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GP LLC, its general</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WARBURG PINCUS PARTNERS II, L.P.</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GP LLC, its general</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WARBURG PINCUS PARTNERS GP LLC</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&amp; Co., its managing member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WARBURG PINCUS &amp; CO</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WARBURG PINCUS (CAYMAN) XI, L.P.</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XI-C, LLC, its general partner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II (Cayman), L.P., its</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(Bermuda) Private Equity GP Ltd.,</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bl>
    <w:p>
      <w:pPr>
        <w:spacing w:after="0" w:line="13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020"/>
          </w:cols>
          <w:pgMar w:left="1440" w:top="266" w:right="439" w:bottom="1440" w:gutter="0" w:footer="0" w:header="0"/>
        </w:sectPr>
      </w:pPr>
    </w:p>
    <w:bookmarkStart w:id="23" w:name="page24"/>
    <w:bookmarkEnd w:id="2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WARBURG PINCUS XI-C,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Partners II (Cayman), L.P., its</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(Bermuda) Private Equity GP Ltd.,</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WARBURG PINCUS PARTNERS II (CAYMAN), L.P.</w:t>
            </w:r>
          </w:p>
        </w:tc>
      </w:tr>
      <w:tr>
        <w:trPr>
          <w:trHeight w:val="41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Warburg Pincus (Bermuda) Private Equity GP Ltd.,</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Harsha Marti</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Harsha Marti</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Authorised Signatory</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WARBURG PINCUS (BERMUDA) PRIVATE EQUITY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GP LTD.</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Harsha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257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Harsha Marti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Authorised Signatory</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WARBURG PINCUS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Harsha Marti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17145</wp:posOffset>
            </wp:positionV>
            <wp:extent cx="27946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Harsha Marti</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23</w:t>
      </w:r>
    </w:p>
    <w:sectPr>
      <w:pgSz w:w="11900" w:h="16838" w:orient="portrait"/>
      <w:cols w:equalWidth="0" w:num="1">
        <w:col w:w="10020"/>
      </w:cols>
      <w:pgMar w:left="1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lvl w:ilvl="1">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2021-02-12T16:20:56Z</dcterms:created>
  <dcterms:modified xsi:type="dcterms:W3CDTF">2021-02-12T16:20:56Z</dcterms:modified>
</cp:coreProperties>
</file>