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23, 2024</w:t>
      </w:r>
    </w:p>
    <w:p>
      <w:pPr>
        <w:spacing w:after="0" w:line="3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7"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ectPr>
          <w:pgSz w:w="11900" w:h="16838" w:orient="portrait"/>
          <w:cols w:equalWidth="0" w:num="1">
            <w:col w:w="11240"/>
          </w:cols>
          <w:pgMar w:left="320" w:top="1159" w:right="339" w:bottom="1440" w:gutter="0" w:footer="0" w:header="0"/>
        </w:sectPr>
      </w:pPr>
    </w:p>
    <w:p>
      <w:pPr>
        <w:spacing w:after="0" w:line="35"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74" w:lineRule="exact"/>
        <w:rPr>
          <w:sz w:val="24"/>
          <w:szCs w:val="24"/>
          <w:color w:val="auto"/>
        </w:rPr>
      </w:pPr>
    </w:p>
    <w:p>
      <w:pPr>
        <w:sectPr>
          <w:pgSz w:w="11900" w:h="16838" w:orient="portrait"/>
          <w:cols w:equalWidth="0" w:num="3">
            <w:col w:w="4500" w:space="720"/>
            <w:col w:w="3040" w:space="720"/>
            <w:col w:w="2260"/>
          </w:cols>
          <w:pgMar w:left="320" w:top="1159" w:right="33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880" w:space="720"/>
            <w:col w:w="2820"/>
          </w:cols>
          <w:pgMar w:left="320" w:top="1159" w:right="339" w:bottom="1440" w:gutter="0" w:footer="0" w:header="0"/>
          <w:type w:val="continuous"/>
        </w:sectPr>
      </w:pPr>
    </w:p>
    <w:p>
      <w:pPr>
        <w:spacing w:after="0" w:line="1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ectPr>
          <w:pgSz w:w="11900" w:h="16838" w:orient="portrait"/>
          <w:cols w:equalWidth="0" w:num="1">
            <w:col w:w="11240"/>
          </w:cols>
          <w:pgMar w:left="320" w:top="1159" w:right="339" w:bottom="1440" w:gutter="0" w:footer="0" w:header="0"/>
          <w:type w:val="continuous"/>
        </w:sectPr>
      </w:pPr>
    </w:p>
    <w:p>
      <w:pPr>
        <w:spacing w:after="0" w:line="1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22"/>
          <w:szCs w:val="22"/>
          <w:color w:val="auto"/>
        </w:rPr>
        <w:t>_______________________</w:t>
      </w:r>
    </w:p>
    <w:p>
      <w:pPr>
        <w:spacing w:after="0" w:line="184" w:lineRule="exact"/>
        <w:rPr>
          <w:sz w:val="24"/>
          <w:szCs w:val="24"/>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800" w:firstLine="26"/>
        <w:spacing w:after="0" w:line="528" w:lineRule="auto"/>
        <w:tabs>
          <w:tab w:leader="none" w:pos="3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r>
      <w:tr>
        <w:trPr>
          <w:trHeight w:val="217"/>
        </w:trPr>
        <w:tc>
          <w:tcPr>
            <w:tcW w:w="4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4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r>
      <w:tr>
        <w:trPr>
          <w:trHeight w:val="236"/>
        </w:trPr>
        <w:tc>
          <w:tcPr>
            <w:tcW w:w="4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SHC</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84"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80" w:lineRule="exact"/>
        <w:rPr>
          <w:sz w:val="24"/>
          <w:szCs w:val="24"/>
          <w:color w:val="auto"/>
        </w:rPr>
      </w:pPr>
    </w:p>
    <w:p>
      <w:pPr>
        <w:ind w:left="898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698500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May 23, 2024, Sotera Health Company (the “Company”) announced that its direct subsidiary Sotera Health Holdings, LLC (“SHH”) priced an offering of $750,000,000 aggregate principal amount of its 7.375% senior secured notes due 2031 (the “Notes”). The Company intends to use the net proceeds from this offering, together with the net proceeds of the previously announced new term loan (the “New Term Loan”) under the First Lien Credit Agreement dated as of December 13, 2019, as amended, by and among the Company, SHH, certain subsidiaries of the Company, JPMorgan Chase Bank, N.A., as First Lien Administrative Agent and the lenders and issuing banks party thereto (the “Credit Agreement”) and cash on hand, to refinance the term loans outstanding under the Credit Agreement and the First Lien Credit Agreement dated as of February 23, 2023, by and among the Company, SHH, JPMorgan Chase Bank, N.A., as First Lien Administrative Agent and the lenders party thereto.</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sale of the Notes and the New Term Loan are expected to close on May 30, 2024, subject to customary closing conditions. The closing of the Notes offering is subject to the substantially concurrent completion of the New Term Loan.</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Notes will be guaranteed by the Company and each of the other entities that guarantees the Credit Agreement as of the issue date. The Notes and the related guarantees will be secured on a first lien basis by substantially all assets of SHH and the other guarantors (other than any excluded assets and subject to certain other exceptions).</w:t>
      </w:r>
    </w:p>
    <w:p>
      <w:pPr>
        <w:spacing w:after="0" w:line="13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Notes and the related guarantees have been offered in a private offering to persons reasonably believed to be qualified institutional buyers pursuant to Rule 144A under the Securities Act of 1933, as amended (the “Securities Act”) and to non-U.S. persons in accordance with Regulation S under the Securities Act. The Notes and the related guarantees have not been, and will not be, registered under the Securities Act or any state securities laws. The Notes and the related guarantees may not be offered or sold in the United States or to, or for the benefit of, U.S. persons absent registration under, or an applicable exemption from, the registration requirements of the Securities Act and applicable state securities laws.</w:t>
      </w:r>
    </w:p>
    <w:p>
      <w:pPr>
        <w:spacing w:after="0" w:line="1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report does not constitute an offer to sell or the solicitation of an offer to buy the Notes or any other security and shall not constitute an offer, solicitation or sale in any jurisdiction in which, or to any persons to whom, such offering, solicitation or sale would be unlawful. Any offers of the Notes were made only by means of a private offering memorandum. This report is being filed pursuant to and in accordance with Rule 135c under the Securities Act.</w:t>
      </w:r>
    </w:p>
    <w:p>
      <w:pPr>
        <w:spacing w:after="0" w:line="13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 This report contains forward-looking statements that reflect management’s expectations about future events and speak only as of the date hereof. You can identify these forward-looking statements by the use of forward-looking words such as “will,” “intends,” “expect” or other comparable words. Any forward-looking statements contained in this report are based upon current plans, estimates and expectations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including, without limitation, the risk that the Company will not be able to complete the offering of the Notes and/or the New Term Loan in a timely manner or at all. For additional discussion of these risks and uncertainties, please refer to the Company’s other filings with the SEC, such as its annual and quarterly reports. We do not undertake any obligation to publicly update or revise these forward-looking statements,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259080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(Registrant)</w:t>
      </w:r>
    </w:p>
    <w:p>
      <w:pPr>
        <w:spacing w:after="0" w:line="328" w:lineRule="exact"/>
        <w:rPr>
          <w:sz w:val="20"/>
          <w:szCs w:val="20"/>
          <w:color w:val="auto"/>
        </w:rPr>
      </w:pPr>
    </w:p>
    <w:p>
      <w:pPr>
        <w:ind w:left="20"/>
        <w:spacing w:after="0"/>
        <w:tabs>
          <w:tab w:leader="none" w:pos="5160" w:val="left"/>
          <w:tab w:leader="none" w:pos="5980" w:val="left"/>
        </w:tabs>
        <w:rPr>
          <w:sz w:val="20"/>
          <w:szCs w:val="20"/>
          <w:color w:val="auto"/>
        </w:rPr>
      </w:pPr>
      <w:r>
        <w:rPr>
          <w:rFonts w:ascii="Times New Roman" w:cs="Times New Roman" w:eastAsia="Times New Roman" w:hAnsi="Times New Roman"/>
          <w:sz w:val="18"/>
          <w:szCs w:val="18"/>
          <w:color w:val="auto"/>
        </w:rPr>
        <w:t>Date: May 23,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M.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Jonathan M. Lyons</w:t>
      </w:r>
    </w:p>
    <w:p>
      <w:pPr>
        <w:spacing w:after="0" w:line="6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sectPr>
      <w:pgSz w:w="11900" w:h="16838" w:orient="portrait"/>
      <w:cols w:equalWidth="0" w:num="1">
        <w:col w:w="10720"/>
      </w:cols>
      <w:pgMar w:left="320" w:top="1008"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2024-05-23T18:03:18Z</dcterms:created>
  <dcterms:modified xsi:type="dcterms:W3CDTF">2024-05-23T18:03:18Z</dcterms:modified>
</cp:coreProperties>
</file>