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68" w:lineRule="exact"/>
        <w:rPr>
          <w:sz w:val="24"/>
          <w:szCs w:val="24"/>
          <w:color w:val="auto"/>
        </w:rPr>
      </w:pPr>
    </w:p>
    <w:p>
      <w:pPr>
        <w:ind w:left="400" w:hanging="391"/>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9" w:lineRule="exact"/>
        <w:rPr>
          <w:sz w:val="24"/>
          <w:szCs w:val="24"/>
          <w:color w:val="auto"/>
        </w:rPr>
      </w:pPr>
    </w:p>
    <w:p>
      <w:pPr>
        <w:ind w:left="4540" w:right="3740" w:hanging="4531"/>
        <w:spacing w:after="0" w:line="440" w:lineRule="auto"/>
        <w:tabs>
          <w:tab w:leader="none" w:pos="398"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-33020</wp:posOffset>
            </wp:positionV>
            <wp:extent cx="1125220" cy="370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5220" cy="370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SOTERA HEALTH COMPANY</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7220" w:type="dxa"/>
            <w:vAlign w:val="bottom"/>
            <w:gridSpan w:val="2"/>
          </w:tcPr>
          <w:p>
            <w:pPr>
              <w:jc w:val="center"/>
              <w:ind w:right="3950"/>
              <w:spacing w:after="0"/>
              <w:rPr>
                <w:sz w:val="20"/>
                <w:szCs w:val="20"/>
                <w:color w:val="auto"/>
              </w:rPr>
            </w:pPr>
            <w:r>
              <w:rPr>
                <w:rFonts w:ascii="Arial" w:cs="Arial" w:eastAsia="Arial" w:hAnsi="Arial"/>
                <w:sz w:val="14"/>
                <w:szCs w:val="14"/>
                <w:color w:val="auto"/>
                <w:w w:val="90"/>
              </w:rPr>
              <w:t>(Exact name of registrant as specified in its charter)</w:t>
            </w:r>
          </w:p>
        </w:tc>
      </w:tr>
      <w:tr>
        <w:trPr>
          <w:trHeight w:val="186"/>
        </w:trPr>
        <w:tc>
          <w:tcPr>
            <w:tcW w:w="4020" w:type="dxa"/>
            <w:vAlign w:val="bottom"/>
          </w:tcPr>
          <w:p>
            <w:pPr>
              <w:jc w:val="center"/>
              <w:ind w:left="1511"/>
              <w:spacing w:after="0"/>
              <w:rPr>
                <w:sz w:val="20"/>
                <w:szCs w:val="20"/>
                <w:color w:val="auto"/>
              </w:rPr>
            </w:pPr>
            <w:r>
              <w:rPr>
                <w:rFonts w:ascii="Arial" w:cs="Arial" w:eastAsia="Arial" w:hAnsi="Arial"/>
                <w:sz w:val="14"/>
                <w:szCs w:val="14"/>
                <w:b w:val="1"/>
                <w:bCs w:val="1"/>
                <w:color w:val="auto"/>
                <w:w w:val="91"/>
              </w:rPr>
              <w:t>Delaware</w:t>
            </w:r>
          </w:p>
        </w:tc>
        <w:tc>
          <w:tcPr>
            <w:tcW w:w="2760" w:type="dxa"/>
            <w:vAlign w:val="bottom"/>
          </w:tcPr>
          <w:p>
            <w:pPr>
              <w:spacing w:after="0"/>
              <w:rPr>
                <w:sz w:val="16"/>
                <w:szCs w:val="16"/>
                <w:color w:val="auto"/>
              </w:rPr>
            </w:pPr>
          </w:p>
        </w:tc>
        <w:tc>
          <w:tcPr>
            <w:tcW w:w="4460" w:type="dxa"/>
            <w:vAlign w:val="bottom"/>
          </w:tcPr>
          <w:p>
            <w:pPr>
              <w:jc w:val="right"/>
              <w:ind w:right="2410"/>
              <w:spacing w:after="0"/>
              <w:rPr>
                <w:sz w:val="20"/>
                <w:szCs w:val="20"/>
                <w:color w:val="auto"/>
              </w:rPr>
            </w:pPr>
            <w:r>
              <w:rPr>
                <w:rFonts w:ascii="Arial" w:cs="Arial" w:eastAsia="Arial" w:hAnsi="Arial"/>
                <w:sz w:val="14"/>
                <w:szCs w:val="14"/>
                <w:b w:val="1"/>
                <w:bCs w:val="1"/>
                <w:color w:val="auto"/>
              </w:rPr>
              <w:t>47-3531161</w:t>
            </w:r>
          </w:p>
        </w:tc>
      </w:tr>
      <w:tr>
        <w:trPr>
          <w:trHeight w:val="187"/>
        </w:trPr>
        <w:tc>
          <w:tcPr>
            <w:tcW w:w="6780" w:type="dxa"/>
            <w:vAlign w:val="bottom"/>
            <w:gridSpan w:val="2"/>
          </w:tcPr>
          <w:p>
            <w:pPr>
              <w:jc w:val="center"/>
              <w:ind w:right="1090"/>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4460" w:type="dxa"/>
            <w:vAlign w:val="bottom"/>
          </w:tcPr>
          <w:p>
            <w:pPr>
              <w:jc w:val="center"/>
              <w:ind w:right="1090"/>
              <w:spacing w:after="0"/>
              <w:rPr>
                <w:sz w:val="20"/>
                <w:szCs w:val="20"/>
                <w:color w:val="auto"/>
              </w:rPr>
            </w:pPr>
            <w:r>
              <w:rPr>
                <w:rFonts w:ascii="Arial" w:cs="Arial" w:eastAsia="Arial" w:hAnsi="Arial"/>
                <w:sz w:val="14"/>
                <w:szCs w:val="14"/>
                <w:color w:val="auto"/>
                <w:w w:val="93"/>
              </w:rPr>
              <w:t>(I.R.S. Employer Identification No.)</w:t>
            </w:r>
          </w:p>
        </w:tc>
      </w:tr>
      <w:tr>
        <w:trPr>
          <w:trHeight w:val="268"/>
        </w:trPr>
        <w:tc>
          <w:tcPr>
            <w:tcW w:w="4020" w:type="dxa"/>
            <w:vAlign w:val="bottom"/>
          </w:tcPr>
          <w:p>
            <w:pPr>
              <w:jc w:val="center"/>
              <w:ind w:left="1511"/>
              <w:spacing w:after="0"/>
              <w:rPr>
                <w:sz w:val="20"/>
                <w:szCs w:val="20"/>
                <w:color w:val="auto"/>
              </w:rPr>
            </w:pPr>
            <w:r>
              <w:rPr>
                <w:rFonts w:ascii="Arial" w:cs="Arial" w:eastAsia="Arial" w:hAnsi="Arial"/>
                <w:sz w:val="14"/>
                <w:szCs w:val="14"/>
                <w:b w:val="1"/>
                <w:bCs w:val="1"/>
                <w:color w:val="auto"/>
                <w:w w:val="90"/>
              </w:rPr>
              <w:t>9100 South Hills Blvd, Suite 300</w:t>
            </w:r>
          </w:p>
        </w:tc>
        <w:tc>
          <w:tcPr>
            <w:tcW w:w="276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187"/>
        </w:trPr>
        <w:tc>
          <w:tcPr>
            <w:tcW w:w="4020" w:type="dxa"/>
            <w:vAlign w:val="bottom"/>
          </w:tcPr>
          <w:p>
            <w:pPr>
              <w:jc w:val="center"/>
              <w:ind w:left="1531"/>
              <w:spacing w:after="0"/>
              <w:rPr>
                <w:sz w:val="20"/>
                <w:szCs w:val="20"/>
                <w:color w:val="auto"/>
              </w:rPr>
            </w:pPr>
            <w:r>
              <w:rPr>
                <w:rFonts w:ascii="Arial" w:cs="Arial" w:eastAsia="Arial" w:hAnsi="Arial"/>
                <w:sz w:val="14"/>
                <w:szCs w:val="14"/>
                <w:b w:val="1"/>
                <w:bCs w:val="1"/>
                <w:color w:val="auto"/>
                <w:w w:val="90"/>
              </w:rPr>
              <w:t>Broadview Heights, Ohio</w:t>
            </w:r>
          </w:p>
        </w:tc>
        <w:tc>
          <w:tcPr>
            <w:tcW w:w="2760" w:type="dxa"/>
            <w:vAlign w:val="bottom"/>
          </w:tcPr>
          <w:p>
            <w:pPr>
              <w:spacing w:after="0"/>
              <w:rPr>
                <w:sz w:val="16"/>
                <w:szCs w:val="16"/>
                <w:color w:val="auto"/>
              </w:rPr>
            </w:pPr>
          </w:p>
        </w:tc>
        <w:tc>
          <w:tcPr>
            <w:tcW w:w="4460" w:type="dxa"/>
            <w:vAlign w:val="bottom"/>
          </w:tcPr>
          <w:p>
            <w:pPr>
              <w:jc w:val="right"/>
              <w:ind w:right="2570"/>
              <w:spacing w:after="0"/>
              <w:rPr>
                <w:sz w:val="20"/>
                <w:szCs w:val="20"/>
                <w:color w:val="auto"/>
              </w:rPr>
            </w:pPr>
            <w:r>
              <w:rPr>
                <w:rFonts w:ascii="Arial" w:cs="Arial" w:eastAsia="Arial" w:hAnsi="Arial"/>
                <w:sz w:val="14"/>
                <w:szCs w:val="14"/>
                <w:b w:val="1"/>
                <w:bCs w:val="1"/>
                <w:color w:val="auto"/>
              </w:rPr>
              <w:t>44147</w:t>
            </w:r>
          </w:p>
        </w:tc>
      </w:tr>
      <w:tr>
        <w:trPr>
          <w:trHeight w:val="187"/>
        </w:trPr>
        <w:tc>
          <w:tcPr>
            <w:tcW w:w="4020" w:type="dxa"/>
            <w:vAlign w:val="bottom"/>
          </w:tcPr>
          <w:p>
            <w:pPr>
              <w:jc w:val="center"/>
              <w:ind w:left="1531"/>
              <w:spacing w:after="0"/>
              <w:rPr>
                <w:sz w:val="20"/>
                <w:szCs w:val="20"/>
                <w:color w:val="auto"/>
              </w:rPr>
            </w:pPr>
            <w:r>
              <w:rPr>
                <w:rFonts w:ascii="Arial" w:cs="Arial" w:eastAsia="Arial" w:hAnsi="Arial"/>
                <w:sz w:val="14"/>
                <w:szCs w:val="14"/>
                <w:color w:val="auto"/>
                <w:w w:val="92"/>
              </w:rPr>
              <w:t>(Address of principal executive offices)</w:t>
            </w:r>
          </w:p>
        </w:tc>
        <w:tc>
          <w:tcPr>
            <w:tcW w:w="2760" w:type="dxa"/>
            <w:vAlign w:val="bottom"/>
          </w:tcPr>
          <w:p>
            <w:pPr>
              <w:spacing w:after="0"/>
              <w:rPr>
                <w:sz w:val="16"/>
                <w:szCs w:val="16"/>
                <w:color w:val="auto"/>
              </w:rPr>
            </w:pPr>
          </w:p>
        </w:tc>
        <w:tc>
          <w:tcPr>
            <w:tcW w:w="4460" w:type="dxa"/>
            <w:vAlign w:val="bottom"/>
          </w:tcPr>
          <w:p>
            <w:pPr>
              <w:jc w:val="center"/>
              <w:ind w:right="1090"/>
              <w:spacing w:after="0"/>
              <w:rPr>
                <w:sz w:val="20"/>
                <w:szCs w:val="20"/>
                <w:color w:val="auto"/>
              </w:rPr>
            </w:pPr>
            <w:r>
              <w:rPr>
                <w:rFonts w:ascii="Arial" w:cs="Arial" w:eastAsia="Arial" w:hAnsi="Arial"/>
                <w:sz w:val="14"/>
                <w:szCs w:val="14"/>
                <w:color w:val="auto"/>
                <w:w w:val="93"/>
              </w:rPr>
              <w:t>(Zip Code)</w:t>
            </w:r>
          </w:p>
        </w:tc>
      </w:tr>
      <w:tr>
        <w:trPr>
          <w:trHeight w:val="187"/>
        </w:trPr>
        <w:tc>
          <w:tcPr>
            <w:tcW w:w="4020" w:type="dxa"/>
            <w:vAlign w:val="bottom"/>
          </w:tcPr>
          <w:p>
            <w:pPr>
              <w:spacing w:after="0"/>
              <w:rPr>
                <w:sz w:val="16"/>
                <w:szCs w:val="16"/>
                <w:color w:val="auto"/>
              </w:rPr>
            </w:pPr>
          </w:p>
        </w:tc>
        <w:tc>
          <w:tcPr>
            <w:tcW w:w="2760" w:type="dxa"/>
            <w:vAlign w:val="bottom"/>
          </w:tcPr>
          <w:p>
            <w:pPr>
              <w:jc w:val="center"/>
              <w:ind w:left="350"/>
              <w:spacing w:after="0"/>
              <w:rPr>
                <w:sz w:val="20"/>
                <w:szCs w:val="20"/>
                <w:color w:val="auto"/>
              </w:rPr>
            </w:pPr>
            <w:r>
              <w:rPr>
                <w:rFonts w:ascii="Arial" w:cs="Arial" w:eastAsia="Arial" w:hAnsi="Arial"/>
                <w:sz w:val="14"/>
                <w:szCs w:val="14"/>
                <w:b w:val="1"/>
                <w:bCs w:val="1"/>
                <w:color w:val="auto"/>
                <w:w w:val="89"/>
              </w:rPr>
              <w:t>(440) 262-1410</w:t>
            </w:r>
          </w:p>
        </w:tc>
        <w:tc>
          <w:tcPr>
            <w:tcW w:w="44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220" w:type="dxa"/>
            <w:vAlign w:val="bottom"/>
            <w:gridSpan w:val="2"/>
          </w:tcPr>
          <w:p>
            <w:pPr>
              <w:jc w:val="center"/>
              <w:ind w:right="3950"/>
              <w:spacing w:after="0"/>
              <w:rPr>
                <w:sz w:val="20"/>
                <w:szCs w:val="20"/>
                <w:color w:val="auto"/>
              </w:rPr>
            </w:pPr>
            <w:r>
              <w:rPr>
                <w:rFonts w:ascii="Arial" w:cs="Arial" w:eastAsia="Arial" w:hAnsi="Arial"/>
                <w:sz w:val="14"/>
                <w:szCs w:val="14"/>
                <w:color w:val="auto"/>
                <w:w w:val="89"/>
              </w:rPr>
              <w:t>(Registrant’s telephone number, including area code)</w:t>
            </w:r>
          </w:p>
        </w:tc>
      </w:tr>
      <w:tr>
        <w:trPr>
          <w:trHeight w:val="268"/>
        </w:trPr>
        <w:tc>
          <w:tcPr>
            <w:tcW w:w="40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76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305"/>
        </w:trPr>
        <w:tc>
          <w:tcPr>
            <w:tcW w:w="402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b w:val="1"/>
                <w:bCs w:val="1"/>
                <w:color w:val="auto"/>
                <w:w w:val="86"/>
              </w:rPr>
              <w:t>Title of each class</w:t>
            </w:r>
          </w:p>
        </w:tc>
        <w:tc>
          <w:tcPr>
            <w:tcW w:w="276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b w:val="1"/>
                <w:bCs w:val="1"/>
                <w:color w:val="auto"/>
                <w:w w:val="89"/>
              </w:rPr>
              <w:t>Trading Symbol(s)</w:t>
            </w:r>
          </w:p>
        </w:tc>
        <w:tc>
          <w:tcPr>
            <w:tcW w:w="446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77"/>
        </w:trPr>
        <w:tc>
          <w:tcPr>
            <w:tcW w:w="4020" w:type="dxa"/>
            <w:vAlign w:val="bottom"/>
          </w:tcPr>
          <w:p>
            <w:pPr>
              <w:jc w:val="center"/>
              <w:ind w:left="531"/>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2760" w:type="dxa"/>
            <w:vAlign w:val="bottom"/>
          </w:tcPr>
          <w:p>
            <w:pPr>
              <w:jc w:val="center"/>
              <w:ind w:left="350"/>
              <w:spacing w:after="0"/>
              <w:rPr>
                <w:sz w:val="20"/>
                <w:szCs w:val="20"/>
                <w:color w:val="auto"/>
              </w:rPr>
            </w:pPr>
            <w:r>
              <w:rPr>
                <w:rFonts w:ascii="Arial" w:cs="Arial" w:eastAsia="Arial" w:hAnsi="Arial"/>
                <w:sz w:val="14"/>
                <w:szCs w:val="14"/>
                <w:b w:val="1"/>
                <w:bCs w:val="1"/>
                <w:color w:val="auto"/>
              </w:rPr>
              <w:t>SHC</w:t>
            </w:r>
          </w:p>
        </w:tc>
        <w:tc>
          <w:tcPr>
            <w:tcW w:w="4460" w:type="dxa"/>
            <w:vAlign w:val="bottom"/>
          </w:tcPr>
          <w:p>
            <w:pPr>
              <w:jc w:val="center"/>
              <w:ind w:right="150"/>
              <w:spacing w:after="0"/>
              <w:rPr>
                <w:sz w:val="20"/>
                <w:szCs w:val="20"/>
                <w:color w:val="auto"/>
              </w:rPr>
            </w:pPr>
            <w:r>
              <w:rPr>
                <w:rFonts w:ascii="Arial" w:cs="Arial" w:eastAsia="Arial" w:hAnsi="Arial"/>
                <w:sz w:val="14"/>
                <w:szCs w:val="14"/>
                <w:b w:val="1"/>
                <w:bCs w:val="1"/>
                <w:color w:val="auto"/>
                <w:w w:val="93"/>
              </w:rPr>
              <w:t>The Nasdaq Stock Market LLC</w:t>
            </w:r>
          </w:p>
        </w:tc>
      </w:tr>
      <w:tr>
        <w:trPr>
          <w:trHeight w:val="324"/>
        </w:trPr>
        <w:tc>
          <w:tcPr>
            <w:tcW w:w="402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27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24"/>
        </w:trPr>
        <w:tc>
          <w:tcPr>
            <w:tcW w:w="6780" w:type="dxa"/>
            <w:vAlign w:val="bottom"/>
            <w:gridSpan w:val="2"/>
          </w:tcPr>
          <w:p>
            <w:pPr>
              <w:spacing w:after="0" w:line="150" w:lineRule="exact"/>
              <w:rPr>
                <w:sz w:val="20"/>
                <w:szCs w:val="20"/>
                <w:color w:val="auto"/>
              </w:rPr>
            </w:pPr>
            <w:r>
              <w:rPr>
                <w:rFonts w:ascii="Arial" w:cs="Arial" w:eastAsia="Arial" w:hAnsi="Arial"/>
                <w:sz w:val="13"/>
                <w:szCs w:val="13"/>
                <w:color w:val="auto"/>
                <w:w w:val="94"/>
              </w:rPr>
              <w:t xml:space="preserve">Indicate by check mark if the registrant is a well-known seasoned issuer, as defined in Rule 405 of the Securities Act. </w:t>
            </w:r>
            <w:r>
              <w:rPr>
                <w:rFonts w:ascii="MS PGothic" w:cs="MS PGothic" w:eastAsia="MS PGothic" w:hAnsi="MS PGothic"/>
                <w:sz w:val="13"/>
                <w:szCs w:val="13"/>
                <w:color w:val="auto"/>
                <w:w w:val="94"/>
              </w:rPr>
              <w:t>☒</w:t>
            </w:r>
            <w:r>
              <w:rPr>
                <w:rFonts w:ascii="Arial" w:cs="Arial" w:eastAsia="Arial" w:hAnsi="Arial"/>
                <w:sz w:val="13"/>
                <w:szCs w:val="13"/>
                <w:color w:val="auto"/>
                <w:w w:val="94"/>
              </w:rPr>
              <w:t xml:space="preserve"> Yes</w:t>
            </w:r>
          </w:p>
        </w:tc>
        <w:tc>
          <w:tcPr>
            <w:tcW w:w="446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r>
    </w:tbl>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96" w:lineRule="exact"/>
        <w:rPr>
          <w:sz w:val="24"/>
          <w:szCs w:val="24"/>
          <w:color w:val="auto"/>
        </w:rPr>
      </w:pPr>
    </w:p>
    <w:p>
      <w:pPr>
        <w:ind w:right="24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4" w:lineRule="exact"/>
        <w:rPr>
          <w:sz w:val="24"/>
          <w:szCs w:val="24"/>
          <w:color w:val="auto"/>
        </w:rPr>
      </w:pPr>
    </w:p>
    <w:p>
      <w:pPr>
        <w:ind w:right="200"/>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4" w:lineRule="exact"/>
        <w:rPr>
          <w:sz w:val="24"/>
          <w:szCs w:val="24"/>
          <w:color w:val="auto"/>
        </w:rPr>
      </w:pPr>
    </w:p>
    <w:p>
      <w:pPr>
        <w:ind w:right="80"/>
        <w:spacing w:after="0" w:line="26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163"/>
        </w:trPr>
        <w:tc>
          <w:tcPr>
            <w:tcW w:w="25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560" w:type="dxa"/>
            <w:vAlign w:val="bottom"/>
          </w:tcPr>
          <w:p>
            <w:pPr>
              <w:ind w:left="1440"/>
              <w:spacing w:after="0" w:line="121" w:lineRule="exact"/>
              <w:rPr>
                <w:sz w:val="20"/>
                <w:szCs w:val="20"/>
                <w:color w:val="auto"/>
              </w:rPr>
            </w:pPr>
            <w:r>
              <w:rPr>
                <w:rFonts w:ascii="MS PGothic" w:cs="MS PGothic" w:eastAsia="MS PGothic" w:hAnsi="MS PGothic"/>
                <w:sz w:val="12"/>
                <w:szCs w:val="12"/>
                <w:color w:val="auto"/>
              </w:rPr>
              <w:t>☒</w:t>
            </w:r>
          </w:p>
        </w:tc>
        <w:tc>
          <w:tcPr>
            <w:tcW w:w="3440" w:type="dxa"/>
            <w:vAlign w:val="bottom"/>
          </w:tcPr>
          <w:p>
            <w:pPr>
              <w:jc w:val="center"/>
              <w:ind w:right="18"/>
              <w:spacing w:after="0"/>
              <w:rPr>
                <w:sz w:val="20"/>
                <w:szCs w:val="20"/>
                <w:color w:val="auto"/>
              </w:rPr>
            </w:pPr>
            <w:r>
              <w:rPr>
                <w:rFonts w:ascii="Arial" w:cs="Arial" w:eastAsia="Arial" w:hAnsi="Arial"/>
                <w:sz w:val="12"/>
                <w:szCs w:val="12"/>
                <w:color w:val="auto"/>
                <w:w w:val="97"/>
              </w:rPr>
              <w:t>Accelerated filer</w:t>
            </w:r>
          </w:p>
        </w:tc>
        <w:tc>
          <w:tcPr>
            <w:tcW w:w="1180" w:type="dxa"/>
            <w:vAlign w:val="bottom"/>
          </w:tcPr>
          <w:p>
            <w:pPr>
              <w:ind w:left="10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3"/>
        </w:trPr>
        <w:tc>
          <w:tcPr>
            <w:tcW w:w="2580" w:type="dxa"/>
            <w:vAlign w:val="bottom"/>
          </w:tcPr>
          <w:p>
            <w:pPr>
              <w:spacing w:after="0"/>
              <w:rPr>
                <w:sz w:val="20"/>
                <w:szCs w:val="20"/>
                <w:color w:val="auto"/>
              </w:rPr>
            </w:pPr>
            <w:r>
              <w:rPr>
                <w:rFonts w:ascii="Arial" w:cs="Arial" w:eastAsia="Arial" w:hAnsi="Arial"/>
                <w:sz w:val="12"/>
                <w:szCs w:val="12"/>
                <w:color w:val="auto"/>
              </w:rPr>
              <w:t>Non-accelerated filer</w:t>
            </w:r>
          </w:p>
        </w:tc>
        <w:tc>
          <w:tcPr>
            <w:tcW w:w="2560" w:type="dxa"/>
            <w:vAlign w:val="bottom"/>
          </w:tcPr>
          <w:p>
            <w:pPr>
              <w:ind w:left="1440"/>
              <w:spacing w:after="0" w:line="121" w:lineRule="exact"/>
              <w:rPr>
                <w:sz w:val="20"/>
                <w:szCs w:val="20"/>
                <w:color w:val="auto"/>
              </w:rPr>
            </w:pPr>
            <w:r>
              <w:rPr>
                <w:rFonts w:ascii="MS PGothic" w:cs="MS PGothic" w:eastAsia="MS PGothic" w:hAnsi="MS PGothic"/>
                <w:sz w:val="12"/>
                <w:szCs w:val="12"/>
                <w:color w:val="auto"/>
              </w:rPr>
              <w:t>☐</w:t>
            </w:r>
          </w:p>
        </w:tc>
        <w:tc>
          <w:tcPr>
            <w:tcW w:w="3440" w:type="dxa"/>
            <w:vAlign w:val="bottom"/>
          </w:tcPr>
          <w:p>
            <w:pPr>
              <w:jc w:val="center"/>
              <w:ind w:right="18"/>
              <w:spacing w:after="0"/>
              <w:rPr>
                <w:sz w:val="20"/>
                <w:szCs w:val="20"/>
                <w:color w:val="auto"/>
              </w:rPr>
            </w:pPr>
            <w:r>
              <w:rPr>
                <w:rFonts w:ascii="Arial" w:cs="Arial" w:eastAsia="Arial" w:hAnsi="Arial"/>
                <w:sz w:val="12"/>
                <w:szCs w:val="12"/>
                <w:color w:val="auto"/>
                <w:w w:val="94"/>
              </w:rPr>
              <w:t>Smaller reporting company</w:t>
            </w:r>
          </w:p>
        </w:tc>
        <w:tc>
          <w:tcPr>
            <w:tcW w:w="1180" w:type="dxa"/>
            <w:vAlign w:val="bottom"/>
          </w:tcPr>
          <w:p>
            <w:pPr>
              <w:ind w:left="10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3"/>
        </w:trPr>
        <w:tc>
          <w:tcPr>
            <w:tcW w:w="2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40" w:type="dxa"/>
            <w:vAlign w:val="bottom"/>
          </w:tcPr>
          <w:p>
            <w:pPr>
              <w:jc w:val="center"/>
              <w:ind w:right="18"/>
              <w:spacing w:after="0"/>
              <w:rPr>
                <w:sz w:val="20"/>
                <w:szCs w:val="20"/>
                <w:color w:val="auto"/>
              </w:rPr>
            </w:pPr>
            <w:r>
              <w:rPr>
                <w:rFonts w:ascii="Arial" w:cs="Arial" w:eastAsia="Arial" w:hAnsi="Arial"/>
                <w:sz w:val="12"/>
                <w:szCs w:val="12"/>
                <w:color w:val="auto"/>
                <w:w w:val="95"/>
              </w:rPr>
              <w:t>Emerging growth company</w:t>
            </w:r>
          </w:p>
        </w:tc>
        <w:tc>
          <w:tcPr>
            <w:tcW w:w="1180" w:type="dxa"/>
            <w:vAlign w:val="bottom"/>
          </w:tcPr>
          <w:p>
            <w:pPr>
              <w:ind w:left="10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1" w:lineRule="exact"/>
        <w:rPr>
          <w:sz w:val="24"/>
          <w:szCs w:val="24"/>
          <w:color w:val="auto"/>
        </w:rPr>
      </w:pPr>
    </w:p>
    <w:p>
      <w:pPr>
        <w:ind w:right="20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right="40"/>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1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85" w:lineRule="exact"/>
        <w:rPr>
          <w:sz w:val="24"/>
          <w:szCs w:val="24"/>
          <w:color w:val="auto"/>
        </w:rPr>
      </w:pPr>
    </w:p>
    <w:p>
      <w:pPr>
        <w:ind w:right="80"/>
        <w:spacing w:after="0" w:line="279"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30, 2021, based upon the last sale price of such voting and non-voting common stock on that date, was $2,402,917,037.</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2022, there were 282,929,097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502920</wp:posOffset>
            </wp:positionV>
            <wp:extent cx="717613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 w:name="page2"/>
    <w:bookmarkEnd w:id="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DOCUMENTS INCORPORATED BY REFERENCE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Definitive Proxy Statement for the registrant’s 2022 Annual Meeting of Stockholders are incorporated by reference in Part III of this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 the Securities and Exchange Commission within 120 days after the end of the registrant’s fiscal year ended December 31, 2021.</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Audit Firm PCAOB ID: 42</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Auditor Name: Ernst &amp; Young LLP</w:t>
            </w: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Auditor Location: Akron, Ohio</w:t>
            </w:r>
          </w:p>
        </w:tc>
      </w:tr>
      <w:tr>
        <w:trPr>
          <w:trHeight w:val="870"/>
        </w:trPr>
        <w:tc>
          <w:tcPr>
            <w:tcW w:w="37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6"/>
          <w:szCs w:val="16"/>
          <w:b w:val="1"/>
          <w:bCs w:val="1"/>
          <w:color w:val="auto"/>
        </w:rPr>
      </w:pPr>
      <w:hyperlink w:anchor="page5">
        <w:r>
          <w:rPr>
            <w:rFonts w:ascii="Arial" w:cs="Arial" w:eastAsia="Arial" w:hAnsi="Arial"/>
            <w:sz w:val="16"/>
            <w:szCs w:val="16"/>
            <w:b w:val="1"/>
            <w:bCs w:val="1"/>
            <w:color w:val="auto"/>
          </w:rPr>
          <w:t>PART I</w:t>
        </w:r>
      </w:hyperlink>
    </w:p>
    <w:p>
      <w:pPr>
        <w:spacing w:after="0" w:line="20" w:lineRule="exact"/>
        <w:rPr>
          <w:sz w:val="20"/>
          <w:szCs w:val="20"/>
          <w:color w:val="auto"/>
        </w:rPr>
      </w:pPr>
    </w:p>
    <w:p>
      <w:pPr>
        <w:ind w:left="500"/>
        <w:spacing w:after="0"/>
        <w:rPr>
          <w:rFonts w:ascii="Arial" w:cs="Arial" w:eastAsia="Arial" w:hAnsi="Arial"/>
          <w:sz w:val="16"/>
          <w:szCs w:val="16"/>
          <w:color w:val="auto"/>
        </w:rPr>
      </w:pPr>
      <w:hyperlink w:anchor="page6">
        <w:r>
          <w:rPr>
            <w:rFonts w:ascii="Arial" w:cs="Arial" w:eastAsia="Arial" w:hAnsi="Arial"/>
            <w:sz w:val="16"/>
            <w:szCs w:val="16"/>
            <w:color w:val="auto"/>
          </w:rPr>
          <w:t>Item 1.</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7">
        <w:r>
          <w:rPr>
            <w:rFonts w:ascii="Arial" w:cs="Arial" w:eastAsia="Arial" w:hAnsi="Arial"/>
            <w:sz w:val="16"/>
            <w:szCs w:val="16"/>
            <w:color w:val="auto"/>
          </w:rPr>
          <w:t>Item 1A.</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45">
        <w:r>
          <w:rPr>
            <w:rFonts w:ascii="Arial" w:cs="Arial" w:eastAsia="Arial" w:hAnsi="Arial"/>
            <w:sz w:val="16"/>
            <w:szCs w:val="16"/>
            <w:color w:val="auto"/>
          </w:rPr>
          <w:t>Item 1B.</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45">
        <w:r>
          <w:rPr>
            <w:rFonts w:ascii="Arial" w:cs="Arial" w:eastAsia="Arial" w:hAnsi="Arial"/>
            <w:sz w:val="16"/>
            <w:szCs w:val="16"/>
            <w:color w:val="auto"/>
          </w:rPr>
          <w:t>Item 2.</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45">
        <w:r>
          <w:rPr>
            <w:rFonts w:ascii="Arial" w:cs="Arial" w:eastAsia="Arial" w:hAnsi="Arial"/>
            <w:sz w:val="16"/>
            <w:szCs w:val="16"/>
            <w:color w:val="auto"/>
          </w:rPr>
          <w:t>Item 3.</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46">
        <w:r>
          <w:rPr>
            <w:rFonts w:ascii="Arial" w:cs="Arial" w:eastAsia="Arial" w:hAnsi="Arial"/>
            <w:sz w:val="16"/>
            <w:szCs w:val="16"/>
            <w:color w:val="auto"/>
          </w:rPr>
          <w:t>Item 4.</w:t>
        </w:r>
      </w:hyperlink>
    </w:p>
    <w:p>
      <w:pPr>
        <w:spacing w:after="0" w:line="323" w:lineRule="exact"/>
        <w:rPr>
          <w:sz w:val="20"/>
          <w:szCs w:val="20"/>
          <w:color w:val="auto"/>
        </w:rPr>
      </w:pPr>
    </w:p>
    <w:p>
      <w:pPr>
        <w:spacing w:after="0"/>
        <w:rPr>
          <w:rFonts w:ascii="Arial" w:cs="Arial" w:eastAsia="Arial" w:hAnsi="Arial"/>
          <w:sz w:val="16"/>
          <w:szCs w:val="16"/>
          <w:b w:val="1"/>
          <w:bCs w:val="1"/>
          <w:color w:val="auto"/>
        </w:rPr>
      </w:pPr>
      <w:hyperlink w:anchor="page46">
        <w:r>
          <w:rPr>
            <w:rFonts w:ascii="Arial" w:cs="Arial" w:eastAsia="Arial" w:hAnsi="Arial"/>
            <w:sz w:val="16"/>
            <w:szCs w:val="16"/>
            <w:b w:val="1"/>
            <w:bCs w:val="1"/>
            <w:color w:val="auto"/>
          </w:rPr>
          <w:t>PART II</w:t>
        </w:r>
      </w:hyperlink>
    </w:p>
    <w:p>
      <w:pPr>
        <w:spacing w:after="0" w:line="20" w:lineRule="exact"/>
        <w:rPr>
          <w:sz w:val="20"/>
          <w:szCs w:val="20"/>
          <w:color w:val="auto"/>
        </w:rPr>
      </w:pPr>
    </w:p>
    <w:p>
      <w:pPr>
        <w:ind w:left="500"/>
        <w:spacing w:after="0"/>
        <w:rPr>
          <w:rFonts w:ascii="Arial" w:cs="Arial" w:eastAsia="Arial" w:hAnsi="Arial"/>
          <w:sz w:val="16"/>
          <w:szCs w:val="16"/>
          <w:color w:val="auto"/>
        </w:rPr>
      </w:pPr>
      <w:hyperlink w:anchor="page47">
        <w:r>
          <w:rPr>
            <w:rFonts w:ascii="Arial" w:cs="Arial" w:eastAsia="Arial" w:hAnsi="Arial"/>
            <w:sz w:val="16"/>
            <w:szCs w:val="16"/>
            <w:color w:val="auto"/>
          </w:rPr>
          <w:t>Item 5.</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48">
        <w:r>
          <w:rPr>
            <w:rFonts w:ascii="Arial" w:cs="Arial" w:eastAsia="Arial" w:hAnsi="Arial"/>
            <w:sz w:val="16"/>
            <w:szCs w:val="16"/>
            <w:color w:val="auto"/>
          </w:rPr>
          <w:t>Item 6.</w:t>
        </w:r>
      </w:hyperlink>
    </w:p>
    <w:p>
      <w:pPr>
        <w:spacing w:after="0" w:line="14" w:lineRule="exact"/>
        <w:rPr>
          <w:sz w:val="20"/>
          <w:szCs w:val="20"/>
          <w:color w:val="auto"/>
        </w:rPr>
      </w:pPr>
    </w:p>
    <w:p>
      <w:pPr>
        <w:ind w:left="500"/>
        <w:spacing w:after="0"/>
        <w:rPr>
          <w:rFonts w:ascii="Arial" w:cs="Arial" w:eastAsia="Arial" w:hAnsi="Arial"/>
          <w:sz w:val="16"/>
          <w:szCs w:val="16"/>
          <w:color w:val="auto"/>
        </w:rPr>
      </w:pPr>
      <w:hyperlink w:anchor="page48">
        <w:r>
          <w:rPr>
            <w:rFonts w:ascii="Arial" w:cs="Arial" w:eastAsia="Arial" w:hAnsi="Arial"/>
            <w:sz w:val="16"/>
            <w:szCs w:val="16"/>
            <w:color w:val="auto"/>
          </w:rPr>
          <w:t>Item 7.</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66">
        <w:r>
          <w:rPr>
            <w:rFonts w:ascii="Arial" w:cs="Arial" w:eastAsia="Arial" w:hAnsi="Arial"/>
            <w:sz w:val="16"/>
            <w:szCs w:val="16"/>
            <w:color w:val="auto"/>
          </w:rPr>
          <w:t>Item 7A.</w:t>
        </w:r>
      </w:hyperlink>
    </w:p>
    <w:p>
      <w:pPr>
        <w:spacing w:after="0" w:line="14" w:lineRule="exact"/>
        <w:rPr>
          <w:sz w:val="20"/>
          <w:szCs w:val="20"/>
          <w:color w:val="auto"/>
        </w:rPr>
      </w:pPr>
    </w:p>
    <w:p>
      <w:pPr>
        <w:ind w:left="500"/>
        <w:spacing w:after="0"/>
        <w:rPr>
          <w:rFonts w:ascii="Arial" w:cs="Arial" w:eastAsia="Arial" w:hAnsi="Arial"/>
          <w:sz w:val="16"/>
          <w:szCs w:val="16"/>
          <w:color w:val="auto"/>
        </w:rPr>
      </w:pPr>
      <w:hyperlink w:anchor="page68">
        <w:r>
          <w:rPr>
            <w:rFonts w:ascii="Arial" w:cs="Arial" w:eastAsia="Arial" w:hAnsi="Arial"/>
            <w:sz w:val="16"/>
            <w:szCs w:val="16"/>
            <w:color w:val="auto"/>
          </w:rPr>
          <w:t>Item 8.</w:t>
        </w:r>
      </w:hyperlink>
    </w:p>
    <w:p>
      <w:pPr>
        <w:spacing w:after="0" w:line="72" w:lineRule="exact"/>
        <w:rPr>
          <w:sz w:val="20"/>
          <w:szCs w:val="20"/>
          <w:color w:val="auto"/>
        </w:rPr>
      </w:pPr>
    </w:p>
    <w:p>
      <w:pPr>
        <w:ind w:left="500"/>
        <w:spacing w:after="0"/>
        <w:rPr>
          <w:rFonts w:ascii="Arial" w:cs="Arial" w:eastAsia="Arial" w:hAnsi="Arial"/>
          <w:sz w:val="16"/>
          <w:szCs w:val="16"/>
          <w:color w:val="auto"/>
        </w:rPr>
      </w:pPr>
      <w:hyperlink w:anchor="page118">
        <w:r>
          <w:rPr>
            <w:rFonts w:ascii="Arial" w:cs="Arial" w:eastAsia="Arial" w:hAnsi="Arial"/>
            <w:sz w:val="16"/>
            <w:szCs w:val="16"/>
            <w:color w:val="auto"/>
          </w:rPr>
          <w:t>Item 9.</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19">
        <w:r>
          <w:rPr>
            <w:rFonts w:ascii="Arial" w:cs="Arial" w:eastAsia="Arial" w:hAnsi="Arial"/>
            <w:sz w:val="16"/>
            <w:szCs w:val="16"/>
            <w:color w:val="auto"/>
          </w:rPr>
          <w:t>Item 9A.</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20">
        <w:r>
          <w:rPr>
            <w:rFonts w:ascii="Arial" w:cs="Arial" w:eastAsia="Arial" w:hAnsi="Arial"/>
            <w:sz w:val="16"/>
            <w:szCs w:val="16"/>
            <w:color w:val="auto"/>
          </w:rPr>
          <w:t>Item 9B.</w:t>
        </w:r>
      </w:hyperlink>
    </w:p>
    <w:p>
      <w:pPr>
        <w:spacing w:after="0" w:line="107" w:lineRule="exact"/>
        <w:rPr>
          <w:sz w:val="20"/>
          <w:szCs w:val="20"/>
          <w:color w:val="auto"/>
        </w:rPr>
      </w:pPr>
    </w:p>
    <w:p>
      <w:pPr>
        <w:ind w:left="500"/>
        <w:spacing w:after="0"/>
        <w:rPr>
          <w:rFonts w:ascii="Arial" w:cs="Arial" w:eastAsia="Arial" w:hAnsi="Arial"/>
          <w:sz w:val="14"/>
          <w:szCs w:val="14"/>
          <w:color w:val="auto"/>
        </w:rPr>
      </w:pPr>
      <w:hyperlink w:anchor="page121">
        <w:r>
          <w:rPr>
            <w:rFonts w:ascii="Arial" w:cs="Arial" w:eastAsia="Arial" w:hAnsi="Arial"/>
            <w:sz w:val="14"/>
            <w:szCs w:val="14"/>
            <w:color w:val="auto"/>
          </w:rPr>
          <w:t>Item 9C.</w:t>
        </w:r>
      </w:hyperlink>
    </w:p>
    <w:p>
      <w:pPr>
        <w:spacing w:after="0" w:line="323" w:lineRule="exact"/>
        <w:rPr>
          <w:sz w:val="20"/>
          <w:szCs w:val="20"/>
          <w:color w:val="auto"/>
        </w:rPr>
      </w:pPr>
    </w:p>
    <w:p>
      <w:pPr>
        <w:spacing w:after="0"/>
        <w:rPr>
          <w:rFonts w:ascii="Arial" w:cs="Arial" w:eastAsia="Arial" w:hAnsi="Arial"/>
          <w:sz w:val="16"/>
          <w:szCs w:val="16"/>
          <w:b w:val="1"/>
          <w:bCs w:val="1"/>
          <w:color w:val="auto"/>
        </w:rPr>
      </w:pPr>
      <w:hyperlink w:anchor="page121">
        <w:r>
          <w:rPr>
            <w:rFonts w:ascii="Arial" w:cs="Arial" w:eastAsia="Arial" w:hAnsi="Arial"/>
            <w:sz w:val="16"/>
            <w:szCs w:val="16"/>
            <w:b w:val="1"/>
            <w:bCs w:val="1"/>
            <w:color w:val="auto"/>
          </w:rPr>
          <w:t>PART III</w:t>
        </w:r>
      </w:hyperlink>
    </w:p>
    <w:p>
      <w:pPr>
        <w:spacing w:after="0" w:line="20" w:lineRule="exact"/>
        <w:rPr>
          <w:sz w:val="20"/>
          <w:szCs w:val="20"/>
          <w:color w:val="auto"/>
        </w:rPr>
      </w:pPr>
    </w:p>
    <w:p>
      <w:pPr>
        <w:ind w:left="500"/>
        <w:spacing w:after="0"/>
        <w:rPr>
          <w:rFonts w:ascii="Arial" w:cs="Arial" w:eastAsia="Arial" w:hAnsi="Arial"/>
          <w:sz w:val="16"/>
          <w:szCs w:val="16"/>
          <w:color w:val="auto"/>
        </w:rPr>
      </w:pPr>
      <w:hyperlink w:anchor="page122">
        <w:r>
          <w:rPr>
            <w:rFonts w:ascii="Arial" w:cs="Arial" w:eastAsia="Arial" w:hAnsi="Arial"/>
            <w:sz w:val="16"/>
            <w:szCs w:val="16"/>
            <w:color w:val="auto"/>
          </w:rPr>
          <w:t>Item 10.</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23">
        <w:r>
          <w:rPr>
            <w:rFonts w:ascii="Arial" w:cs="Arial" w:eastAsia="Arial" w:hAnsi="Arial"/>
            <w:sz w:val="16"/>
            <w:szCs w:val="16"/>
            <w:color w:val="auto"/>
          </w:rPr>
          <w:t>Item 11.</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23">
        <w:r>
          <w:rPr>
            <w:rFonts w:ascii="Arial" w:cs="Arial" w:eastAsia="Arial" w:hAnsi="Arial"/>
            <w:sz w:val="16"/>
            <w:szCs w:val="16"/>
            <w:color w:val="auto"/>
          </w:rPr>
          <w:t>Item 12.</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23">
        <w:r>
          <w:rPr>
            <w:rFonts w:ascii="Arial" w:cs="Arial" w:eastAsia="Arial" w:hAnsi="Arial"/>
            <w:sz w:val="16"/>
            <w:szCs w:val="16"/>
            <w:color w:val="auto"/>
          </w:rPr>
          <w:t>Item 13.</w:t>
        </w:r>
      </w:hyperlink>
    </w:p>
    <w:p>
      <w:pPr>
        <w:spacing w:after="0" w:line="107" w:lineRule="exact"/>
        <w:rPr>
          <w:sz w:val="20"/>
          <w:szCs w:val="20"/>
          <w:color w:val="auto"/>
        </w:rPr>
      </w:pPr>
    </w:p>
    <w:p>
      <w:pPr>
        <w:ind w:left="500"/>
        <w:spacing w:after="0"/>
        <w:rPr>
          <w:rFonts w:ascii="Arial" w:cs="Arial" w:eastAsia="Arial" w:hAnsi="Arial"/>
          <w:sz w:val="16"/>
          <w:szCs w:val="16"/>
          <w:color w:val="auto"/>
        </w:rPr>
      </w:pPr>
      <w:hyperlink w:anchor="page123">
        <w:r>
          <w:rPr>
            <w:rFonts w:ascii="Arial" w:cs="Arial" w:eastAsia="Arial" w:hAnsi="Arial"/>
            <w:sz w:val="16"/>
            <w:szCs w:val="16"/>
            <w:color w:val="auto"/>
          </w:rPr>
          <w:t>Item 14.</w:t>
        </w:r>
      </w:hyperlink>
    </w:p>
    <w:p>
      <w:pPr>
        <w:spacing w:after="0" w:line="323" w:lineRule="exact"/>
        <w:rPr>
          <w:sz w:val="20"/>
          <w:szCs w:val="20"/>
          <w:color w:val="auto"/>
        </w:rPr>
      </w:pPr>
    </w:p>
    <w:p>
      <w:pPr>
        <w:spacing w:after="0"/>
        <w:rPr>
          <w:rFonts w:ascii="Arial" w:cs="Arial" w:eastAsia="Arial" w:hAnsi="Arial"/>
          <w:sz w:val="16"/>
          <w:szCs w:val="16"/>
          <w:b w:val="1"/>
          <w:bCs w:val="1"/>
          <w:color w:val="auto"/>
        </w:rPr>
      </w:pPr>
      <w:hyperlink w:anchor="page123">
        <w:r>
          <w:rPr>
            <w:rFonts w:ascii="Arial" w:cs="Arial" w:eastAsia="Arial" w:hAnsi="Arial"/>
            <w:sz w:val="16"/>
            <w:szCs w:val="16"/>
            <w:b w:val="1"/>
            <w:bCs w:val="1"/>
            <w:color w:val="auto"/>
          </w:rPr>
          <w:t>PART IV</w:t>
        </w:r>
      </w:hyperlink>
    </w:p>
    <w:p>
      <w:pPr>
        <w:spacing w:after="0" w:line="20" w:lineRule="exact"/>
        <w:rPr>
          <w:sz w:val="20"/>
          <w:szCs w:val="20"/>
          <w:color w:val="auto"/>
        </w:rPr>
      </w:pPr>
    </w:p>
    <w:p>
      <w:pPr>
        <w:ind w:left="500"/>
        <w:spacing w:after="0"/>
        <w:rPr>
          <w:rFonts w:ascii="Arial" w:cs="Arial" w:eastAsia="Arial" w:hAnsi="Arial"/>
          <w:sz w:val="16"/>
          <w:szCs w:val="16"/>
          <w:color w:val="auto"/>
        </w:rPr>
      </w:pPr>
      <w:hyperlink w:anchor="page124">
        <w:r>
          <w:rPr>
            <w:rFonts w:ascii="Arial" w:cs="Arial" w:eastAsia="Arial" w:hAnsi="Arial"/>
            <w:sz w:val="16"/>
            <w:szCs w:val="16"/>
            <w:color w:val="auto"/>
          </w:rPr>
          <w:t>Item 15.</w:t>
        </w:r>
      </w:hyperlink>
    </w:p>
    <w:p>
      <w:pPr>
        <w:spacing w:after="0" w:line="107" w:lineRule="exact"/>
        <w:rPr>
          <w:sz w:val="20"/>
          <w:szCs w:val="20"/>
          <w:color w:val="auto"/>
        </w:rPr>
      </w:pPr>
    </w:p>
    <w:p>
      <w:pPr>
        <w:jc w:val="center"/>
        <w:ind w:left="420"/>
        <w:spacing w:after="0"/>
        <w:rPr>
          <w:rFonts w:ascii="Arial" w:cs="Arial" w:eastAsia="Arial" w:hAnsi="Arial"/>
          <w:sz w:val="16"/>
          <w:szCs w:val="16"/>
          <w:color w:val="auto"/>
        </w:rPr>
      </w:pPr>
      <w:hyperlink w:anchor="page128">
        <w:r>
          <w:rPr>
            <w:rFonts w:ascii="Arial" w:cs="Arial" w:eastAsia="Arial" w:hAnsi="Arial"/>
            <w:sz w:val="16"/>
            <w:szCs w:val="16"/>
            <w:color w:val="auto"/>
          </w:rPr>
          <w:t>Item 16.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79"/>
        <w:spacing w:after="0"/>
        <w:rPr>
          <w:sz w:val="20"/>
          <w:szCs w:val="20"/>
          <w:color w:val="auto"/>
        </w:rPr>
      </w:pPr>
      <w:r>
        <w:rPr>
          <w:rFonts w:ascii="Arial" w:cs="Arial" w:eastAsia="Arial" w:hAnsi="Arial"/>
          <w:sz w:val="16"/>
          <w:szCs w:val="16"/>
          <w:b w:val="1"/>
          <w:bCs w:val="1"/>
          <w:color w:val="auto"/>
        </w:rPr>
        <w:t>SOTERA HEALTH COMPANY</w:t>
      </w:r>
    </w:p>
    <w:p>
      <w:pPr>
        <w:spacing w:after="0" w:line="18" w:lineRule="exact"/>
        <w:rPr>
          <w:sz w:val="20"/>
          <w:szCs w:val="20"/>
          <w:color w:val="auto"/>
        </w:rPr>
      </w:pPr>
    </w:p>
    <w:p>
      <w:pPr>
        <w:jc w:val="center"/>
        <w:ind w:left="-179"/>
        <w:spacing w:after="0"/>
        <w:rPr>
          <w:sz w:val="20"/>
          <w:szCs w:val="20"/>
          <w:color w:val="auto"/>
        </w:rPr>
      </w:pPr>
      <w:r>
        <w:rPr>
          <w:rFonts w:ascii="Arial" w:cs="Arial" w:eastAsia="Arial" w:hAnsi="Arial"/>
          <w:sz w:val="16"/>
          <w:szCs w:val="16"/>
          <w:b w:val="1"/>
          <w:bCs w:val="1"/>
          <w:color w:val="auto"/>
        </w:rPr>
        <w:t>- TABLE OF CONTENTS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209550</wp:posOffset>
            </wp:positionV>
            <wp:extent cx="7150735" cy="125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Risk Factors</w:t>
        </w:r>
      </w:hyperlink>
    </w:p>
    <w:p>
      <w:pPr>
        <w:spacing w:after="0" w:line="107"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Properties</w:t>
        </w:r>
      </w:hyperlink>
    </w:p>
    <w:p>
      <w:pPr>
        <w:spacing w:after="0" w:line="107"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Mine Safety Disclosures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178435</wp:posOffset>
            </wp:positionV>
            <wp:extent cx="7150735" cy="125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1120"/>
        <w:spacing w:after="0" w:line="319" w:lineRule="auto"/>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Market for Registrant’s Common Equity, Related Stockholder Matters and Issuer Purchases of Equity Securities</w:t>
        </w:r>
      </w:hyperlink>
      <w:r>
        <w:rPr>
          <w:rFonts w:ascii="Arial" w:cs="Arial" w:eastAsia="Arial" w:hAnsi="Arial"/>
          <w:sz w:val="16"/>
          <w:szCs w:val="16"/>
          <w:u w:val="single" w:color="auto"/>
          <w:color w:val="0000FF"/>
        </w:rPr>
        <w:t xml:space="preserve"> </w:t>
      </w:r>
      <w:hyperlink w:anchor="page48">
        <w:r>
          <w:rPr>
            <w:rFonts w:ascii="Arial" w:cs="Arial" w:eastAsia="Arial" w:hAnsi="Arial"/>
            <w:sz w:val="16"/>
            <w:szCs w:val="16"/>
            <w:u w:val="single" w:color="auto"/>
            <w:color w:val="0000FF"/>
          </w:rPr>
          <w:t>Reserved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-154940</wp:posOffset>
            </wp:positionV>
            <wp:extent cx="7150735" cy="125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ind w:right="2520"/>
        <w:spacing w:after="0" w:line="311" w:lineRule="auto"/>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Management’s Discussion and Analysis of Financial Condition and Results of Operations</w:t>
        </w:r>
      </w:hyperlink>
      <w:r>
        <w:rPr>
          <w:rFonts w:ascii="Arial" w:cs="Arial" w:eastAsia="Arial" w:hAnsi="Arial"/>
          <w:sz w:val="16"/>
          <w:szCs w:val="16"/>
          <w:u w:val="single" w:color="auto"/>
          <w:color w:val="0000FF"/>
        </w:rPr>
        <w:t xml:space="preserve"> </w:t>
      </w:r>
      <w:hyperlink w:anchor="page66">
        <w:r>
          <w:rPr>
            <w:rFonts w:ascii="Arial" w:cs="Arial" w:eastAsia="Arial" w:hAnsi="Arial"/>
            <w:sz w:val="16"/>
            <w:szCs w:val="16"/>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-147320</wp:posOffset>
            </wp:positionV>
            <wp:extent cx="7150735" cy="125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Financial Statements and Supplementary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22860</wp:posOffset>
            </wp:positionV>
            <wp:extent cx="7150735" cy="184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64" w:lineRule="exact"/>
        <w:rPr>
          <w:sz w:val="20"/>
          <w:szCs w:val="20"/>
          <w:color w:val="auto"/>
        </w:rPr>
      </w:pPr>
    </w:p>
    <w:p>
      <w:pPr>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Changes in and Disagreements with Accountants on Accounting and Financial Disclosure</w:t>
        </w:r>
      </w:hyperlink>
    </w:p>
    <w:p>
      <w:pPr>
        <w:spacing w:after="0" w:line="107" w:lineRule="exact"/>
        <w:rPr>
          <w:sz w:val="20"/>
          <w:szCs w:val="20"/>
          <w:color w:val="auto"/>
        </w:rPr>
      </w:pPr>
    </w:p>
    <w:p>
      <w:pPr>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Other Information</w:t>
        </w:r>
      </w:hyperlink>
    </w:p>
    <w:p>
      <w:pPr>
        <w:spacing w:after="0" w:line="107"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Disclosure Regarding Foreign Jurisdictions that Prevent Inspections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22860</wp:posOffset>
            </wp:positionV>
            <wp:extent cx="7150735"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4033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289560</wp:posOffset>
            </wp:positionV>
            <wp:extent cx="7150735" cy="184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Directors, Executive Officers and Corporate Governance</w:t>
        </w:r>
      </w:hyperlink>
    </w:p>
    <w:p>
      <w:pPr>
        <w:spacing w:after="0" w:line="107" w:lineRule="exact"/>
        <w:rPr>
          <w:sz w:val="20"/>
          <w:szCs w:val="20"/>
          <w:color w:val="auto"/>
        </w:rPr>
      </w:pPr>
    </w:p>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4"/>
          <w:szCs w:val="14"/>
          <w:u w:val="single" w:color="auto"/>
          <w:color w:val="0000FF"/>
        </w:rPr>
      </w:pPr>
      <w:hyperlink w:anchor="page123">
        <w:r>
          <w:rPr>
            <w:rFonts w:ascii="Arial" w:cs="Arial" w:eastAsia="Arial" w:hAnsi="Arial"/>
            <w:sz w:val="14"/>
            <w:szCs w:val="14"/>
            <w:u w:val="single" w:color="auto"/>
            <w:color w:val="0000FF"/>
          </w:rPr>
          <w:t>Security Ownership of Certain Beneficial Owners and Management and Related Stockholder Matters</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Certain Relationships and Related Transactions, and Director Independence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Principal Accountant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178435</wp:posOffset>
            </wp:positionV>
            <wp:extent cx="7150735" cy="125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2573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38100</wp:posOffset>
            </wp:positionV>
            <wp:extent cx="7150735" cy="184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87" w:lineRule="exact"/>
        <w:rPr>
          <w:sz w:val="20"/>
          <w:szCs w:val="20"/>
          <w:color w:val="auto"/>
        </w:rPr>
      </w:pPr>
    </w:p>
    <w:p>
      <w:pPr>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Form 10-K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178435</wp:posOffset>
            </wp:positionV>
            <wp:extent cx="7150735" cy="184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84785"/>
                    </a:xfrm>
                    <a:prstGeom prst="rect">
                      <a:avLst/>
                    </a:prstGeom>
                    <a:noFill/>
                  </pic:spPr>
                </pic:pic>
              </a:graphicData>
            </a:graphic>
          </wp:anchor>
        </w:drawing>
      </w:r>
    </w:p>
    <w:p>
      <w:pPr>
        <w:spacing w:after="0" w:line="309" w:lineRule="exact"/>
        <w:rPr>
          <w:sz w:val="20"/>
          <w:szCs w:val="20"/>
          <w:color w:val="auto"/>
        </w:rPr>
      </w:pPr>
    </w:p>
    <w:p>
      <w:pPr>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580390</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Page No.</w:t>
      </w:r>
    </w:p>
    <w:p>
      <w:pPr>
        <w:spacing w:after="0" w:line="253" w:lineRule="exact"/>
        <w:rPr>
          <w:sz w:val="20"/>
          <w:szCs w:val="20"/>
          <w:color w:val="auto"/>
        </w:rPr>
      </w:pPr>
    </w:p>
    <w:p>
      <w:pPr>
        <w:ind w:left="2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18</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p>
      <w:pPr>
        <w:spacing w:after="0" w:line="200" w:lineRule="exact"/>
        <w:rPr>
          <w:sz w:val="20"/>
          <w:szCs w:val="20"/>
          <w:color w:val="auto"/>
        </w:rPr>
      </w:pPr>
    </w:p>
    <w:p>
      <w:pPr>
        <w:spacing w:after="0" w:line="327" w:lineRule="exact"/>
        <w:rPr>
          <w:sz w:val="20"/>
          <w:szCs w:val="20"/>
          <w:color w:val="auto"/>
        </w:rPr>
      </w:pPr>
    </w:p>
    <w:p>
      <w:pPr>
        <w:ind w:left="22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47</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p>
      <w:pPr>
        <w:spacing w:after="0" w:line="14" w:lineRule="exact"/>
        <w:rPr>
          <w:sz w:val="20"/>
          <w:szCs w:val="20"/>
          <w:color w:val="auto"/>
        </w:rPr>
      </w:pPr>
    </w:p>
    <w:p>
      <w:pPr>
        <w:ind w:left="22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p>
      <w:pPr>
        <w:spacing w:after="0" w:line="107" w:lineRule="exact"/>
        <w:rPr>
          <w:sz w:val="20"/>
          <w:szCs w:val="20"/>
          <w:color w:val="auto"/>
        </w:rPr>
      </w:pPr>
    </w:p>
    <w:p>
      <w:pPr>
        <w:ind w:left="22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66</w:t>
        </w:r>
      </w:hyperlink>
    </w:p>
    <w:p>
      <w:pPr>
        <w:spacing w:after="0" w:line="14" w:lineRule="exact"/>
        <w:rPr>
          <w:sz w:val="20"/>
          <w:szCs w:val="20"/>
          <w:color w:val="auto"/>
        </w:rPr>
      </w:pPr>
    </w:p>
    <w:p>
      <w:pPr>
        <w:ind w:left="220"/>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69</w:t>
        </w:r>
      </w:hyperlink>
    </w:p>
    <w:p>
      <w:pPr>
        <w:spacing w:after="0" w:line="72" w:lineRule="exact"/>
        <w:rPr>
          <w:sz w:val="20"/>
          <w:szCs w:val="20"/>
          <w:color w:val="auto"/>
        </w:rPr>
      </w:pPr>
    </w:p>
    <w:p>
      <w:pPr>
        <w:ind w:left="180"/>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119</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119</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121</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121</w:t>
        </w:r>
      </w:hyperlink>
    </w:p>
    <w:p>
      <w:pPr>
        <w:spacing w:after="0" w:line="200" w:lineRule="exact"/>
        <w:rPr>
          <w:sz w:val="20"/>
          <w:szCs w:val="20"/>
          <w:color w:val="auto"/>
        </w:rPr>
      </w:pPr>
    </w:p>
    <w:p>
      <w:pPr>
        <w:spacing w:after="0" w:line="304" w:lineRule="exact"/>
        <w:rPr>
          <w:sz w:val="20"/>
          <w:szCs w:val="20"/>
          <w:color w:val="auto"/>
        </w:rPr>
      </w:pPr>
    </w:p>
    <w:p>
      <w:pPr>
        <w:ind w:left="180"/>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122</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p>
      <w:pPr>
        <w:spacing w:after="0" w:line="200" w:lineRule="exact"/>
        <w:rPr>
          <w:sz w:val="20"/>
          <w:szCs w:val="20"/>
          <w:color w:val="auto"/>
        </w:rPr>
      </w:pPr>
    </w:p>
    <w:p>
      <w:pPr>
        <w:spacing w:after="0" w:line="327" w:lineRule="exact"/>
        <w:rPr>
          <w:sz w:val="20"/>
          <w:szCs w:val="20"/>
          <w:color w:val="auto"/>
        </w:rPr>
      </w:pPr>
    </w:p>
    <w:p>
      <w:pPr>
        <w:ind w:left="180"/>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124</w:t>
        </w:r>
      </w:hyperlink>
    </w:p>
    <w:p>
      <w:pPr>
        <w:spacing w:after="0" w:line="107" w:lineRule="exact"/>
        <w:rPr>
          <w:sz w:val="20"/>
          <w:szCs w:val="20"/>
          <w:color w:val="auto"/>
        </w:rPr>
      </w:pPr>
    </w:p>
    <w:p>
      <w:pPr>
        <w:ind w:left="180"/>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128</w:t>
        </w:r>
      </w:hyperlink>
    </w:p>
    <w:p>
      <w:pPr>
        <w:spacing w:after="0" w:line="329" w:lineRule="exact"/>
        <w:rPr>
          <w:sz w:val="20"/>
          <w:szCs w:val="20"/>
          <w:color w:val="auto"/>
        </w:rPr>
      </w:pPr>
    </w:p>
    <w:p>
      <w:pPr>
        <w:ind w:left="180"/>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129</w:t>
        </w:r>
      </w:hyperlink>
    </w:p>
    <w:p>
      <w:pPr>
        <w:sectPr>
          <w:pgSz w:w="11900" w:h="16838" w:orient="portrait"/>
          <w:cols w:equalWidth="0" w:num="3">
            <w:col w:w="1100" w:space="380"/>
            <w:col w:w="8100" w:space="720"/>
            <w:col w:w="580"/>
          </w:cols>
          <w:pgMar w:left="320" w:top="129" w:right="69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95"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ind w:left="840" w:right="60" w:hanging="287"/>
        <w:spacing w:after="0" w:line="278" w:lineRule="auto"/>
        <w:tabs>
          <w:tab w:leader="none" w:pos="836"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 in the availability of, or increases in the price of, ethylene oxide (“EO”), Cobalt-60 (“Co-60”) or our other direct materials, services and supplies, including as a result of current geopolitical instability arising from U.S., Canadian and European Union relations with Russia and related sanctions;</w:t>
      </w: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industry trends;</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environmental, health and safety regulations or preferences;</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liability claims relating to health risks associated with the use of EO;</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current and future legal proceedings;</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we face;</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changes, including inflationary trends, that impact our long-term supply contracts with variable price clauses and increase our cost of revenues;</w:t>
      </w:r>
    </w:p>
    <w:p>
      <w:pPr>
        <w:spacing w:after="0" w:line="25" w:lineRule="exact"/>
        <w:rPr>
          <w:rFonts w:ascii="Arial" w:cs="Arial" w:eastAsia="Arial" w:hAnsi="Arial"/>
          <w:sz w:val="14"/>
          <w:szCs w:val="14"/>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allegations of our failure to properly perform services and potential product liability claims, recalls, penalties and reputational harm;</w:t>
      </w:r>
    </w:p>
    <w:p>
      <w:pPr>
        <w:spacing w:after="0" w:line="2" w:lineRule="exact"/>
        <w:rPr>
          <w:rFonts w:ascii="Arial" w:cs="Arial" w:eastAsia="Arial" w:hAnsi="Arial"/>
          <w:sz w:val="16"/>
          <w:szCs w:val="16"/>
          <w:color w:val="auto"/>
        </w:rPr>
      </w:pPr>
    </w:p>
    <w:p>
      <w:pPr>
        <w:ind w:left="840" w:right="44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compliance with the extensive regulatory requirements to which we are subject, the related costs, and any failures to receive or maintain, or delays in receiving, required clearance or approvals;</w:t>
      </w: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continuity hazards, including supply chain disruptions and other risks associated with our operations;</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ongoing impact of the COVID-19 pandemic;</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capacity at existing facilities, build new facilities in a timely and cost-effective manner and renew leases for our facilities;</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2" w:lineRule="exact"/>
        <w:rPr>
          <w:rFonts w:ascii="Arial" w:cs="Arial" w:eastAsia="Arial" w:hAnsi="Arial"/>
          <w:sz w:val="16"/>
          <w:szCs w:val="16"/>
          <w:color w:val="auto"/>
        </w:rPr>
      </w:pPr>
    </w:p>
    <w:p>
      <w:pPr>
        <w:ind w:left="840" w:right="30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of doing business internationally, including global and regional economic and political instability and compliance with numerous laws and regulations in multiple jurisdictions;</w:t>
      </w: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cyber security breaches, unauthorized data disclosures, and our dependence on information technology systems;</w:t>
      </w:r>
    </w:p>
    <w:p>
      <w:pPr>
        <w:spacing w:after="0" w:line="2" w:lineRule="exact"/>
        <w:rPr>
          <w:rFonts w:ascii="Arial" w:cs="Arial" w:eastAsia="Arial" w:hAnsi="Arial"/>
          <w:sz w:val="16"/>
          <w:szCs w:val="16"/>
          <w:color w:val="auto"/>
        </w:rPr>
      </w:pPr>
    </w:p>
    <w:p>
      <w:pPr>
        <w:ind w:left="840" w:right="8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inability to pursue strategic transactions, including our ability to find suitable acquisition targets, or our failure to integrate strategic acquisitions successfully into our business;</w:t>
      </w: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controls over financial reporting;</w:t>
      </w:r>
    </w:p>
    <w:p>
      <w:pPr>
        <w:spacing w:after="0" w:line="2" w:lineRule="exact"/>
        <w:rPr>
          <w:rFonts w:ascii="Arial" w:cs="Arial" w:eastAsia="Arial" w:hAnsi="Arial"/>
          <w:sz w:val="16"/>
          <w:szCs w:val="16"/>
          <w:color w:val="auto"/>
        </w:rPr>
      </w:pPr>
    </w:p>
    <w:p>
      <w:pPr>
        <w:ind w:left="840" w:right="12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intellectual property to maintain our competitive position and the risk of claims from third parties that we infringe or misappropriate their intellectual property rights;</w:t>
      </w:r>
    </w:p>
    <w:p>
      <w:pPr>
        <w:ind w:left="820" w:hanging="267"/>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rapidly evolving data privacy and security laws and regulations and any ineffective compliance efforts with such laws and regulations;</w:t>
      </w:r>
    </w:p>
    <w:p>
      <w:pPr>
        <w:spacing w:after="0" w:line="25" w:lineRule="exact"/>
        <w:rPr>
          <w:rFonts w:ascii="Arial" w:cs="Arial" w:eastAsia="Arial" w:hAnsi="Arial"/>
          <w:sz w:val="14"/>
          <w:szCs w:val="14"/>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unionization efforts and labor regulations in certain countries in which we operate;</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profitability in the future;</w:t>
      </w:r>
    </w:p>
    <w:p>
      <w:pPr>
        <w:spacing w:after="0" w:line="2" w:lineRule="exact"/>
        <w:rPr>
          <w:rFonts w:ascii="Arial" w:cs="Arial" w:eastAsia="Arial" w:hAnsi="Arial"/>
          <w:sz w:val="16"/>
          <w:szCs w:val="16"/>
          <w:color w:val="auto"/>
        </w:rPr>
      </w:pPr>
    </w:p>
    <w:p>
      <w:pPr>
        <w:ind w:left="820" w:hanging="267"/>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impairment charges on our goodwill and other intangible assets with indefinite lives, as well as other long-lived assets and intangible assets with definite lives;</w:t>
      </w:r>
    </w:p>
    <w:p>
      <w:pPr>
        <w:spacing w:after="0" w:line="25" w:lineRule="exact"/>
        <w:rPr>
          <w:rFonts w:ascii="Arial" w:cs="Arial" w:eastAsia="Arial" w:hAnsi="Arial"/>
          <w:sz w:val="14"/>
          <w:szCs w:val="14"/>
          <w:color w:val="auto"/>
        </w:rPr>
      </w:pPr>
    </w:p>
    <w:p>
      <w:pPr>
        <w:ind w:left="840" w:right="8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to our tax positions in U.S. or non-U.S. jurisdictions, the interpretation and application of recent U.S. tax legislation or other changes in U.S. or non-U.S. taxation of our operations;</w:t>
      </w:r>
    </w:p>
    <w:p>
      <w:pPr>
        <w:ind w:left="840" w:right="160" w:hanging="287"/>
        <w:spacing w:after="0" w:line="243"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ind w:left="820" w:hanging="2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around LIBOR and certain other interest “benchmarks.”</w:t>
      </w:r>
    </w:p>
    <w:p>
      <w:pPr>
        <w:spacing w:after="0" w:line="179"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You should carefully consider the above factors, as well as the factors discussed elsewhere in this Annual Report on Form 10-K, including under Item 1A, “Risk Factors” and elsewhere in this Annual Report on Form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41"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18"/>
          <w:szCs w:val="18"/>
          <w:color w:val="auto"/>
          <w:vertAlign w:val="superscript"/>
        </w:rPr>
        <w:t>®</w:t>
      </w:r>
      <w:r>
        <w:rPr>
          <w:rFonts w:ascii="Arial" w:cs="Arial" w:eastAsia="Arial" w:hAnsi="Arial"/>
          <w:sz w:val="14"/>
          <w:szCs w:val="14"/>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65 facilities worldwide, we have over 3,000 employees who are dedicated to safety and quality. We are a trusted partner to approximately 5,500 customers in over 50 countries.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Sotera Health Company was incorporated in Delaware in November 2017 as the parent company for Sterigenics, Nordion and Nelson Labs. We completed our initial public offering and listed our shares on the Nasdaq Global Select Market (“Nasdaq”) in November 2020 under the ticker symbol “SHC”.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Sterilization Services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sterilization services business is comprised of Sterigenics and Nordion.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Sterigenics</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their manufacturing sites or distribution hubs.</w:t>
      </w:r>
    </w:p>
    <w:p>
      <w:pPr>
        <w:spacing w:after="0" w:line="169"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personal protective equipment (“PPE”), laboratory products and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Sterilization Services</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sterilization technologies include: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334010</wp:posOffset>
            </wp:positionV>
            <wp:extent cx="4885690" cy="2946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5690" cy="294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We provide gamma irradiation services at 23 of our facilities, EO processing services at 17 of our facilities and electron beam (“E-beam”) irradiation services at eight of our facilities.</w:t>
      </w:r>
    </w:p>
    <w:p>
      <w:pPr>
        <w:spacing w:after="0" w:line="16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addition to the three major technologies, we invest in alternative modalities to serve our customers. X-ray irradiation is a process in which products such as medical devices and labware are 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NO2-based sterilization, which has been effective in the sterilization of prefilled syringes, drug-device combination products and custom implants.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Sterilization Applications</w:t>
      </w:r>
    </w:p>
    <w:p>
      <w:pPr>
        <w:spacing w:after="0" w:line="189"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141" w:lineRule="exact"/>
        <w:rPr>
          <w:sz w:val="20"/>
          <w:szCs w:val="20"/>
          <w:color w:val="auto"/>
        </w:rPr>
      </w:pPr>
    </w:p>
    <w:p>
      <w:pPr>
        <w:ind w:left="560" w:right="20" w:hanging="287"/>
        <w:spacing w:after="0" w:line="291" w:lineRule="auto"/>
        <w:tabs>
          <w:tab w:leader="none" w:pos="556" w:val="left"/>
        </w:tabs>
        <w:numPr>
          <w:ilvl w:val="0"/>
          <w:numId w:val="4"/>
        </w:numPr>
        <w:rPr>
          <w:rFonts w:ascii="Arial" w:cs="Arial" w:eastAsia="Arial" w:hAnsi="Arial"/>
          <w:sz w:val="14"/>
          <w:szCs w:val="14"/>
          <w:color w:val="auto"/>
        </w:rPr>
      </w:pPr>
      <w:r>
        <w:rPr>
          <w:rFonts w:ascii="Arial" w:cs="Arial" w:eastAsia="Arial" w:hAnsi="Arial"/>
          <w:sz w:val="14"/>
          <w:szCs w:val="14"/>
          <w:u w:val="single" w:color="auto"/>
          <w:color w:val="auto"/>
        </w:rPr>
        <w:t>Medical device sterilization</w:t>
      </w:r>
      <w:r>
        <w:rPr>
          <w:rFonts w:ascii="Arial" w:cs="Arial" w:eastAsia="Arial" w:hAnsi="Arial"/>
          <w:sz w:val="14"/>
          <w:szCs w:val="14"/>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49" w:lineRule="exact"/>
        <w:rPr>
          <w:rFonts w:ascii="Arial" w:cs="Arial" w:eastAsia="Arial" w:hAnsi="Arial"/>
          <w:sz w:val="14"/>
          <w:szCs w:val="14"/>
          <w:color w:val="auto"/>
        </w:rPr>
      </w:pPr>
    </w:p>
    <w:p>
      <w:pPr>
        <w:ind w:left="560" w:right="300"/>
        <w:spacing w:after="0" w:line="304" w:lineRule="auto"/>
        <w:rPr>
          <w:rFonts w:ascii="Arial" w:cs="Arial" w:eastAsia="Arial" w:hAnsi="Arial"/>
          <w:sz w:val="14"/>
          <w:szCs w:val="14"/>
          <w:color w:val="auto"/>
        </w:rPr>
      </w:pPr>
      <w:r>
        <w:rPr>
          <w:rFonts w:ascii="Arial" w:cs="Arial" w:eastAsia="Arial" w:hAnsi="Arial"/>
          <w:sz w:val="14"/>
          <w:szCs w:val="14"/>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and after the sterilization process to ensure and improve a product’s speed to market and compliance with regulatory requirements.</w:t>
      </w:r>
    </w:p>
    <w:p>
      <w:pPr>
        <w:spacing w:after="0" w:line="142" w:lineRule="exact"/>
        <w:rPr>
          <w:sz w:val="20"/>
          <w:szCs w:val="20"/>
          <w:color w:val="auto"/>
        </w:rPr>
      </w:pPr>
    </w:p>
    <w:p>
      <w:pPr>
        <w:jc w:val="both"/>
        <w:ind w:left="560" w:hanging="287"/>
        <w:spacing w:after="0" w:line="251"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Pharmaceuticals</w:t>
      </w:r>
      <w:r>
        <w:rPr>
          <w:rFonts w:ascii="Arial" w:cs="Arial" w:eastAsia="Arial" w:hAnsi="Arial"/>
          <w:sz w:val="16"/>
          <w:szCs w:val="16"/>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75" w:lineRule="exact"/>
        <w:rPr>
          <w:rFonts w:ascii="Arial" w:cs="Arial" w:eastAsia="Arial" w:hAnsi="Arial"/>
          <w:sz w:val="16"/>
          <w:szCs w:val="16"/>
          <w:color w:val="auto"/>
        </w:rPr>
      </w:pPr>
    </w:p>
    <w:p>
      <w:pPr>
        <w:ind w:left="560" w:right="20"/>
        <w:spacing w:after="0" w:line="291" w:lineRule="auto"/>
        <w:rPr>
          <w:rFonts w:ascii="Arial" w:cs="Arial" w:eastAsia="Arial" w:hAnsi="Arial"/>
          <w:sz w:val="16"/>
          <w:szCs w:val="16"/>
          <w:color w:val="auto"/>
        </w:rPr>
      </w:pPr>
      <w:r>
        <w:rPr>
          <w:rFonts w:ascii="Arial" w:cs="Arial" w:eastAsia="Arial" w:hAnsi="Arial"/>
          <w:sz w:val="14"/>
          <w:szCs w:val="14"/>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49" w:lineRule="exact"/>
        <w:rPr>
          <w:rFonts w:ascii="Arial" w:cs="Arial" w:eastAsia="Arial" w:hAnsi="Arial"/>
          <w:sz w:val="16"/>
          <w:szCs w:val="16"/>
          <w:color w:val="auto"/>
        </w:rPr>
      </w:pPr>
    </w:p>
    <w:p>
      <w:pPr>
        <w:ind w:left="560" w:right="20" w:hanging="287"/>
        <w:spacing w:after="0" w:line="286" w:lineRule="auto"/>
        <w:tabs>
          <w:tab w:leader="none" w:pos="556" w:val="left"/>
        </w:tabs>
        <w:numPr>
          <w:ilvl w:val="0"/>
          <w:numId w:val="5"/>
        </w:numPr>
        <w:rPr>
          <w:rFonts w:ascii="Arial" w:cs="Arial" w:eastAsia="Arial" w:hAnsi="Arial"/>
          <w:sz w:val="14"/>
          <w:szCs w:val="14"/>
          <w:color w:val="auto"/>
        </w:rPr>
      </w:pPr>
      <w:r>
        <w:rPr>
          <w:rFonts w:ascii="Arial" w:cs="Arial" w:eastAsia="Arial" w:hAnsi="Arial"/>
          <w:sz w:val="14"/>
          <w:szCs w:val="14"/>
          <w:u w:val="single" w:color="auto"/>
          <w:color w:val="auto"/>
        </w:rPr>
        <w:t>Food and agricultural products</w:t>
      </w:r>
      <w:r>
        <w:rPr>
          <w:rFonts w:ascii="Arial" w:cs="Arial" w:eastAsia="Arial" w:hAnsi="Arial"/>
          <w:sz w:val="14"/>
          <w:szCs w:val="14"/>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spacing w:after="0" w:line="102" w:lineRule="exact"/>
        <w:rPr>
          <w:rFonts w:ascii="Arial" w:cs="Arial" w:eastAsia="Arial" w:hAnsi="Arial"/>
          <w:sz w:val="14"/>
          <w:szCs w:val="14"/>
          <w:color w:val="auto"/>
        </w:rPr>
      </w:pPr>
    </w:p>
    <w:p>
      <w:pPr>
        <w:ind w:left="560" w:right="100" w:hanging="287"/>
        <w:spacing w:after="0" w:line="246"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Commercial, advanced and specialty applications</w:t>
      </w:r>
      <w:r>
        <w:rPr>
          <w:rFonts w:ascii="Arial" w:cs="Arial" w:eastAsia="Arial" w:hAnsi="Arial"/>
          <w:sz w:val="16"/>
          <w:szCs w:val="16"/>
          <w:color w:val="auto"/>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Sterigenics Customers</w:t>
      </w:r>
    </w:p>
    <w:p>
      <w:pPr>
        <w:spacing w:after="0" w:line="189"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Sterigenics serves approximately 2,800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69"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many products, our customers are required to include the specific facility used to validate a product’s listing in the Food and Drug Administration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In addition, Sterigenics has achieved high historical customer retention and renewal rates—Sterigenics has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our sterilization services revenues for the year ended December 31, 2021 were from customers under multi-year contracts.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Sterigenics Competition</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Sterigenics Suppliers</w:t>
      </w:r>
    </w:p>
    <w:p>
      <w:pPr>
        <w:spacing w:after="0" w:line="18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Sterigenics Facilities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2021.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replicate the facilities in our network alone could be as high as $1.5 billion or more, in addition to the technical and regulatory requirements.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4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Nordion</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Nordion is the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Co-60 is a radioactive isotope that emits gamma radiation that sterilizes items by killing contaminating micro-organisms. Gamma irradiation systems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74"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possible on the global scale at which it is used today. We are integral to our customers’ operations due to highly coordinated and complex installation processes.</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other similar applications. Today, Co-60 is a critical part of treatment for brain and other cancers because it is noninvasive, reliable, effective and safe to use.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Co-60 Production Process</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62"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storage and disposal of potentially hazardous materials, such as EO and Co-60, may result in accidents or liabilities that materially affect our results of operations. ”</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Nordion Products</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specialized containers, which Nordion uses to transport Co-60 to our customers.</w:t>
      </w:r>
    </w:p>
    <w:p>
      <w:pPr>
        <w:spacing w:after="0" w:line="172"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7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We have designed and built over 100 of the estimated 290 large scale irradiation systems active globally. Our installation, physics and engineering teams are comprised of highly trained professionals who provide fast and ongoing technical support from source installation to emergency response.</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Nuclear Reactor Operators</w:t>
      </w:r>
    </w:p>
    <w:p>
      <w:pPr>
        <w:spacing w:after="0" w:line="189"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Nordion currently has access to Co-60 supply at multiple nuclear reactors pursuant to multi-year contracts with three operators that cover 13 reactors at five generating stations, that extend to dates between 2024 and 2064, with our largest supplier under contract until 2064. See Item 1A, “Risk Factors—Risks Related to the Company—We depend on a limited number of counterparties that provide the materials and resources we need to operate our business.”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Argentina, China and India.</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in Pressurized Water Reactors. We believe this collaboration could further diversify our supply with reliable U.S. domestic partners and encourage the implementation of this patented technology at other reactors around the world.</w:t>
      </w:r>
    </w:p>
    <w:p>
      <w:pPr>
        <w:spacing w:after="0" w:line="17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We continue to evaluate opportunities to increase Co-60 production, including through partnerships with CANDU reactor operators in Canada and Romania that would involve investing in their reactor infrastructure to enable long-term production of Co-60.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also purchase Co-60 from regional suppliers in Argentina, China and India, and will continue to explore opportunities for supply in the global market.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Nordion Customers</w:t>
      </w:r>
    </w:p>
    <w:p>
      <w:pPr>
        <w:spacing w:after="0" w:line="18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72"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prohibit us from managing a pricing strategy across our Sterigenics and Nordion segments with regard to customers.</w:t>
      </w:r>
    </w:p>
    <w:p>
      <w:pPr>
        <w:spacing w:after="0" w:line="129"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We are a leading global supplier of HSA Co-60 used in oncology-related stereotactic radiosurgery devices, including the Gamma Knife</w:t>
      </w:r>
      <w:r>
        <w:rPr>
          <w:rFonts w:ascii="Arial" w:cs="Arial" w:eastAsia="Arial" w:hAnsi="Arial"/>
          <w:sz w:val="20"/>
          <w:szCs w:val="20"/>
          <w:color w:val="auto"/>
          <w:vertAlign w:val="superscript"/>
        </w:rPr>
        <w:t>®</w:t>
      </w:r>
      <w:r>
        <w:rPr>
          <w:rFonts w:ascii="Arial" w:cs="Arial" w:eastAsia="Arial" w:hAnsi="Arial"/>
          <w:sz w:val="16"/>
          <w:szCs w:val="16"/>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Nordion Competition</w:t>
      </w:r>
    </w:p>
    <w:p>
      <w:pPr>
        <w:spacing w:after="0" w:line="189"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modalities of sterilization, such as X-ray technology, that can sterilize similar products as gamma sterilization, which use electricity to generate radiation and therefore do not require Co-60 sources.</w:t>
      </w:r>
    </w:p>
    <w:p>
      <w:pPr>
        <w:spacing w:after="0" w:line="162"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Nordion’s main competitors in the HSA Co-60 industry include suppliers in China, Sweden and North America that have capability to produce medical Co-60. From 2017 to 2021, growth in our sale of medical Co-60 for the stereotactic radiosurgery device industry benefited from other competitors’ supply disruptions and lack of reliability.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Nordion Facilities</w:t>
      </w:r>
    </w:p>
    <w:p>
      <w:pPr>
        <w:spacing w:after="0" w:line="189"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Nordion’s operations are supported by a facility in Kanata, Canada dedicated to processing and shipping cobalt, as well as a European distribution facility in Milton,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Lab Testing and Advisory Services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Nelson Labs</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2"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149" w:lineRule="exact"/>
        <w:rPr>
          <w:sz w:val="20"/>
          <w:szCs w:val="20"/>
          <w:color w:val="auto"/>
        </w:rPr>
      </w:pPr>
    </w:p>
    <w:p>
      <w:pPr>
        <w:ind w:right="100"/>
        <w:spacing w:after="0" w:line="330" w:lineRule="auto"/>
        <w:rPr>
          <w:sz w:val="20"/>
          <w:szCs w:val="20"/>
          <w:color w:val="auto"/>
        </w:rPr>
      </w:pPr>
      <w:r>
        <w:rPr>
          <w:rFonts w:ascii="Arial" w:cs="Arial" w:eastAsia="Arial" w:hAnsi="Arial"/>
          <w:sz w:val="14"/>
          <w:szCs w:val="14"/>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17" w:lineRule="exact"/>
        <w:rPr>
          <w:sz w:val="20"/>
          <w:szCs w:val="20"/>
          <w:color w:val="auto"/>
        </w:rPr>
      </w:pPr>
    </w:p>
    <w:p>
      <w:pPr>
        <w:ind w:left="560" w:right="180" w:hanging="287"/>
        <w:spacing w:after="0" w:line="259"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Product Development and Validation</w:t>
      </w:r>
      <w:r>
        <w:rPr>
          <w:rFonts w:ascii="Arial" w:cs="Arial" w:eastAsia="Arial" w:hAnsi="Arial"/>
          <w:sz w:val="16"/>
          <w:szCs w:val="16"/>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68" w:lineRule="exact"/>
        <w:rPr>
          <w:sz w:val="20"/>
          <w:szCs w:val="20"/>
          <w:color w:val="auto"/>
        </w:rPr>
      </w:pPr>
    </w:p>
    <w:tbl>
      <w:tblPr>
        <w:tblLayout w:type="fixed"/>
        <w:tblInd w:w="480" w:type="dxa"/>
        <w:tblCellMar>
          <w:top w:w="0" w:type="dxa"/>
          <w:left w:w="0" w:type="dxa"/>
          <w:bottom w:w="0" w:type="dxa"/>
          <w:right w:w="0" w:type="dxa"/>
        </w:tblCellMar>
      </w:tblPr>
      <w:tr>
        <w:trPr>
          <w:trHeight w:val="198"/>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100"/>
              <w:spacing w:after="0"/>
              <w:rPr>
                <w:sz w:val="20"/>
                <w:szCs w:val="20"/>
                <w:color w:val="auto"/>
              </w:rPr>
            </w:pPr>
            <w:r>
              <w:rPr>
                <w:rFonts w:ascii="Arial" w:cs="Arial" w:eastAsia="Arial" w:hAnsi="Arial"/>
                <w:sz w:val="16"/>
                <w:szCs w:val="16"/>
                <w:color w:val="auto"/>
              </w:rPr>
              <w:t>Product design</w:t>
            </w:r>
          </w:p>
        </w:tc>
        <w:tc>
          <w:tcPr>
            <w:tcW w:w="62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 xml:space="preserve">◦  </w:t>
            </w:r>
            <w:r>
              <w:rPr>
                <w:rFonts w:ascii="Arial" w:cs="Arial" w:eastAsia="Arial" w:hAnsi="Arial"/>
                <w:sz w:val="16"/>
                <w:szCs w:val="16"/>
                <w:color w:val="auto"/>
              </w:rPr>
              <w:t>Cleaning and disinfection validation (for reusable devices)</w:t>
            </w:r>
          </w:p>
        </w:tc>
      </w:tr>
      <w:tr>
        <w:trPr>
          <w:trHeight w:val="198"/>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80"/>
              <w:spacing w:after="0"/>
              <w:rPr>
                <w:sz w:val="20"/>
                <w:szCs w:val="20"/>
                <w:color w:val="auto"/>
              </w:rPr>
            </w:pPr>
            <w:r>
              <w:rPr>
                <w:rFonts w:ascii="Arial" w:cs="Arial" w:eastAsia="Arial" w:hAnsi="Arial"/>
                <w:sz w:val="16"/>
                <w:szCs w:val="16"/>
                <w:color w:val="auto"/>
              </w:rPr>
              <w:t>Material selection</w:t>
            </w:r>
          </w:p>
        </w:tc>
        <w:tc>
          <w:tcPr>
            <w:tcW w:w="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5700" w:type="dxa"/>
            <w:vAlign w:val="bottom"/>
          </w:tcPr>
          <w:p>
            <w:pPr>
              <w:ind w:left="100"/>
              <w:spacing w:after="0"/>
              <w:rPr>
                <w:sz w:val="20"/>
                <w:szCs w:val="20"/>
                <w:color w:val="auto"/>
              </w:rPr>
            </w:pPr>
            <w:r>
              <w:rPr>
                <w:rFonts w:ascii="Arial" w:cs="Arial" w:eastAsia="Arial" w:hAnsi="Arial"/>
                <w:sz w:val="16"/>
                <w:szCs w:val="16"/>
                <w:color w:val="auto"/>
              </w:rPr>
              <w:t>Package barrier properties</w:t>
            </w:r>
          </w:p>
        </w:tc>
      </w:tr>
      <w:tr>
        <w:trPr>
          <w:trHeight w:val="198"/>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80"/>
              <w:spacing w:after="0"/>
              <w:rPr>
                <w:sz w:val="20"/>
                <w:szCs w:val="20"/>
                <w:color w:val="auto"/>
              </w:rPr>
            </w:pPr>
            <w:r>
              <w:rPr>
                <w:rFonts w:ascii="Arial" w:cs="Arial" w:eastAsia="Arial" w:hAnsi="Arial"/>
                <w:sz w:val="16"/>
                <w:szCs w:val="16"/>
                <w:color w:val="auto"/>
              </w:rPr>
              <w:t>Biological safety evaluation</w:t>
            </w:r>
          </w:p>
        </w:tc>
        <w:tc>
          <w:tcPr>
            <w:tcW w:w="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5700" w:type="dxa"/>
            <w:vAlign w:val="bottom"/>
          </w:tcPr>
          <w:p>
            <w:pPr>
              <w:ind w:left="100"/>
              <w:spacing w:after="0"/>
              <w:rPr>
                <w:sz w:val="20"/>
                <w:szCs w:val="20"/>
                <w:color w:val="auto"/>
              </w:rPr>
            </w:pPr>
            <w:r>
              <w:rPr>
                <w:rFonts w:ascii="Arial" w:cs="Arial" w:eastAsia="Arial" w:hAnsi="Arial"/>
                <w:sz w:val="16"/>
                <w:szCs w:val="16"/>
                <w:color w:val="auto"/>
              </w:rPr>
              <w:t>Distribution simulation</w:t>
            </w:r>
          </w:p>
        </w:tc>
      </w:tr>
      <w:tr>
        <w:trPr>
          <w:trHeight w:val="198"/>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80"/>
              <w:spacing w:after="0"/>
              <w:rPr>
                <w:sz w:val="20"/>
                <w:szCs w:val="20"/>
                <w:color w:val="auto"/>
              </w:rPr>
            </w:pPr>
            <w:r>
              <w:rPr>
                <w:rFonts w:ascii="Arial" w:cs="Arial" w:eastAsia="Arial" w:hAnsi="Arial"/>
                <w:sz w:val="16"/>
                <w:szCs w:val="16"/>
                <w:color w:val="auto"/>
              </w:rPr>
              <w:t>Toxicological risk assessment</w:t>
            </w:r>
          </w:p>
        </w:tc>
        <w:tc>
          <w:tcPr>
            <w:tcW w:w="620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0"/>
              </w:rPr>
              <w:t xml:space="preserve">◦  </w:t>
            </w:r>
            <w:r>
              <w:rPr>
                <w:rFonts w:ascii="Arial" w:cs="Arial" w:eastAsia="Arial" w:hAnsi="Arial"/>
                <w:sz w:val="16"/>
                <w:szCs w:val="16"/>
                <w:color w:val="auto"/>
                <w:w w:val="90"/>
              </w:rPr>
              <w:t>Filtration efficiency and physical functionality of PPE (including surgical facemasks, N95</w:t>
            </w:r>
          </w:p>
        </w:tc>
      </w:tr>
      <w:tr>
        <w:trPr>
          <w:trHeight w:val="198"/>
        </w:trPr>
        <w:tc>
          <w:tcPr>
            <w:tcW w:w="4240" w:type="dxa"/>
            <w:vAlign w:val="bottom"/>
            <w:gridSpan w:val="2"/>
          </w:tcPr>
          <w:p>
            <w:pPr>
              <w:spacing w:after="0"/>
              <w:rPr>
                <w:sz w:val="20"/>
                <w:szCs w:val="20"/>
                <w:color w:val="auto"/>
              </w:rPr>
            </w:pPr>
            <w:r>
              <w:rPr>
                <w:rFonts w:ascii="Courier New" w:cs="Courier New" w:eastAsia="Courier New" w:hAnsi="Courier New"/>
                <w:sz w:val="16"/>
                <w:szCs w:val="16"/>
                <w:color w:val="auto"/>
                <w:w w:val="97"/>
              </w:rPr>
              <w:t xml:space="preserve">◦  </w:t>
            </w:r>
            <w:r>
              <w:rPr>
                <w:rFonts w:ascii="Arial" w:cs="Arial" w:eastAsia="Arial" w:hAnsi="Arial"/>
                <w:sz w:val="16"/>
                <w:szCs w:val="16"/>
                <w:color w:val="auto"/>
                <w:w w:val="97"/>
              </w:rPr>
              <w:t>Sterilization modality selection and sterilization validation</w:t>
            </w:r>
          </w:p>
        </w:tc>
        <w:tc>
          <w:tcPr>
            <w:tcW w:w="500" w:type="dxa"/>
            <w:vAlign w:val="bottom"/>
          </w:tcPr>
          <w:p>
            <w:pPr>
              <w:spacing w:after="0"/>
              <w:rPr>
                <w:sz w:val="17"/>
                <w:szCs w:val="17"/>
                <w:color w:val="auto"/>
              </w:rPr>
            </w:pPr>
          </w:p>
        </w:tc>
        <w:tc>
          <w:tcPr>
            <w:tcW w:w="5700" w:type="dxa"/>
            <w:vAlign w:val="bottom"/>
          </w:tcPr>
          <w:p>
            <w:pPr>
              <w:ind w:left="100"/>
              <w:spacing w:after="0"/>
              <w:rPr>
                <w:sz w:val="20"/>
                <w:szCs w:val="20"/>
                <w:color w:val="auto"/>
              </w:rPr>
            </w:pPr>
            <w:r>
              <w:rPr>
                <w:rFonts w:ascii="Arial" w:cs="Arial" w:eastAsia="Arial" w:hAnsi="Arial"/>
                <w:sz w:val="16"/>
                <w:szCs w:val="16"/>
                <w:color w:val="auto"/>
              </w:rPr>
              <w:t>respirators, gowns, drapes and other PPE)</w:t>
            </w:r>
          </w:p>
        </w:tc>
      </w:tr>
    </w:tbl>
    <w:p>
      <w:pPr>
        <w:spacing w:after="0" w:line="212" w:lineRule="exact"/>
        <w:rPr>
          <w:sz w:val="20"/>
          <w:szCs w:val="20"/>
          <w:color w:val="auto"/>
        </w:rPr>
      </w:pPr>
    </w:p>
    <w:p>
      <w:pPr>
        <w:ind w:left="560" w:right="360"/>
        <w:spacing w:after="0" w:line="259" w:lineRule="auto"/>
        <w:rPr>
          <w:sz w:val="20"/>
          <w:szCs w:val="20"/>
          <w:color w:val="auto"/>
        </w:rPr>
      </w:pPr>
      <w:r>
        <w:rPr>
          <w:rFonts w:ascii="Arial" w:cs="Arial" w:eastAsia="Arial" w:hAnsi="Arial"/>
          <w:sz w:val="16"/>
          <w:szCs w:val="16"/>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hanging="287"/>
        <w:spacing w:after="0" w:line="251"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Expert Advisory</w:t>
      </w:r>
      <w:r>
        <w:rPr>
          <w:rFonts w:ascii="Arial" w:cs="Arial" w:eastAsia="Arial" w:hAnsi="Arial"/>
          <w:sz w:val="16"/>
          <w:szCs w:val="16"/>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76"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840" w:type="dxa"/>
            <w:vAlign w:val="bottom"/>
          </w:tcPr>
          <w:p>
            <w:pPr>
              <w:ind w:left="80"/>
              <w:spacing w:after="0"/>
              <w:rPr>
                <w:sz w:val="20"/>
                <w:szCs w:val="20"/>
                <w:color w:val="auto"/>
              </w:rPr>
            </w:pPr>
            <w:r>
              <w:rPr>
                <w:rFonts w:ascii="Arial" w:cs="Arial" w:eastAsia="Arial" w:hAnsi="Arial"/>
                <w:sz w:val="16"/>
                <w:szCs w:val="16"/>
                <w:color w:val="auto"/>
              </w:rPr>
              <w:t>Study design</w:t>
            </w:r>
          </w:p>
        </w:tc>
        <w:tc>
          <w:tcPr>
            <w:tcW w:w="7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100"/>
              <w:spacing w:after="0"/>
              <w:rPr>
                <w:sz w:val="20"/>
                <w:szCs w:val="20"/>
                <w:color w:val="auto"/>
              </w:rPr>
            </w:pPr>
            <w:r>
              <w:rPr>
                <w:rFonts w:ascii="Arial" w:cs="Arial" w:eastAsia="Arial" w:hAnsi="Arial"/>
                <w:sz w:val="16"/>
                <w:szCs w:val="16"/>
                <w:color w:val="auto"/>
              </w:rPr>
              <w:t>Technical troubleshooting and scientific problem solving</w:t>
            </w:r>
          </w:p>
        </w:tc>
      </w:tr>
      <w:tr>
        <w:trPr>
          <w:trHeight w:val="198"/>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 xml:space="preserve">◦  </w:t>
            </w:r>
            <w:r>
              <w:rPr>
                <w:rFonts w:ascii="Arial" w:cs="Arial" w:eastAsia="Arial" w:hAnsi="Arial"/>
                <w:sz w:val="16"/>
                <w:szCs w:val="16"/>
                <w:color w:val="auto"/>
              </w:rPr>
              <w:t>Development and justification of acceptance criteria</w:t>
            </w:r>
          </w:p>
        </w:tc>
        <w:tc>
          <w:tcPr>
            <w:tcW w:w="7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100"/>
              <w:spacing w:after="0"/>
              <w:rPr>
                <w:sz w:val="20"/>
                <w:szCs w:val="20"/>
                <w:color w:val="auto"/>
              </w:rPr>
            </w:pPr>
            <w:r>
              <w:rPr>
                <w:rFonts w:ascii="Arial" w:cs="Arial" w:eastAsia="Arial" w:hAnsi="Arial"/>
                <w:sz w:val="16"/>
                <w:szCs w:val="16"/>
                <w:color w:val="auto"/>
                <w:w w:val="88"/>
              </w:rPr>
              <w:t>Regulatory compliance related services, including supporting clients through the regulatory</w:t>
            </w:r>
          </w:p>
        </w:tc>
      </w:tr>
      <w:tr>
        <w:trPr>
          <w:trHeight w:val="198"/>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840" w:type="dxa"/>
            <w:vAlign w:val="bottom"/>
          </w:tcPr>
          <w:p>
            <w:pPr>
              <w:ind w:left="80"/>
              <w:spacing w:after="0"/>
              <w:rPr>
                <w:sz w:val="20"/>
                <w:szCs w:val="20"/>
                <w:color w:val="auto"/>
              </w:rPr>
            </w:pPr>
            <w:r>
              <w:rPr>
                <w:rFonts w:ascii="Arial" w:cs="Arial" w:eastAsia="Arial" w:hAnsi="Arial"/>
                <w:sz w:val="16"/>
                <w:szCs w:val="16"/>
                <w:color w:val="auto"/>
              </w:rPr>
              <w:t>Onsite facility evaluation and validations</w:t>
            </w:r>
          </w:p>
        </w:tc>
        <w:tc>
          <w:tcPr>
            <w:tcW w:w="700" w:type="dxa"/>
            <w:vAlign w:val="bottom"/>
          </w:tcPr>
          <w:p>
            <w:pPr>
              <w:spacing w:after="0"/>
              <w:rPr>
                <w:sz w:val="17"/>
                <w:szCs w:val="17"/>
                <w:color w:val="auto"/>
              </w:rPr>
            </w:pPr>
          </w:p>
        </w:tc>
        <w:tc>
          <w:tcPr>
            <w:tcW w:w="5800" w:type="dxa"/>
            <w:vAlign w:val="bottom"/>
          </w:tcPr>
          <w:p>
            <w:pPr>
              <w:ind w:left="100"/>
              <w:spacing w:after="0"/>
              <w:rPr>
                <w:sz w:val="20"/>
                <w:szCs w:val="20"/>
                <w:color w:val="auto"/>
              </w:rPr>
            </w:pPr>
            <w:r>
              <w:rPr>
                <w:rFonts w:ascii="Arial" w:cs="Arial" w:eastAsia="Arial" w:hAnsi="Arial"/>
                <w:sz w:val="16"/>
                <w:szCs w:val="16"/>
                <w:color w:val="auto"/>
              </w:rPr>
              <w:t>submission process</w:t>
            </w:r>
          </w:p>
        </w:tc>
      </w:tr>
    </w:tbl>
    <w:p>
      <w:pPr>
        <w:spacing w:after="0" w:line="212" w:lineRule="exact"/>
        <w:rPr>
          <w:sz w:val="20"/>
          <w:szCs w:val="20"/>
          <w:color w:val="auto"/>
        </w:rPr>
      </w:pPr>
    </w:p>
    <w:p>
      <w:pPr>
        <w:ind w:left="560" w:right="160"/>
        <w:spacing w:after="0" w:line="337" w:lineRule="auto"/>
        <w:rPr>
          <w:sz w:val="20"/>
          <w:szCs w:val="20"/>
          <w:color w:val="auto"/>
        </w:rPr>
      </w:pPr>
      <w:r>
        <w:rPr>
          <w:rFonts w:ascii="Arial" w:cs="Arial" w:eastAsia="Arial" w:hAnsi="Arial"/>
          <w:sz w:val="13"/>
          <w:szCs w:val="13"/>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116" w:lineRule="exact"/>
        <w:rPr>
          <w:sz w:val="20"/>
          <w:szCs w:val="20"/>
          <w:color w:val="auto"/>
        </w:rPr>
      </w:pPr>
    </w:p>
    <w:p>
      <w:pPr>
        <w:ind w:left="560" w:right="40" w:hanging="287"/>
        <w:spacing w:after="0" w:line="246"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Routine Sterility and Quality Control Testing</w:t>
      </w:r>
      <w:r>
        <w:rPr>
          <w:rFonts w:ascii="Arial" w:cs="Arial" w:eastAsia="Arial" w:hAnsi="Arial"/>
          <w:sz w:val="16"/>
          <w:szCs w:val="16"/>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-635</wp:posOffset>
            </wp:positionV>
            <wp:extent cx="5063490" cy="3213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63490" cy="321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15 years, we have developed a proprietary, world-class compound database with over 8,000 known elements which enables our extractables and leachables testing. This database allows us to provide analytical data that differentiates our capabilities from our competitors.</w:t>
      </w:r>
    </w:p>
    <w:p>
      <w:pPr>
        <w:spacing w:after="0" w:line="151"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Nelson Labs Customers</w:t>
      </w:r>
    </w:p>
    <w:p>
      <w:pPr>
        <w:spacing w:after="0" w:line="189"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During the year ended December 31, 2021, Nelson Labs served approximately 3,500 customers, including many leading medical device manufacturers and pharmaceutical companies. We have recurring and stable customer relationships and benefit from minimal customer concentration. The quantity of customers served in the year ended December 31, 2021 decreased from the prior year primarily due to the decline in short-term customers with one-time requirements related to the COVID-19 pandemic.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customer service team.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Nelson Labs Competition</w:t>
      </w:r>
    </w:p>
    <w:p>
      <w:pPr>
        <w:spacing w:after="0" w:line="189"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Nelson Labs Suppliers</w:t>
      </w:r>
    </w:p>
    <w:p>
      <w:pPr>
        <w:spacing w:after="0" w:line="189" w:lineRule="exact"/>
        <w:rPr>
          <w:sz w:val="20"/>
          <w:szCs w:val="20"/>
          <w:color w:val="auto"/>
        </w:rPr>
      </w:pPr>
    </w:p>
    <w:p>
      <w:pPr>
        <w:ind w:right="320"/>
        <w:spacing w:after="0" w:line="330" w:lineRule="auto"/>
        <w:rPr>
          <w:sz w:val="20"/>
          <w:szCs w:val="20"/>
          <w:color w:val="auto"/>
        </w:rPr>
      </w:pPr>
      <w:r>
        <w:rPr>
          <w:rFonts w:ascii="Arial" w:cs="Arial" w:eastAsia="Arial" w:hAnsi="Arial"/>
          <w:sz w:val="14"/>
          <w:szCs w:val="14"/>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Nelson Labs Facilities</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operate from a five building campus in Salt Lake City, Utah, with 85 laboratories including metrology, training, media prep labs, five ISO Class V certified clean rooms and customizable lab spaces. We also have facilities in Fairfield, New Jersey; Itasca, Illinois; Leuven, Belgium; Bozeman, Montana; Pleasant Prairie, Wisconsin; Wiesbaden, Germany, and seven other laboratories embedded in our Sterigenics sterilization facilities in North America, Europe and Asia.</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Nelson Labs Recent Acquisitions</w:t>
      </w:r>
    </w:p>
    <w:p>
      <w:pPr>
        <w:spacing w:after="0" w:line="17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On March 8, 2021, we acquired BioScience Laboratories, LLC (“BioScience”) with one location in Bozeman, Montana. BioScience is a provider of outsourced topical antimicrobial product testing in the pharmaceutical, medical device, and consumer industries. BioScience’s expertise in analytical testing and clinical trial services will complement Nelson Labs’ existing strengths in antimicrobial and virology testing.</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will expand and further strengthen the technical consulting and expert advisory services capabilities of Nelson Labs.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5"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41"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95"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As of December 31, 2021, we employed over 3,000 employees worldwide. None of our U.S. employees are represented by unions. There are employees outside of the United States that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are driven to fulfill our customers’ needs with highest quality and care to enable their success.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 and Environmental Matters</w:t>
      </w:r>
    </w:p>
    <w:p>
      <w:pPr>
        <w:spacing w:after="0" w:line="195"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(the “NRC”) and other agencies also require that equipment used at our facilities be designed and operated in a manner that is safe and with proper safety precautions and practices when handling, monitoring and storing EO and Co-60.</w:t>
      </w:r>
    </w:p>
    <w:p>
      <w:pPr>
        <w:spacing w:after="0" w:line="147"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41"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For additional information, please see Item 1A,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Item 3, “Legal Proceedings.”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EO Regulatory Overview</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(“USEPA”) under the Federal Insecticide, Fungicide and Rodenticide Act (“FIFRA”) and the Clean Air Act (“CAA”). In addition, FDA regulations dictate the acceptable amount of EO residue on different types of EO-processed products. Most other countries in which we operate have similar EH&amp;S and worker exposure regulations.</w:t>
      </w:r>
    </w:p>
    <w:p>
      <w:pPr>
        <w:spacing w:after="0" w:line="14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will likely require enhancements to the processes and equipment for use of EO as a medical device sterilant. The USEPA is also expected to propose updated National Emission Standards for Hazardous Air Pollutants (“NESHAP”) air emission regulations for EO commercial sterilization facilities, which have not yet been published and with which sterilization facilities like ours will be required to comply. In certain U.S. states, including California, additional regulatory requirements and obligations exist,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including requirements for the provision of notices regarding the release of or exposure to certain listed substances, including EO and radioactive sources. Bills have been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For 2022 we expect capital expenditures of approximately $30.0 million related to environmental facility enhancements across all facilities within our business, and we anticipate similar investments in subsequent years.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Gamma Irradiation Regulatory Overview</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as well as a license to export radioactive material from the United States to Canada. The NRC recently implemented new security requirements for our U.S. gamma facilities.</w:t>
      </w:r>
    </w:p>
    <w:p>
      <w:pPr>
        <w:spacing w:after="0" w:line="143" w:lineRule="exact"/>
        <w:rPr>
          <w:sz w:val="20"/>
          <w:szCs w:val="20"/>
          <w:color w:val="auto"/>
        </w:rPr>
      </w:pPr>
    </w:p>
    <w:p>
      <w:pPr>
        <w:ind w:right="180"/>
        <w:spacing w:after="0" w:line="304" w:lineRule="auto"/>
        <w:rPr>
          <w:sz w:val="20"/>
          <w:szCs w:val="20"/>
          <w:color w:val="auto"/>
        </w:rPr>
      </w:pPr>
      <w:r>
        <w:rPr>
          <w:rFonts w:ascii="Arial" w:cs="Arial" w:eastAsia="Arial" w:hAnsi="Arial"/>
          <w:sz w:val="14"/>
          <w:szCs w:val="14"/>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3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E-beam and X-ray Irradiation Regulatory Overview</w:t>
      </w:r>
    </w:p>
    <w:p>
      <w:pPr>
        <w:spacing w:after="0" w:line="189"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Outside of the United States, accelerator regulations are similar among various nations. These regulations are based on the IAEA standards and ICRP recommendations, much like those for gamma irradiators.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5"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 xml:space="preserve">Our Annual Report, quarterly reports on Form 10-Q, current reports on Form 8-K and amendments to those reports filed or furnished pursuant to Section 13(a) or 15(d) of the Securities Exchange Act of 1934, as amended, are made available free of charge through the Investor Relations page of our internet website at </w:t>
      </w:r>
      <w:r>
        <w:rPr>
          <w:rFonts w:ascii="Arial" w:cs="Arial" w:eastAsia="Arial" w:hAnsi="Arial"/>
          <w:sz w:val="14"/>
          <w:szCs w:val="14"/>
          <w:u w:val="single" w:color="auto"/>
          <w:color w:val="auto"/>
        </w:rPr>
        <w:t>www.investors.soterahealth.com</w:t>
      </w:r>
      <w:r>
        <w:rPr>
          <w:rFonts w:ascii="Arial" w:cs="Arial" w:eastAsia="Arial" w:hAnsi="Arial"/>
          <w:sz w:val="14"/>
          <w:szCs w:val="14"/>
          <w:color w:val="auto"/>
        </w:rPr>
        <w:t xml:space="preserve">, as soon as reasonably practicable after such documents are electronically filed with, or furnished to, the Securities and Exchange Commission (“SEC”). The SEC maintains an Internet site, </w:t>
      </w:r>
      <w:r>
        <w:rPr>
          <w:rFonts w:ascii="Arial" w:cs="Arial" w:eastAsia="Arial" w:hAnsi="Arial"/>
          <w:sz w:val="14"/>
          <w:szCs w:val="14"/>
          <w:u w:val="single" w:color="auto"/>
          <w:color w:val="auto"/>
        </w:rPr>
        <w:t>www.sec.gov</w:t>
      </w:r>
      <w:r>
        <w:rPr>
          <w:rFonts w:ascii="Arial" w:cs="Arial" w:eastAsia="Arial" w:hAnsi="Arial"/>
          <w:sz w:val="14"/>
          <w:szCs w:val="14"/>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5"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We describe below certain risks that could adversely affect our business, prospects, financial condition or results of operations. These risk factors may change from time to time and may be amended, supplemented or superseded by updates to the risk factors contained in our future periodic reports on Form 10-Q and reports on other forms we file with the SEC. All forward-looking statements about our future results of operations or other matters made by us in this Annual Report as well as our consolidated financial statements and notes, and in our subsequently filed reports to the SEC, as well as in our press releases and other public communications, are qualified by the risks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Factor Summary</w:t>
      </w:r>
    </w:p>
    <w:p>
      <w:pPr>
        <w:spacing w:after="0" w:line="18"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Our business operations are subject to numerous risks, factors and uncertainties, including those outside of our control, that could cause our actual results to be harmed, including risks regarding the following:</w:t>
      </w:r>
    </w:p>
    <w:p>
      <w:pPr>
        <w:spacing w:after="0" w:line="79" w:lineRule="exact"/>
        <w:rPr>
          <w:sz w:val="20"/>
          <w:szCs w:val="20"/>
          <w:color w:val="auto"/>
        </w:rPr>
      </w:pPr>
    </w:p>
    <w:p>
      <w:pPr>
        <w:ind w:left="560" w:right="20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disruption in the availability of, or increases in the price of, EO, Co-60 or our other direct materials, services and supplies, including as a result of geopolitical instability arising from U.S., Canadian and European Union relations with Russia and related sanctions;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industry trends, environmental, health and safety regulations or preferences, and general economic, social and business conditions;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95" w:lineRule="exact"/>
        <w:rPr>
          <w:rFonts w:ascii="Arial" w:cs="Arial" w:eastAsia="Arial" w:hAnsi="Arial"/>
          <w:sz w:val="16"/>
          <w:szCs w:val="16"/>
          <w:color w:val="auto"/>
        </w:rPr>
      </w:pPr>
    </w:p>
    <w:p>
      <w:pPr>
        <w:ind w:left="560" w:hanging="287"/>
        <w:spacing w:after="0" w:line="295" w:lineRule="auto"/>
        <w:tabs>
          <w:tab w:leader="none" w:pos="55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and outcome of current and future legal proceedings and liability claims, including lawsuits alleging personal injury, property devaluation and other injuries by purported exposure to emissions of EO from our facilities in Willowbrook, Atlanta and Santa Teresa, and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 and our insurance for future alleged environmental liabilities excludes coverage for EO claims;</w:t>
      </w:r>
    </w:p>
    <w:p>
      <w:pPr>
        <w:spacing w:after="0" w:line="47" w:lineRule="exact"/>
        <w:rPr>
          <w:rFonts w:ascii="Arial" w:cs="Arial" w:eastAsia="Arial" w:hAnsi="Arial"/>
          <w:sz w:val="14"/>
          <w:szCs w:val="14"/>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we face;</w:t>
      </w:r>
    </w:p>
    <w:p>
      <w:pPr>
        <w:spacing w:after="0" w:line="95" w:lineRule="exact"/>
        <w:rPr>
          <w:rFonts w:ascii="Arial" w:cs="Arial" w:eastAsia="Arial" w:hAnsi="Arial"/>
          <w:sz w:val="16"/>
          <w:szCs w:val="16"/>
          <w:color w:val="auto"/>
        </w:rPr>
      </w:pPr>
    </w:p>
    <w:p>
      <w:pPr>
        <w:ind w:left="560" w:right="12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changes, including inflationary trends in input costs such as labor, raw materials and energy, that impact our long-term supply contracts with variable price clauses and increase our cost of revenues;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allegations of our failure to properly perform our services and any potential product liability claims, recalls, penalties and reputational harm;</w:t>
      </w:r>
    </w:p>
    <w:p>
      <w:pPr>
        <w:spacing w:after="0" w:line="95" w:lineRule="exact"/>
        <w:rPr>
          <w:rFonts w:ascii="Arial" w:cs="Arial" w:eastAsia="Arial" w:hAnsi="Arial"/>
          <w:sz w:val="16"/>
          <w:szCs w:val="16"/>
          <w:color w:val="auto"/>
        </w:rPr>
      </w:pPr>
    </w:p>
    <w:p>
      <w:pPr>
        <w:ind w:left="560" w:right="54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compliance with the extensive regulatory requirements to which we are subject and the related costs, and any failures to receive or maintain, or delays in receiving, required clearance or approvals;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business continuity hazards, including supply chain disruptions and other risks associated with our operations;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ongoing impact of the COVID-19 pandemic;</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increase capacity at existing facilities, build new facilities in a timely and cost-effective manner and renew leases for our facilities;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95" w:lineRule="exact"/>
        <w:rPr>
          <w:rFonts w:ascii="Arial" w:cs="Arial" w:eastAsia="Arial" w:hAnsi="Arial"/>
          <w:sz w:val="16"/>
          <w:szCs w:val="16"/>
          <w:color w:val="auto"/>
        </w:rPr>
      </w:pPr>
    </w:p>
    <w:p>
      <w:pPr>
        <w:ind w:left="560" w:right="8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risks of doing business internationally, including global and regional economic and political instability and compliance with numerous laws and regulations in multiple jurisdictions;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cyber security breaches, unauthorized data disclosures, and our dependence on information technology systems;</w:t>
      </w:r>
    </w:p>
    <w:p>
      <w:pPr>
        <w:spacing w:after="0" w:line="95" w:lineRule="exact"/>
        <w:rPr>
          <w:rFonts w:ascii="Arial" w:cs="Arial" w:eastAsia="Arial" w:hAnsi="Arial"/>
          <w:sz w:val="16"/>
          <w:szCs w:val="16"/>
          <w:color w:val="auto"/>
        </w:rPr>
      </w:pPr>
    </w:p>
    <w:p>
      <w:pPr>
        <w:ind w:left="560" w:right="20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controls over financial reporting;</w:t>
      </w:r>
    </w:p>
    <w:p>
      <w:pPr>
        <w:spacing w:after="0" w:line="95" w:lineRule="exact"/>
        <w:rPr>
          <w:rFonts w:ascii="Arial" w:cs="Arial" w:eastAsia="Arial" w:hAnsi="Arial"/>
          <w:sz w:val="16"/>
          <w:szCs w:val="16"/>
          <w:color w:val="auto"/>
        </w:rPr>
      </w:pPr>
    </w:p>
    <w:p>
      <w:pPr>
        <w:ind w:left="560" w:right="440" w:hanging="287"/>
        <w:spacing w:after="0" w:line="25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reliance on intellectual property to maintain our competitive position and the risk of claims from third parties that we infringe or misappropriate their intellectual property rights;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comply with rapidly evolving data privacy and security laws and regulations and any ineffective compliance efforts with such laws and regulations;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left="560" w:right="220" w:hanging="287"/>
        <w:spacing w:after="0" w:line="259"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history of net operating losses, including a net loss attributable to Sotera Health Company of $38.6 million and $20.9 million for the years ended December 31, 2020 and 2019, and the risk that we may not maintain profitability in the future;</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effects of unionization efforts and labor regulations in certain countries in which we operate;</w:t>
      </w:r>
    </w:p>
    <w:p>
      <w:pPr>
        <w:spacing w:after="0" w:line="95" w:lineRule="exact"/>
        <w:rPr>
          <w:rFonts w:ascii="Arial" w:cs="Arial" w:eastAsia="Arial" w:hAnsi="Arial"/>
          <w:sz w:val="16"/>
          <w:szCs w:val="16"/>
          <w:color w:val="auto"/>
        </w:rPr>
      </w:pPr>
    </w:p>
    <w:p>
      <w:pPr>
        <w:jc w:val="both"/>
        <w:ind w:left="560" w:right="20" w:hanging="287"/>
        <w:spacing w:after="0" w:line="295" w:lineRule="auto"/>
        <w:tabs>
          <w:tab w:leader="none" w:pos="5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December 31, 2021, our indebtedness totaled approximately $1,763.6 million, and our debt service obligations (principal and interest) represented approximately 17% of our net cash flows from operating activities (before giving effect to the payment of interest);</w:t>
      </w:r>
    </w:p>
    <w:p>
      <w:pPr>
        <w:spacing w:after="0" w:line="47" w:lineRule="exact"/>
        <w:rPr>
          <w:rFonts w:ascii="Arial" w:cs="Arial" w:eastAsia="Arial" w:hAnsi="Arial"/>
          <w:sz w:val="14"/>
          <w:szCs w:val="14"/>
          <w:color w:val="auto"/>
        </w:rPr>
      </w:pPr>
    </w:p>
    <w:p>
      <w:pPr>
        <w:ind w:left="540" w:hanging="267"/>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impairment charges on our goodwill and other intangible assets with indefinite lives, as well as other long-lived assets and intangible assets with definite lives;</w:t>
      </w:r>
    </w:p>
    <w:p>
      <w:pPr>
        <w:spacing w:after="0" w:line="118" w:lineRule="exact"/>
        <w:rPr>
          <w:rFonts w:ascii="Arial" w:cs="Arial" w:eastAsia="Arial" w:hAnsi="Arial"/>
          <w:sz w:val="14"/>
          <w:szCs w:val="14"/>
          <w:color w:val="auto"/>
        </w:rPr>
      </w:pPr>
    </w:p>
    <w:p>
      <w:pPr>
        <w:ind w:left="560" w:right="160" w:hanging="287"/>
        <w:spacing w:after="0" w:line="259"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adverse changes to our tax positions in U.S. or non-U.S. jurisdictions, the interpretation and application of recent U.S. tax legislation or other changes in U.S. or non-U.S. taxation of our operations;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associated with the uncertainty of LIBOR and other interest “benchmarks” which affect our debt finance instruments;</w:t>
      </w:r>
    </w:p>
    <w:p>
      <w:pPr>
        <w:spacing w:after="0" w:line="95" w:lineRule="exact"/>
        <w:rPr>
          <w:rFonts w:ascii="Arial" w:cs="Arial" w:eastAsia="Arial" w:hAnsi="Arial"/>
          <w:sz w:val="16"/>
          <w:szCs w:val="16"/>
          <w:color w:val="auto"/>
        </w:rPr>
      </w:pPr>
    </w:p>
    <w:p>
      <w:pPr>
        <w:ind w:left="560" w:right="100" w:hanging="287"/>
        <w:spacing w:after="0" w:line="259"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investment funds and entities affiliated with Warburg Pincus and GTCR, which we refer to collectively as the “Sponsors,” continue to have substantial control over us, which could limit stockholders’ ability to influence the outcome of key transactions, including a change of control; and,</w:t>
      </w:r>
    </w:p>
    <w:p>
      <w:pPr>
        <w:spacing w:after="0" w:line="69" w:lineRule="exact"/>
        <w:rPr>
          <w:rFonts w:ascii="Arial" w:cs="Arial" w:eastAsia="Arial" w:hAnsi="Arial"/>
          <w:sz w:val="16"/>
          <w:szCs w:val="16"/>
          <w:color w:val="auto"/>
        </w:rPr>
      </w:pPr>
    </w:p>
    <w:p>
      <w:pPr>
        <w:ind w:left="560" w:right="80" w:hanging="287"/>
        <w:spacing w:after="0" w:line="251"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Company</w:t>
      </w:r>
    </w:p>
    <w:p>
      <w:pPr>
        <w:spacing w:after="0" w:line="195"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Canadian and European Union relations with Russia and related sanctions, may have a material adverse effect on our operating results.</w:t>
      </w:r>
    </w:p>
    <w:p>
      <w:pPr>
        <w:spacing w:after="0" w:line="134"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We source a substantial portion of our Co-60 supply from three nuclear reactor operators and five reactor sites in Canada and Russia under contracts that extend to between 2024</w:t>
      </w:r>
    </w:p>
    <w:p>
      <w:pPr>
        <w:spacing w:after="0" w:line="42"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 xml:space="preserve">and 2064. See Item 1, </w:t>
      </w:r>
      <w:r>
        <w:rPr>
          <w:rFonts w:ascii="Arial" w:cs="Arial" w:eastAsia="Arial" w:hAnsi="Arial"/>
          <w:sz w:val="17"/>
          <w:szCs w:val="17"/>
          <w:color w:val="auto"/>
        </w:rPr>
        <w:t>“</w:t>
      </w:r>
      <w:r>
        <w:rPr>
          <w:rFonts w:ascii="Arial" w:cs="Arial" w:eastAsia="Arial" w:hAnsi="Arial"/>
          <w:sz w:val="15"/>
          <w:szCs w:val="15"/>
          <w:color w:val="auto"/>
        </w:rPr>
        <w:t>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6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estimate approximately 20% of our long-term supply of Co-60 will be generated by Russian nuclear reactors. Further, over the next few years, we expect that there will be periods when, due to planned or unplanned outages and variability in supply from individual reactors, the proportion of our supply from Russian reactors may increase to as much as approximately 50% for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a given year. The United States, Canada and the European Union have imposed sanctions against Russian industries, Russian officials and certain Russian companies, banks, logistics providers and individuals. Russia has responded with countermeasures, including limiting the import of certain goods from the United States and other countries. Expanded sanctions could target government-owned operations, including Russian nuclear reactor operators, Russian government or private owned banks and Russian logistics providers, and could prevent us from doing business with them. In addition, some international logistics providers have voluntarily ceased doing business involving Russia.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Canada or the European Union broaden the scope of sanctions against Russia (whether through new sanctions or interpretations of existing sanctions) and prevent the importation or shipment of (or payment for) Russian-sourced Co-60, or if we are unable to identify international logistics providers needed for the supply of Co-60 from Russia, or the Russian government responds with further countersanctions, it may make it generally more difficult or impossible to do business with Russian entities. Any sanctions or countermeasures could have a material adverse effect on our business, prospects, financial condition or results of operations.</w:t>
      </w:r>
    </w:p>
    <w:p>
      <w:pPr>
        <w:spacing w:after="0" w:line="153"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Any interruptions that we experience with our key suppliers, regarding the availability of Co-60 or EO, changes in regulatory requirements regarding the use of Co-60 or EO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 could impact the demand for our products and services and could have a material adverse effect on our business.</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49"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If changes in healthcare regulations or other developments in the healthcare industry, including concerns around single-use medical devices or the impact of the COVID-19 pandemic, were to lead to a material reduction in medical procedures or use of medical devices, demand for our services could be adversely affected. For example, during the pandemic, there has been an increase in deferred elective procedures, which negatively impacts demand for some of our products and services as a result of a decrease in the need for sterilized single-use medical devices used in these procedures. For more information, see Risk Factor “— The COVID-19 pandemic has had and could continue to have adverse effects on our business, financial condition and results of operations, which could be material.”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health and safety regulations or preferences may negatively impact our business.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Federal, state and international authorities regulate all of our operations within the three business units, including the operation of our gamma irradiation and EO processing plants, as well as the operations of our customers. If any of the regulators that govern our operations or the operations of our customers were to institute severely restrictive policies or regulations that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also made proactive, voluntary investments to enhance the emissions controls within our EO facilities. However, new regulations or changes to existing or expected regulations may require additional investments in new emissions control technology or otherwise increase the cost of our gamma irradiation or EO processing.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Reconfiguring a gamma irradiation or EO processing plant so that it is suitable for a different sterilization technology, in response to changes in demand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Safety risks associated with the use, storage and disposal of potentially hazardous materials, such as EO and Co-60, may result in accidents or liabilities that materially affect our results of operations.</w:t>
      </w:r>
    </w:p>
    <w:p>
      <w:pPr>
        <w:spacing w:after="0" w:line="16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72" w:lineRule="exact"/>
        <w:rPr>
          <w:sz w:val="20"/>
          <w:szCs w:val="20"/>
          <w:color w:val="auto"/>
        </w:rPr>
      </w:pPr>
    </w:p>
    <w:p>
      <w:pPr>
        <w:ind w:right="200"/>
        <w:spacing w:after="0" w:line="291" w:lineRule="auto"/>
        <w:rPr>
          <w:sz w:val="20"/>
          <w:szCs w:val="20"/>
          <w:color w:val="auto"/>
        </w:rPr>
      </w:pPr>
      <w:r>
        <w:rPr>
          <w:rFonts w:ascii="Arial" w:cs="Arial" w:eastAsia="Arial" w:hAnsi="Arial"/>
          <w:sz w:val="14"/>
          <w:szCs w:val="14"/>
          <w:color w:val="auto"/>
        </w:rPr>
        <w:t>Because Co-60 is radioactive, its containment and proper shielding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Potentially hazardous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Any incident at any of our EO, gamma or lab facilities that causes harm to workers or others or the interruption of normal operations at such facility could result in substantial liability to us. We are currently the subject of lawsuits alleging that purported EO emissions from certain of our current and former facilities have resulted in toxicological or health-related impacts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other adverse effects.”</w:t>
      </w:r>
    </w:p>
    <w:p>
      <w:pPr>
        <w:spacing w:after="0" w:line="149"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spacing w:after="0" w:line="330" w:lineRule="auto"/>
        <w:rPr>
          <w:sz w:val="20"/>
          <w:szCs w:val="20"/>
          <w:color w:val="auto"/>
        </w:rPr>
      </w:pPr>
      <w:r>
        <w:rPr>
          <w:rFonts w:ascii="Arial" w:cs="Arial" w:eastAsia="Arial" w:hAnsi="Arial"/>
          <w:sz w:val="14"/>
          <w:szCs w:val="14"/>
          <w:color w:val="auto"/>
        </w:rPr>
        <w:t>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We currently carry pollution liability insurance for all our facilities and related operations and liability insurance, including from third party bodily injury or property damage allegedly arising from the storage, use, transportation or accident involving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current claims alleging that purported EO emissions from certain of our facilities have resulted in toxicological or health-related impacts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health risks associated with the use of EO may subject us to future liability claims and other adverse effects.</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USEPA has identified a potential for increased risk of certain cancers from exposure to EO. In 2016, the USEPA published its Integrated Risk Information System toxicity assessment of EO (the “IRIS Assessment”), and in 2018, the USEPA published an updated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 disagreed with aspects of the IRIS Assessment on the carcinogenic potency of EO. We expect risk assessments related to EO will continue to evolve and be examined and that EO facilities, including Sterigenics facilities, will continue to be the subject of future air quality assessments. We can give no assurance as to the impact of current or future EO risk or air quality assessments on our business, prospects, financial condition or results of operations.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155"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uncontrolled emissions of EO from the Santa Teresa facility, including by making certain modifications to sterilization processes at the facility. We deny the allegations and are vigorously defending these claims. See related Risk Factor “—We are currently defending</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 xml:space="preserve">certain litigation, and we are likely to be subject to additional litigation in the future,” Item 3, </w:t>
      </w:r>
      <w:r>
        <w:rPr>
          <w:rFonts w:ascii="Arial" w:cs="Arial" w:eastAsia="Arial" w:hAnsi="Arial"/>
          <w:sz w:val="16"/>
          <w:szCs w:val="16"/>
          <w:color w:val="auto"/>
        </w:rPr>
        <w:t>“</w:t>
      </w:r>
      <w:r>
        <w:rPr>
          <w:rFonts w:ascii="Arial" w:cs="Arial" w:eastAsia="Arial" w:hAnsi="Arial"/>
          <w:sz w:val="14"/>
          <w:szCs w:val="14"/>
          <w:color w:val="auto"/>
        </w:rPr>
        <w:t>Legal Proceedings” and Note 20, “Commitments and Contingencies” to our consolidated financial statements. It is likely that we will be subject to other claims by or on behalf of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47"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If we are the subject of other lawsuits related to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currently defending certain litigation, and we are likely to be subject to additional litigation in the future.</w:t>
      </w:r>
    </w:p>
    <w:p>
      <w:pPr>
        <w:spacing w:after="0" w:line="18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We are currently the subject of tort lawsuits alleging personal injury by purported exposure to emissions and releases of EO from our facilities in Willowbrook and Atlanta. Jury trials in individual lawsuits related to our facility in Willowbrook are scheduled to begin in Cook County, Illinois in July 2022. 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property devaluation claims have been threatened and additional personal injury claims may be filed. We are also defendants in a lawsuit brought by the State of New Mexico, ex rel. Hector Balderas, Attorney General alleging that emissions of EO from our Santa Teresa facility constitute a public nuisance and have materially contributed to increased health risks suffered by residents in the area. In June 2021, the Court in that lawsuit entered an Order Granting Preliminary Injunction prohibiting Sterigenics from allowing any uncontrolled emission or release of EO from the facility. In December 2021 the Court in that lawsuit further ordered certain protocols to monitor Sterigenics’ compliance with the injunction. We deny the allegations in these claims and are vigorously defending against them. However, one or more adverse judgments could result in significant liability for us and have a material adverse effect on our business, financial condition and results of operations. In addition, we are involved in litigation in Georgia against local officials to allow us to resume operations at our Atlanta</w:t>
      </w:r>
    </w:p>
    <w:p>
      <w:pPr>
        <w:spacing w:after="0" w:line="1"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 xml:space="preserve">facility that had been suspended while we installed enhancements to our EO emissions control systems. See Item 3, </w:t>
      </w:r>
      <w:r>
        <w:rPr>
          <w:rFonts w:ascii="Arial" w:cs="Arial" w:eastAsia="Arial" w:hAnsi="Arial"/>
          <w:sz w:val="18"/>
          <w:szCs w:val="18"/>
          <w:color w:val="auto"/>
        </w:rPr>
        <w:t>“</w:t>
      </w:r>
      <w:r>
        <w:rPr>
          <w:rFonts w:ascii="Arial" w:cs="Arial" w:eastAsia="Arial" w:hAnsi="Arial"/>
          <w:sz w:val="16"/>
          <w:szCs w:val="16"/>
          <w:color w:val="auto"/>
        </w:rPr>
        <w:t>Legal Proceedings” and Note 20, “Commitments and Contingencies” to our consolidated financial statements for more detail on our pending litigation.</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It is 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financial impact of litigation, particularly class action and mass action lawsuits, is difficult to assess or quantify. If we are the subject of future lawsuits, regardless of the merits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of the claims at issue or the ultimate outcome of a case, any litigation could be costly to defend, could result in an increase of our insurance premiums, and exhaust any available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insurance coverage. Claims against us that result in entry of a judgment or we settle that are not covered or not sufficiently covered by insurance policies, or which fall within</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retained liability under our policies, could have a material adverse impact on our business, prospects, financial condition or results of operations. Our current environmental liability</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insurance does not cover future claims related to EO. Even where we have coverage for claims brought against us, our insurance may not be adequate to cover all potential liabilities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and losses arising from those claims, and we have significant self-insured retention amounts, which we would have to pay in full before obtaining any insurance proceeds.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Additionally, even where a claim should be covered by insurance, an insurer might refuse coverage. To the extent our insurance coverage is inadequate and we are not successful in</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identifying additional coverage for such claims, we would have to pay any costs or losses in excess of policy limits, including potentially costs to defend such claims, and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amount of any settlement or judgment. For example, while our historical environmental liability insurance did cover litigation related to EO, like the litigation pending in</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Willowbrook, Atlanta and Santa Teresa described above, the policy under which we have received coverage has limits of $10.0 million per occurrence and $20.0 million in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aggregate. The per occurrence limit related to the Willowbrook litigation is fully utilized and the $10.0 million coverage remaining is currently being utilized for the ongoing legal</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costs associated with the EO claims related to our facilities in Atlanta and Santa Teresa. As of December 31, 2021, we have utilized approximately $2.2 million of the remaining</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$10.0 million limit. Any settlement or judgment against us arising out of the litigation pending in Willowbrook, Atlanta or Santa Teresa would likely exceed the remaining insurance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recoveries available to us and could have a material adverse effect on our business, prospects, financial condition or results of operations. See Item 3, Legal Proceedings and Note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20, “Commitments and Contingencies” to our consolidated financial statements for more detail on our pending litigation.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6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7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highly competitive, and if we fail to compete successfully, our business, prospects, financial condition or results of operations may be adversely affected.</w:t>
      </w:r>
    </w:p>
    <w:p>
      <w:pPr>
        <w:spacing w:after="0" w:line="224"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If Co-60 source suppliers in other countries, including China, India, Argentina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of our long-term contracts include variable price clauses and are subject to market changes, which could have a material adverse effect on our business.</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aggregate direct input costs, including labor, raw materials and energy represents a significant portion of our cost of revenues. We have experienced and may continue to experience, volatility and increases in the price of certain of these costs as a result of global market and supply chain disruptions and the broader inflationary environment. For more information, see Risk Factor “—Inflationary trends in the price of our input costs, such as labor, raw materials and energy, could adversely affect our business and financial results.” The prices of the direct materials we utilize vary with market conditions and may be highly</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our input costs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labor, raw materials, or energy could have a material adverse effect on our business, prospects, financial condition or results of operations.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could result in claims of economic or other loss or personal injury.</w:t>
      </w:r>
    </w:p>
    <w:p>
      <w:pPr>
        <w:spacing w:after="0" w:line="150"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In our Nelson Labs business, through the acquisition of BioScience in March 2021, we periodically engage in clinical trials or studies and are subject to additional regulatory requirements, including those relating to human subject protection, good clinical practices and data privacy. Any actual or perceived failure to meet such requirements may result in regulatory authorities taking action against us or our customers, and we may face claims or be held liable for harm caused to human subjects.</w:t>
      </w:r>
    </w:p>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43"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Our product and professional liability insurance does not cover matters related to EO emissions, for example. A product recall or seizure or a partially or completely uninsured judgment against us could have a material adverse effect on our business, prospects, financial condition or results of operations.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16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and marketing, transportation, drug enforcement (governing the handling of controlled substances), protection against infectious diseases and pathogens and agriculture, fish and wildlife. These laws and regulations regulate our use of potentially hazardous materials, such as EO, Co-60 and E-beam, and can require us to carefully manage, control emissions of or limit human exposure to, these materials. For example,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 In the United States, the use of EO for medical device sterilization is regulated by the USEPA under FIFRA and the CAA. Our supplier maintains a FIFRA registration for the EO they sell in the United States that is used to sterilize or reduce the viable microorganisms on a listed group of products, including medical devices, pharmaceutical products, cosmetics and spice products. The USEPA is in the process of reviewing EO’s FIFRA re-registration eligibility in accordance with the provisions of FIFRA. In November 2020, the USEPA released a draft risk assessment for public comment regarding the re-registration review, stating that mitigation measures are necessary to protect the health of workers at facilities that use EO and surrounding communities. The next step in the FIFRA re-registration process would be to issue a proposed interim decision, which is used to outline the potential risk management options to address any potential risks of concern. As a condition of continued registration, the USEPA is likely to require enhancements to the processes and equipment for use of EO used for the listed applications. Any future failure of the USEPA to allow the FIFRA re-registration of EO would have a material adverse effect on our business, prospects, financial condition or results of operations.</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There have been ongoing regulatory developments at USEPA relating to EO emissions, which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2021 the USEPA Office of the Inspector General (“OIG”) published multiple reports critical of the USEPA’s communications about risks related to EO facilities, including Sterigenics facilities in Willowbrook and elsewhere, and suggesting that the USEPA should conduct a new residual risk and technology review for EO emitting industrial source categories, which may lead to additional regulatory restrictions and oversight. In addition, in December 2021, the USEPA expanded the scope of reporting requirements to require most EO sterilization facilities in the U.S., including Sterigenics facilities, to report their EO emissions to a USEPA database, starting in 2022, a practice Sterigenics previously followed until 2017.</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In January 2022, the USEPA proposed updated National Emission Standards for Hazardous Air Pollutants (“NESHAP”) regulations for EO emissions at miscellaneous organic chemical manufacturing facilities, including EO manufacturers. While the January 2022 NESHAP proposal does not regulate our facilities, the EPA is expected in a subsequent rulemaking in 2022 to propose new NESHAP regulations for commercial EO sterilization facilities, with which sterilization facilities like ours will be required to comply. The European Union also is reviewing the current regulations for the use of EO in EO sterilization facilities, which is expected to result in additional compliance obligations. We expect to incur capital costs for enhancements to our equipment and to implement process automation and emission control enhancements to comply with these and other changing requirements. If future regulations differ from our current expectation, they may require additional modifications and capital costs beyond what we have budgeted for, which could be material.</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conditions associated with such licenses will be achievable. Changes in these laws and regulations have the potential to increase our costs.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Item 1, </w:t>
      </w:r>
      <w:r>
        <w:rPr>
          <w:rFonts w:ascii="Arial" w:cs="Arial" w:eastAsia="Arial" w:hAnsi="Arial"/>
          <w:sz w:val="18"/>
          <w:szCs w:val="18"/>
          <w:color w:val="auto"/>
        </w:rPr>
        <w:t>“</w:t>
      </w:r>
      <w:r>
        <w:rPr>
          <w:rFonts w:ascii="Arial" w:cs="Arial" w:eastAsia="Arial" w:hAnsi="Arial"/>
          <w:sz w:val="16"/>
          <w:szCs w:val="16"/>
          <w:color w:val="auto"/>
        </w:rPr>
        <w:t>Business—Governmental Regulation and Environmental Matters” for more information on the regulatory requirements of our businesses.</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Compliance with these regulations, as well as our own voluntary programs that relate to maintaining the safety of our employees and facilities as well as the environment, and the safety and competitiveness of our equipment, systems and facilities,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51"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and related Risk Factor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4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i w:val="1"/>
          <w:iCs w:val="1"/>
          <w:color w:val="auto"/>
        </w:rPr>
        <w:t>Our operations are subject to a variety of business continuity hazards and risks, including supply chain disruptions related to the COVID-19 pandemic and climate-change and our reliance on the use and sale of products and services from single locations, any of which could interrupt production or operations or otherwise adversely affect our performance, results or value.</w:t>
      </w:r>
    </w:p>
    <w:p>
      <w:pPr>
        <w:spacing w:after="0" w:line="169"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In addition to the other risks described, our operations and our supplier and customers’ operations are subject to business continuity hazards and risks that include explosions, fires, earthquakes, inclement weather and other natural disasters; utility, equipment or other mechanical failures; unscheduled downtime; labor difficulties; disruption of communications; terrorist,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security breach or other workplace violence event; changes in the use of government-owned reactors, including repurposing nuclear facilities; other governmental action; and pandemics or other public health crises.</w:t>
      </w:r>
    </w:p>
    <w:p>
      <w:pPr>
        <w:spacing w:after="0" w:line="16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49"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Supply chain disruptions, such as the ones related to the COVID-19 pandemic, may impair or delay our ability to obtain sufficient quantities of certain materials through our ordinary supply channels and cause us to incur higher costs by procuring raw materials from other sources in order to compensate for such delays or lack of availability. Supply chain disruptions such as these may impair or delay our customers’ ability to provide us work or products for processing. At the same time, climate-change related disruptions may affect the availability, quality and pricing of materials used in the operation of our business or our customers’ businesses. There is growing evidence that carbon dioxide and other greenhouse gases in the atmosphere have an adverse impact on global temperatures, weather and precipitation patterns, and the frequency and severity of extreme weather and natural disasters, such as floods, wildfires, droughts and water scarcity. To the extent such climate change effects have a negative impact on our procurement of materials and supplies, it could impact the availability, quality and pricing of such raw materials. To the extent such climate change effects have a negative impact on our customers, it could impact the volume of work they provide to us. If we are not able to successfully mitigate such supply chain and climate-change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153"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related Risk Factor “—We depend on a limited number of counterparties that provide the materials and resources we need to operate our business.”</w:t>
      </w:r>
    </w:p>
    <w:p>
      <w:pPr>
        <w:spacing w:after="0" w:line="134"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Further, governmental action may disrupt the operations of our facilities that process potentially hazardous materials. For example, in October 2019, county officials precluded operations at our Atlanta facility until a new certificate of occupancy was obtained after a third-party code-compliance review. Although our Atlanta facility resumed operations under an April 2020 Temporary Restraining Order prohibiting county officials from interfering with normal operations, our facility could be forced to close again upon the resolution of related litigation. In addition, in June 2021, the Court in a lawsuit related to our facility in Santa Teresa, New Mexico, entered an Order Granting Preliminary Injunction prohibiting Sterigenics from allowing any uncontrolled emission or release of EO from that facility. In December 2021, the Court further ordered certain protocols to monitor Sterigenics’ compliance with that preliminary injunction. Although operations at the Santa Teresa facility comply with these orders, operations there may be negatively impacted if it is unable to comply in the future. The occurrence of any of these or other events might disrupt or shut down operations or otherwise adversely impact the production or profitability of a particular facility or our operations as a whole.</w:t>
      </w:r>
    </w:p>
    <w:p>
      <w:pPr>
        <w:spacing w:after="0" w:line="149" w:lineRule="exact"/>
        <w:rPr>
          <w:sz w:val="20"/>
          <w:szCs w:val="20"/>
          <w:color w:val="auto"/>
        </w:rPr>
      </w:pPr>
    </w:p>
    <w:p>
      <w:pPr>
        <w:ind w:right="60"/>
        <w:spacing w:after="0" w:line="330" w:lineRule="auto"/>
        <w:rPr>
          <w:sz w:val="20"/>
          <w:szCs w:val="20"/>
          <w:color w:val="auto"/>
        </w:rPr>
      </w:pPr>
      <w:r>
        <w:rPr>
          <w:rFonts w:ascii="Arial" w:cs="Arial" w:eastAsia="Arial" w:hAnsi="Arial"/>
          <w:sz w:val="14"/>
          <w:szCs w:val="14"/>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has had and could continue to have adverse effects on our business, financial condition and results of operations, which could be material.</w:t>
      </w:r>
    </w:p>
    <w:p>
      <w:pPr>
        <w:spacing w:after="0" w:line="21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significant rates of employee infection or other currently unforeseen restrictions that could adversely affect our ability to adequately staff and maintain our operations, and those effects could be material. For example, during the pandemic we have experienced delayed deliveries at certain locations as a result of governmental travel restrictions enacted in response to COVID-19. We have implemented business continuity planning, including to transition staff off-site to decrease exposure risk and to manage supply chain risk for critical materials, but we cannot guarantee that these measures will be successful.</w:t>
      </w:r>
    </w:p>
    <w:p>
      <w:pPr>
        <w:spacing w:after="0" w:line="14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the COVID-19 outbreak disrupts our supply chain or our customers’ supply chains, it could adversely impact our ability to secure supplies or customer work for our facilities, which could adversely affect our operations, and those effects could be material. During the pandemic customer supply chain disruptions have had an impact on operations at certain of our locations, including causing capacity constraints due to delayed deliveries of customer products for processing. The pandemic, and ongoing uncertainty related to new variants of COVID-19, and the response thereto, including vaccination and booster vaccination efforts, continue to evolve, and we cannot at this time forecast its ultimate duration, severity or the impact to our business, customers, our supply chain or our customers’ supply chains. This negative impact could continue for an extended period of time or more severely impact our financial condition and results of operations, and continued weak or worsening economic conditions could negatively impact consumer demand for our products and services. Additionally, compliance with vaccine mandates to the extent they are imposed in the jurisdictions in which we operate may lead to employee absences, resignations, or labor shortages. Any such mandates may also affect our suppliers or customers, which could disrupt our access to raw materials and customer product processing and exacerbate supply-chain related risks. Future pandemics and public crises could impact our business in a similar or worse manner. See related Risk Factor “—Our operations are subject to a variety of business continuity hazards and risks, including supply chain disruptions related to the COVID-19 pandemic and climate-change and our reliance on the use and sale of products and services from single locations, any of which could interrupt production or operations or otherwise adversely affect our performance, results or value.”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Inflationary trends in the price of our input costs, such as labor, raw materials and energy, could adversely affect our business and financial results.</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have experienced and may continue to experience, volatility and increases in the price of certain input costs, such as labor, raw materials and energy costs, as a result of global market and supply chain disruptions and the broader inflationary environment.</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If we are unable to increase the prices to our customers of our products or services to offset inflationary cost trends, or if we are unable to achieve cost savings to offset such cost increases, our profits and operating results could be adversely affected. For more information, see Risk Factor “—Certain of our long-term contracts include variable price clauses and are subject to market changes, which could have a material adverse effect on our business.” Our ability to price our services and products competitively to timely reflect higher input costs is critical to maintain and grow our sales. Increases in prices of our services and products to customers may lead to declines in sales volumes. Further, we may not be able to accurately predict the volume impact of price increases, especially if our competitors are able to more successfully adjust to such input cost volatility. Increasing our prices to our customers could result in long-term sales declines or loss of market share if our customers find alternative suppliers or choose to reformulate to rely less on our services or products, which could have an adverse long-term impact on our results of operations.</w:t>
      </w:r>
    </w:p>
    <w:p>
      <w:pPr>
        <w:spacing w:after="0" w:line="149"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are in compliance with applicable regulations, we may be unable to maintain or expand our operations at existing facilities, or otherwise execute on our growth strategy, due to negative publicity or community resistance. Suspensions and closures of our facilities have in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past and may continue to impact our results of operations, and the effects could be material. Those new facilities that are constructed and begin operations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i w:val="1"/>
          <w:iCs w:val="1"/>
          <w:color w:val="auto"/>
        </w:rPr>
        <w:t>We depend upon our ability to attract and retain highly skilled employees. If we fail to attract and retain the talent required for our business, our operations could be adversely affected and our business could be materially harmed.</w:t>
      </w:r>
    </w:p>
    <w:p>
      <w:pPr>
        <w:spacing w:after="0" w:line="16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occupy many of our facilities under long-term leases, and we may be unable to renew our leases at the end of their terms.</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Many of our facilities are located on leased premises. These leases vary in length up through 2040, most with options to renew for specified periods of time. All sterilization facility leases expiring in the next five years have extension options in place. We expect to renew or buyout such leases as they come due.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conduct sales and distribution operations on a worldwide basis and are subject to a variety of risks associated with doing business outside the United States.</w:t>
      </w:r>
    </w:p>
    <w:p>
      <w:pPr>
        <w:spacing w:after="0" w:line="212" w:lineRule="exact"/>
        <w:rPr>
          <w:sz w:val="20"/>
          <w:szCs w:val="20"/>
          <w:color w:val="auto"/>
        </w:rPr>
      </w:pPr>
    </w:p>
    <w:p>
      <w:pPr>
        <w:ind w:right="80"/>
        <w:spacing w:after="0" w:line="330" w:lineRule="auto"/>
        <w:rPr>
          <w:sz w:val="20"/>
          <w:szCs w:val="20"/>
          <w:color w:val="auto"/>
        </w:rPr>
      </w:pPr>
      <w:r>
        <w:rPr>
          <w:rFonts w:ascii="Arial" w:cs="Arial" w:eastAsia="Arial" w:hAnsi="Arial"/>
          <w:sz w:val="14"/>
          <w:szCs w:val="14"/>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24" w:lineRule="exact"/>
        <w:rPr>
          <w:sz w:val="20"/>
          <w:szCs w:val="20"/>
          <w:color w:val="auto"/>
        </w:rPr>
      </w:pPr>
    </w:p>
    <w:p>
      <w:pPr>
        <w:ind w:left="560" w:right="300" w:hanging="287"/>
        <w:spacing w:after="0" w:line="330" w:lineRule="auto"/>
        <w:tabs>
          <w:tab w:leader="none" w:pos="5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23" w:lineRule="exact"/>
        <w:rPr>
          <w:rFonts w:ascii="Arial" w:cs="Arial" w:eastAsia="Arial" w:hAnsi="Arial"/>
          <w:sz w:val="14"/>
          <w:szCs w:val="14"/>
          <w:color w:val="auto"/>
        </w:rPr>
      </w:pPr>
    </w:p>
    <w:p>
      <w:pPr>
        <w:ind w:left="540" w:hanging="267"/>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social and political conditions in countries where we operate, including international and U.S. trade policies and currency exchange rate fluctuations;</w:t>
      </w:r>
    </w:p>
    <w:p>
      <w:pPr>
        <w:spacing w:after="0" w:line="118" w:lineRule="exact"/>
        <w:rPr>
          <w:rFonts w:ascii="Arial" w:cs="Arial" w:eastAsia="Arial" w:hAnsi="Arial"/>
          <w:sz w:val="14"/>
          <w:szCs w:val="14"/>
          <w:color w:val="auto"/>
        </w:rPr>
      </w:pPr>
    </w:p>
    <w:p>
      <w:pPr>
        <w:ind w:left="540" w:hanging="267"/>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tax and other laws that restrict our ability to use tax credits, offset gains or repatriate funds;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restrictions, transfer pricing regulations and adverse tax consequences, which may affect our ability to transfer capital and profits;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inflation, deflation and stagflation in any country in which we have a manufacturing facility;</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foreign customers with longer payment cycles than customers in the United States; and</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imposition of or increases in customs duties and other tariffs.</w:t>
      </w:r>
    </w:p>
    <w:p>
      <w:pPr>
        <w:spacing w:after="0" w:line="189"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84" w:lineRule="auto"/>
        <w:rPr>
          <w:sz w:val="20"/>
          <w:szCs w:val="20"/>
          <w:color w:val="auto"/>
        </w:rPr>
      </w:pPr>
      <w:r>
        <w:rPr>
          <w:rFonts w:ascii="Arial" w:cs="Arial" w:eastAsia="Arial" w:hAnsi="Arial"/>
          <w:sz w:val="14"/>
          <w:szCs w:val="14"/>
          <w:color w:val="auto"/>
        </w:rPr>
        <w:t>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51"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43" w:lineRule="exact"/>
        <w:rPr>
          <w:sz w:val="20"/>
          <w:szCs w:val="20"/>
          <w:color w:val="auto"/>
        </w:rPr>
      </w:pPr>
    </w:p>
    <w:p>
      <w:pPr>
        <w:ind w:firstLine="4"/>
        <w:spacing w:after="0" w:line="291" w:lineRule="auto"/>
        <w:rPr>
          <w:sz w:val="20"/>
          <w:szCs w:val="20"/>
          <w:color w:val="auto"/>
        </w:rPr>
      </w:pPr>
      <w:r>
        <w:rPr>
          <w:rFonts w:ascii="Arial" w:cs="Arial" w:eastAsia="Arial" w:hAnsi="Arial"/>
          <w:sz w:val="14"/>
          <w:szCs w:val="14"/>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global and regional economic and political instability.</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significant regulatory oversight of our import and export operations due to the nature of some of our product offerings.</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Our products and materials needed to make our products are subject to U.S. and Canadian laws and regulations that may limit, restrict or require a license to import or export (or re-export from other countries). We are also subject to the export and import laws of those other foreign jurisdictions in which we operate, sell our products into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or suppliers, which could harm our business, financial condition or results of operations.</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Additionally, the U.S. Department of the Treasury’s Office of Foreign Assets Control and other relevant agencies of the U.S. government administer certain laws and regulations that restrict U.S. persons and, in some instances, non-U.S. persons, from</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subject to system interruptions, cyber security breaches and unauthorized data disclosures.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continue to work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15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6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72"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9" w:lineRule="exact"/>
        <w:rPr>
          <w:sz w:val="20"/>
          <w:szCs w:val="20"/>
          <w:color w:val="auto"/>
        </w:rPr>
      </w:pPr>
    </w:p>
    <w:p>
      <w:pPr>
        <w:ind w:left="560" w:right="160" w:hanging="287"/>
        <w:spacing w:after="0" w:line="259"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successfully integrate acquired facilities, companies, products, systems or personnel into our existing business, especially with respect to businesses or operations that are outside of the United States;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minimize any potential interruption to our ongoing business;</w:t>
      </w:r>
    </w:p>
    <w:p>
      <w:pPr>
        <w:spacing w:after="0" w:line="95" w:lineRule="exact"/>
        <w:rPr>
          <w:rFonts w:ascii="Arial" w:cs="Arial" w:eastAsia="Arial" w:hAnsi="Arial"/>
          <w:sz w:val="16"/>
          <w:szCs w:val="16"/>
          <w:color w:val="auto"/>
        </w:rPr>
      </w:pPr>
    </w:p>
    <w:p>
      <w:pPr>
        <w:ind w:left="560" w:right="20" w:hanging="287"/>
        <w:spacing w:after="0" w:line="259"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successfully enter categories and markets in which we may have limited or no prior experience, and ensure compliance with the regulatory requirements for such categories and markets;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achieve expected synergies and obtain the desired financial or strategic benefits;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detect and address any financial or control deficiencies of the acquired company;</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retain key relationships with employees, customers, partners and suppliers of acquired companies as well as our own employees, customers, partners and suppliers; and</w:t>
      </w:r>
    </w:p>
    <w:p>
      <w:pPr>
        <w:spacing w:after="0" w:line="118" w:lineRule="exact"/>
        <w:rPr>
          <w:rFonts w:ascii="Arial" w:cs="Arial" w:eastAsia="Arial" w:hAnsi="Arial"/>
          <w:sz w:val="14"/>
          <w:szCs w:val="14"/>
          <w:color w:val="auto"/>
        </w:rPr>
      </w:pPr>
    </w:p>
    <w:p>
      <w:pPr>
        <w:ind w:left="540" w:hanging="26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 uniform compliance standards, controls, procedures and policies throughout acquired companies.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significant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7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72"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4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6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Pursuant to the Sarbanes-Oxley Act, we furnished a report by our management on the effectiveness of our internal control over financial reporting as of December 31, 2021 beginning with the filing of our Annual Report on Form 10-K with the SEC for the year ended December 31, 2021.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2021.</w:t>
      </w:r>
    </w:p>
    <w:p>
      <w:pPr>
        <w:spacing w:after="0" w:line="172"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intellectual property rights to maintain our competitive position and third parties may claim that we infringe or misappropriate their intellectual property rights.</w:t>
      </w:r>
    </w:p>
    <w:p>
      <w:pPr>
        <w:spacing w:after="0" w:line="22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rely on proprietary technology and are dependent on our ability to protect such technology. We rely primarily on trade secrets and non-disclosure and confidentiality arrangements to protect our intellectual property rights, including such rights as related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49"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62"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may not maintain profitability in the future.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a history of net operating losses, including a net loss attributable to Sotera Health Company of $38.6 million and $20.9 million for the years ended December 31, 2020 and 2019, respectively. Although we reported net income attributable to Sotera</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Health Company of $116.9 million for the year ended December 31, 2021, we may not be able to maintain profitability in future fiscal years. Our ability to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herein, and we may encounter unforeseen expenses, difficulties, complications and delays and other unknown events. As a result, our operations may not maintain or increase profitability in the future.</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We may incur impairment charges on our goodwill and other intangible assets with indefinite lives as well as other long-lived assets and intangible assets with definite lives, which could negatively impact our business, financial condition or results of operations.</w:t>
      </w:r>
    </w:p>
    <w:p>
      <w:pPr>
        <w:spacing w:after="0" w:line="162"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143"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in the future, we determine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financial condition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18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and we may experience similar efforts in the future. In October 2021, a labor union filed a petition with the U.S. National Labor Relations Board (“NLRB”) seeking to represent our employees at the Sterigenics facility in Gurnee, Illinois. In December 2021, the NLRB held an election and certified that a majority of employees did not vote for the union and that no union was the exclusive bargaining representative of employees in Gurnee.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The collective bargaining agreements applicable to our employees in Brazil and Mexico expire annually. The collective bargaining agreement applicable to Nordion’s Canadian employees located in Kanata expires on March 31, 2024. Failure to renew the agreements on similar terms could result in labor disruptions and/or increased labor costs, which could negatively affect our business and operations.</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activity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or private civil antitrust actions could harm our business, results of operations, financial condition and cash flows.</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greater than anticipated tax liabilities, which could harm our business, revenue and financial results</w:t>
      </w:r>
      <w:r>
        <w:rPr>
          <w:rFonts w:ascii="Arial" w:cs="Arial" w:eastAsia="Arial" w:hAnsi="Arial"/>
          <w:sz w:val="18"/>
          <w:szCs w:val="18"/>
          <w:color w:val="auto"/>
        </w:rPr>
        <w:t>.</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4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Additionally, the Coronavirus Aid, Relief, and Economic Security Act (the “CARES Act”), enacted on March 27, 2020, in response to the outbreak of COVID-19 and its consequences, introduced substantial changes to the U.S. tax code. For example, among other changes, the CARES Act increased interest expense deductibility limitations and waived certain limitations on the use of net operating losses, in each case, for certain years prior to 2021.</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Finally, on July 23, 2020, final regulations were published that exempt certain income subject to a high rate of foreign tax from inclusion under GILTI for tax years beginning after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 and Liquidity</w:t>
      </w:r>
    </w:p>
    <w:p>
      <w:pPr>
        <w:spacing w:after="0" w:line="19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169"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As of December 31, 2021, our total indebtedness was approximately $1,763.6 million, all of which is indebtedness of Sotera Health Holdings, LLC (“SHH”) that is guaranteed by the Company and certain of our other subsidiaries. We also had an additional $347.5 million of unutilized capacity under our Revolving Credit Facility (as defined herein) at that date (without giving effect to $113.8 million of letters of credit that were outstanding). See “Item 7. Management’s Discussion and Analysis of Financial Condition and Results of Operations - Liquidity and Capital Resources.”</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Our indebtedness is variable interest rate debt. Our estimated debt service obligations for the next 12 months, which are comprised solely of interest payments, are $58.4 million, based on the London Interbank Offered Rate (“LIBOR”) benchmark interest rate and the outstanding principal amount of indebtedness of $1,763.6 million, each as of December 31, 2021. For the year ended December 31, 2021, our cash flow used for debt service totaled $58.8 million, which was comprised solely of interest payments on our debt. This excludes the early redemption premium and principal amount repaid in connection with the early redemption of the senior secured first lien notes due 2026 (“First Lien Notes”) described below. There were no other principal payments due on our debt obligations for the year ended December 31, 2021.</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November and December 2020, we repaid $341.0 million aggregate principal amount of the Term Loan and redeemed in full all of the $770.0 million aggregate principal amount of outstanding senior secured second-lien notes (“Second Lien Notes”) of SHH. In connection with the redemption of the Second Lien Notes, we paid a $15.4 million early redemption premium. In addition, on August 27, 2021, we redeemed in full all of the $100.0 million aggregate principal amount of the First Lien Notes. In connection with this redemption, the Company paid a $3.0 million early redemption premium. For the year ended December 31, 2021, our cash flows from operating activities totaled $281.5 million, which includes interest paid of $58.8 million. As such, our cash flows from operating activities (before giving effect to the payment of interest) amounted to $340.3 million. For the year ended December 31, 2021, cash payments used to service our debt represented approximately 17% of our net cash flows from operating activities (before giving effect to the payment of interest).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Our high degree of leverage could have important consequences, including:</w:t>
      </w:r>
    </w:p>
    <w:p>
      <w:pPr>
        <w:spacing w:after="0" w:line="96" w:lineRule="exact"/>
        <w:rPr>
          <w:sz w:val="20"/>
          <w:szCs w:val="20"/>
          <w:color w:val="auto"/>
        </w:rPr>
      </w:pPr>
    </w:p>
    <w:p>
      <w:pPr>
        <w:ind w:left="540" w:hanging="26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increasing our vulnerability to general economic and industry conditions;</w:t>
      </w:r>
    </w:p>
    <w:p>
      <w:pPr>
        <w:spacing w:after="0" w:line="95" w:lineRule="exact"/>
        <w:rPr>
          <w:rFonts w:ascii="Arial" w:cs="Arial" w:eastAsia="Arial" w:hAnsi="Arial"/>
          <w:sz w:val="16"/>
          <w:szCs w:val="16"/>
          <w:color w:val="auto"/>
        </w:rPr>
      </w:pPr>
    </w:p>
    <w:p>
      <w:pPr>
        <w:ind w:left="560" w:right="280" w:hanging="287"/>
        <w:spacing w:after="0" w:line="259"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exposing us to the risk of increased interest rates as our indebtedness is at variable interest rates;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us from making strategic acquisitions or causing us to make non-strategic divestitures;</w:t>
      </w:r>
    </w:p>
    <w:p>
      <w:pPr>
        <w:spacing w:after="0" w:line="95" w:lineRule="exact"/>
        <w:rPr>
          <w:rFonts w:ascii="Arial" w:cs="Arial" w:eastAsia="Arial" w:hAnsi="Arial"/>
          <w:sz w:val="16"/>
          <w:szCs w:val="16"/>
          <w:color w:val="auto"/>
        </w:rPr>
      </w:pPr>
    </w:p>
    <w:p>
      <w:pPr>
        <w:ind w:left="560" w:right="440" w:hanging="287"/>
        <w:spacing w:after="0" w:line="259"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 for working capital, capital expenditures, product development, debt service requirements, acquisitions and general corporate or other purposes;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limiting our ability to adjust to changing market conditions and placing us at a disadvantage compared to our competitors that are less highly leveraged; and</w:t>
      </w:r>
    </w:p>
    <w:p>
      <w:pPr>
        <w:spacing w:after="0" w:line="118" w:lineRule="exact"/>
        <w:rPr>
          <w:rFonts w:ascii="Arial" w:cs="Arial" w:eastAsia="Arial" w:hAnsi="Arial"/>
          <w:sz w:val="14"/>
          <w:szCs w:val="14"/>
          <w:color w:val="auto"/>
        </w:rPr>
      </w:pPr>
    </w:p>
    <w:p>
      <w:pPr>
        <w:ind w:left="540" w:hanging="26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causing us to pay higher rates if we need to refinance our indebtedness at a time when prevailing market interest rates are unfavorable.</w:t>
      </w:r>
    </w:p>
    <w:p>
      <w:pPr>
        <w:spacing w:after="0" w:line="189" w:lineRule="exact"/>
        <w:rPr>
          <w:sz w:val="20"/>
          <w:szCs w:val="20"/>
          <w:color w:val="auto"/>
        </w:rPr>
      </w:pPr>
    </w:p>
    <w:p>
      <w:pPr>
        <w:ind w:right="440"/>
        <w:spacing w:after="0" w:line="330" w:lineRule="auto"/>
        <w:rPr>
          <w:sz w:val="20"/>
          <w:szCs w:val="20"/>
          <w:color w:val="auto"/>
        </w:rPr>
      </w:pPr>
      <w:r>
        <w:rPr>
          <w:rFonts w:ascii="Arial" w:cs="Arial" w:eastAsia="Arial" w:hAnsi="Arial"/>
          <w:sz w:val="14"/>
          <w:szCs w:val="14"/>
          <w:color w:val="auto"/>
        </w:rPr>
        <w:t>We and our subsidiaries may obtain substantial additional indebtedness in the future, subject to the restrictions contained in SHH’s senior secured credit facilities (the “Senior Secured Credit Facilities”). If new indebtedness is added to our current debt levels, the related risks that we now face could intensify.</w:t>
      </w:r>
    </w:p>
    <w:p>
      <w:pPr>
        <w:spacing w:after="0" w:line="117" w:lineRule="exact"/>
        <w:rPr>
          <w:sz w:val="20"/>
          <w:szCs w:val="20"/>
          <w:color w:val="auto"/>
        </w:rPr>
      </w:pPr>
    </w:p>
    <w:p>
      <w:pPr>
        <w:ind w:firstLine="4"/>
        <w:spacing w:after="0" w:line="286" w:lineRule="auto"/>
        <w:rPr>
          <w:sz w:val="20"/>
          <w:szCs w:val="20"/>
          <w:color w:val="auto"/>
        </w:rPr>
      </w:pPr>
      <w:r>
        <w:rPr>
          <w:rFonts w:ascii="Arial" w:cs="Arial" w:eastAsia="Arial" w:hAnsi="Arial"/>
          <w:sz w:val="14"/>
          <w:szCs w:val="14"/>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earnings and cash flows, including cash available for servicing our indebtedness, will correspondingly decrease. Based on our indebtedness outstanding as of December 31, 2021 and the interest rate under our Term Loan that was in effect on December 31, 2021, a 1% increase in the LIBOR benchmark interest rate would result in an approximately $1.9 million increase in total annual interest expense under our outstanding debt obligations. Refer to Note 10, “Long-Term Debt”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debt agreements contain restrictions that limit our flexibility in operating our business.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Senior Secured Credit Facilities contain various covenants that limit our ability to engage in specified types of transactions. These covenants limit our ability and our restricted subsidiaries’ ability to, among other things:</w:t>
      </w:r>
    </w:p>
    <w:p>
      <w:pPr>
        <w:spacing w:after="0" w:line="69" w:lineRule="exact"/>
        <w:rPr>
          <w:sz w:val="20"/>
          <w:szCs w:val="20"/>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additional indebtedness or issue certain shares of preferred stock;</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dividends on, repurchase or make distributions in respect of our capital stock or make other restricted payments;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certain investments and acquisitions;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sell or transfer assets;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grant liens on our assets;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 merge, sell or otherwise dispose of all or substantially all of our assets; and</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 into certain transactions with our affiliates.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addition, under certain circumstances we are required to satisfy and maintain specified financial ratios and other financial condition tests under certain covenants in our Senior Secured Credit Facilities. See Item 7, “Management’s Discussion and Analysis of Financial Condition and Results of Operations - 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72"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A breach of any of these covenants could result in a default under each of our Senior Secured Credit Facilities. Upon the occurrence of an event of default, the lenders could elect to declare all amounts outstanding under the Senior Secured Credit Facilities immediately due and payable and terminate all commitments to extend further credit. If we were unable to repay those amounts, the lenders under the Senior Secured Credit Facilities could foreclose on the collateral granted to them to secure each such indebtedness. We have pledged substantially all of our assets as collateral under the Senior Secured Credit Facilities.</w:t>
      </w:r>
    </w:p>
    <w:p>
      <w:pPr>
        <w:spacing w:after="0" w:line="141"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62"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Our ability to make timely payments of principal and interest on our debt obligations, including our obligations under the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lowering or withdrawal of the ratings assigned to our debt by rating agencies may increase our future borrowing costs and reduce our access to capital.</w:t>
      </w:r>
    </w:p>
    <w:p>
      <w:pPr>
        <w:spacing w:after="0" w:line="212"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i w:val="1"/>
          <w:iCs w:val="1"/>
          <w:color w:val="auto"/>
        </w:rPr>
        <w:t>LIBOR and certain other interest “benchmarks” are subject to regulatory guidance and reform that will cause interest rates under our current or future debt agreements to perform differently than in the past or could cause other unanticipated consequences.</w:t>
      </w:r>
    </w:p>
    <w:p>
      <w:pPr>
        <w:spacing w:after="0" w:line="162"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Because our Senior Secured Credit Facilities bear interest at variable interest rates, based on the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addition, LIBOR and certain other interest “benchmarks” are subject to regulatory guidance and reform that will cause interest rates under our current or future debt agreements to perform differently than in the past or cause other unanticipated consequences. In March 2021, the United Kingdom’s Financial Conduct Authority (the “FCA”), which regulates LIBOR, confirmed that publication of all of the LIBOR settings for Euro, Sterling and Swiss Franc and some of the LIBOR settings for Japanese Yen and U.S. dollars would cease beginning January 2022 and the remainder of the LIBOR settings for U.S. dollars will cease in June 2023. To identify a successor rate for LIBOR, financial regulators in various countries, including the United States, the United Kingdom, the European Union and Switzerland, have formed working groups with the aim of recommending</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alternatives to LIBOR denominated in their local currencies. Some of the financial regulators have identified the Secured Overnight Financing Rate (“SOFR”) as their preferred alternative rate for LIBOR.</w:t>
      </w:r>
    </w:p>
    <w:p>
      <w:pPr>
        <w:spacing w:after="0" w:line="162"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Although certain financial regulators have indicated their preference for SOFR as the preferred replacement rate for LIBOR, it is unclear if other benchmarks may emerge or if other rates will be adopted.</w:t>
      </w:r>
    </w:p>
    <w:p>
      <w:pPr>
        <w:spacing w:after="0" w:line="172"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Even if the financial instruments transition to using SOFR or another alternative benchmark successfully, the new benchmarks are likely to differ from LIBOR, as the alternative benchmark rate will likely be calculated differently. Borrowings under our revolving credit and term loan facilities are at variable interest rates based on LIBOR. Although our Senior Secured Credit Facilities include mechanics to facilitate the adoption by us and our lenders of an alternative benchmark rate in place of LIBOR, no assurance can be made that such alternative rate will perform in a manner similar to LIBOR and may result in interest rates that are higher or lower than those that would have resulted had LIBOR remained in effect.</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A change from LIBOR to SOFR or any of the other proposed alternative reference rates could result in interest obligations that are more than or that do not otherwise correlate over time with the payments that would have been made on this debt if U.S. dollar LIBOR had remained available in its prior form. Any of these proposals or consequences could have a material adverse effect on our financing costs. We have elected to apply the optional expedients for the assessment of hedge effectiveness to cash flow hedges affected by reference rate reform pursuant to Accounting Standards Codification (“ASC”) Topic 848, Reference Rate Reform. When applying this guidance, the phaseout of LIBOR is not expected to adversely affect our assessment of hedge effectiveness or measurement of ineffectiveness for accounting purposes.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162" w:lineRule="exact"/>
        <w:rPr>
          <w:sz w:val="20"/>
          <w:szCs w:val="20"/>
          <w:color w:val="auto"/>
        </w:rPr>
      </w:pPr>
    </w:p>
    <w:p>
      <w:pPr>
        <w:ind w:right="280"/>
        <w:spacing w:after="0" w:line="291" w:lineRule="auto"/>
        <w:rPr>
          <w:sz w:val="20"/>
          <w:szCs w:val="20"/>
          <w:color w:val="auto"/>
        </w:rPr>
      </w:pPr>
      <w:r>
        <w:rPr>
          <w:rFonts w:ascii="Arial" w:cs="Arial" w:eastAsia="Arial" w:hAnsi="Arial"/>
          <w:sz w:val="14"/>
          <w:szCs w:val="14"/>
          <w:color w:val="auto"/>
        </w:rPr>
        <w:t>SHH,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and trading volume of our common stock may be volatile, and you could lose all or part of your investment.</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w:t>
      </w:r>
    </w:p>
    <w:p>
      <w:pPr>
        <w:spacing w:after="0" w:line="76" w:lineRule="exact"/>
        <w:rPr>
          <w:sz w:val="20"/>
          <w:szCs w:val="20"/>
          <w:color w:val="auto"/>
        </w:rPr>
      </w:pPr>
    </w:p>
    <w:p>
      <w:pPr>
        <w:ind w:left="560" w:right="300" w:hanging="287"/>
        <w:spacing w:after="0" w:line="259"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developments in our litigation matters and governmental investigations or additional significant lawsuits or governmental investigations relating to our services or facilities;</w:t>
      </w:r>
    </w:p>
    <w:p>
      <w:pPr>
        <w:spacing w:after="0" w:line="118" w:lineRule="exact"/>
        <w:rPr>
          <w:rFonts w:ascii="Arial" w:cs="Arial" w:eastAsia="Arial" w:hAnsi="Arial"/>
          <w:sz w:val="14"/>
          <w:szCs w:val="14"/>
          <w:color w:val="auto"/>
        </w:rPr>
      </w:pPr>
    </w:p>
    <w:p>
      <w:pPr>
        <w:ind w:left="540" w:hanging="26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regulatory or legal developments in the jurisdictions in which we operate;</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publicity about us or the industries in which we participate;</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variations in our quarterly or annual results of operations, or in those of our competitors or of companies in the medical device and pharmaceutical industries;</w:t>
      </w:r>
    </w:p>
    <w:p>
      <w:pPr>
        <w:spacing w:after="0" w:line="118" w:lineRule="exact"/>
        <w:rPr>
          <w:rFonts w:ascii="Arial" w:cs="Arial" w:eastAsia="Arial" w:hAnsi="Arial"/>
          <w:sz w:val="14"/>
          <w:szCs w:val="14"/>
          <w:color w:val="auto"/>
        </w:rPr>
      </w:pPr>
    </w:p>
    <w:p>
      <w:pPr>
        <w:ind w:left="540" w:hanging="26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these projections or our failure to meet these projections;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 or the perception that such sales may occur;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2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publication of research reports about the industries in which we participate;</w:t>
      </w:r>
    </w:p>
    <w:p>
      <w:pPr>
        <w:spacing w:after="0" w:line="95" w:lineRule="exact"/>
        <w:rPr>
          <w:rFonts w:ascii="Arial" w:cs="Arial" w:eastAsia="Arial" w:hAnsi="Arial"/>
          <w:sz w:val="16"/>
          <w:szCs w:val="16"/>
          <w:color w:val="auto"/>
        </w:rPr>
      </w:pPr>
    </w:p>
    <w:p>
      <w:pPr>
        <w:ind w:left="560" w:right="180" w:hanging="287"/>
        <w:spacing w:after="0" w:line="259"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analysts’ estimates, investors’ perceptions, recommendations by securities analysts, our failure to achieve analysts’ estimates or failure of analysts to maintain coverage of us;</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companies similar to us;</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companies in our industry;</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accounting principles, policies, guidance, interpretations or standards; and</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6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future issuance of additional common stock in connection with our incentive plans, acquisitions or otherwise will dilute all other stockholdings.</w:t>
      </w:r>
    </w:p>
    <w:p>
      <w:pPr>
        <w:spacing w:after="0" w:line="21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As of February 22, 2022, we had an aggregate of 886,109,800 shares of common stock that are not currently reserved for issuance under our 2020 Omnibus Incentive Plan (“2020 Plan”), as well as 3,052,633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adversely affect the market price of our common stock.</w:t>
      </w:r>
    </w:p>
    <w:p>
      <w:pPr>
        <w:spacing w:after="0" w:line="189" w:lineRule="exact"/>
        <w:rPr>
          <w:sz w:val="20"/>
          <w:szCs w:val="20"/>
          <w:color w:val="auto"/>
        </w:rPr>
      </w:pPr>
    </w:p>
    <w:p>
      <w:pPr>
        <w:ind w:right="460"/>
        <w:spacing w:after="0" w:line="304" w:lineRule="auto"/>
        <w:rPr>
          <w:sz w:val="20"/>
          <w:szCs w:val="20"/>
          <w:color w:val="auto"/>
        </w:rPr>
      </w:pPr>
      <w:r>
        <w:rPr>
          <w:rFonts w:ascii="Arial" w:cs="Arial" w:eastAsia="Arial" w:hAnsi="Arial"/>
          <w:sz w:val="14"/>
          <w:szCs w:val="14"/>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sale of a substantial number of shares of our common stock, or the perception that such sales might occur, may cause the price of our common stock to decline.</w:t>
      </w:r>
    </w:p>
    <w:p>
      <w:pPr>
        <w:spacing w:after="0" w:line="212"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apply to approximately 27,432,909 shares as of February 22, 2022, but may be waived at any time by a majority of the members of the compensation committee of the board of directors.</w:t>
      </w:r>
    </w:p>
    <w:p>
      <w:pPr>
        <w:spacing w:after="0" w:line="172" w:lineRule="exact"/>
        <w:rPr>
          <w:sz w:val="20"/>
          <w:szCs w:val="20"/>
          <w:color w:val="auto"/>
        </w:rPr>
      </w:pPr>
    </w:p>
    <w:p>
      <w:pPr>
        <w:ind w:firstLine="4"/>
        <w:spacing w:after="0" w:line="304" w:lineRule="auto"/>
        <w:rPr>
          <w:sz w:val="20"/>
          <w:szCs w:val="20"/>
          <w:color w:val="auto"/>
        </w:rPr>
      </w:pPr>
      <w:r>
        <w:rPr>
          <w:rFonts w:ascii="Arial" w:cs="Arial" w:eastAsia="Arial" w:hAnsi="Arial"/>
          <w:sz w:val="14"/>
          <w:szCs w:val="14"/>
          <w:color w:val="auto"/>
        </w:rPr>
        <w:t>Further, as of February 22, 2022, the Sponsors own approximately 62.1% of our outstanding common stock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Any sales of securities by any of our stockholders described above could have a material adverse effect on the market price of our common stock.</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69"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b w:val="1"/>
          <w:bCs w:val="1"/>
          <w:i w:val="1"/>
          <w:iCs w:val="1"/>
          <w:color w:val="auto"/>
        </w:rPr>
        <w:t>Although we do not currently rely on the “controlled company” exemption, if we are a “controlled company” within the meaning of the Nasdaq corporate governance standards we would qualify for exemptions from certain corporate governance requirements.</w:t>
      </w:r>
    </w:p>
    <w:p>
      <w:pPr>
        <w:spacing w:after="0" w:line="16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Because the Sponsors own a majority of our outstanding common stock,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76" w:lineRule="exact"/>
        <w:rPr>
          <w:sz w:val="20"/>
          <w:szCs w:val="20"/>
          <w:color w:val="auto"/>
        </w:rPr>
      </w:pPr>
    </w:p>
    <w:p>
      <w:pPr>
        <w:ind w:left="540" w:hanging="267"/>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 that a majority of our board of directors consist of independent directors;</w:t>
      </w:r>
    </w:p>
    <w:p>
      <w:pPr>
        <w:spacing w:after="0" w:line="95" w:lineRule="exact"/>
        <w:rPr>
          <w:rFonts w:ascii="Arial" w:cs="Arial" w:eastAsia="Arial" w:hAnsi="Arial"/>
          <w:sz w:val="16"/>
          <w:szCs w:val="16"/>
          <w:color w:val="auto"/>
        </w:rPr>
      </w:pPr>
    </w:p>
    <w:p>
      <w:pPr>
        <w:ind w:left="560" w:right="140" w:hanging="287"/>
        <w:spacing w:after="0" w:line="330" w:lineRule="auto"/>
        <w:tabs>
          <w:tab w:leader="none" w:pos="5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23" w:lineRule="exact"/>
        <w:rPr>
          <w:rFonts w:ascii="Arial" w:cs="Arial" w:eastAsia="Arial" w:hAnsi="Arial"/>
          <w:sz w:val="14"/>
          <w:szCs w:val="14"/>
          <w:color w:val="auto"/>
        </w:rPr>
      </w:pPr>
    </w:p>
    <w:p>
      <w:pPr>
        <w:ind w:left="560" w:right="780" w:hanging="287"/>
        <w:spacing w:after="0" w:line="259" w:lineRule="auto"/>
        <w:tabs>
          <w:tab w:leader="none" w:pos="5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 that our compensation committee be composed entirely of independent directors with a written charter addressing the committee’s purpose and responsibilities; and</w:t>
      </w:r>
    </w:p>
    <w:p>
      <w:pPr>
        <w:spacing w:after="0" w:line="69" w:lineRule="exact"/>
        <w:rPr>
          <w:rFonts w:ascii="Arial" w:cs="Arial" w:eastAsia="Arial" w:hAnsi="Arial"/>
          <w:sz w:val="16"/>
          <w:szCs w:val="16"/>
          <w:color w:val="auto"/>
        </w:rPr>
      </w:pPr>
    </w:p>
    <w:p>
      <w:pPr>
        <w:ind w:left="540" w:hanging="267"/>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 that we conduct an annual performance evaluation of the nominating and corporate governance and compensation committees.</w:t>
      </w:r>
    </w:p>
    <w:p>
      <w:pPr>
        <w:spacing w:after="0" w:line="189"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These requirements would not apply to us as long as we remain a “controlled company.” Although we may qualify as a “controlled company”, we are not currently relying on this exemption and intend to fully comply with all corporate governance requirements under the Nasdaq corporate governance standards. However, if we were to utilize some or all of these exemptions, our stockholders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As of February 22, 2022, the Sponsors own approximately 62.1% of our outstanding common stock. As a result, the Sponsors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55"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stockholders have the right to engage or invest in the same or similar businesses as us.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4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17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i w:val="1"/>
          <w:iCs w:val="1"/>
          <w:color w:val="auto"/>
        </w:rPr>
        <w:t>The requirements of being a public company, including compliance with the reporting requirements of the Exchange Act and the requirements of the Sarbanes-Oxley Act have increased and are expected to continue to increase our costs and occupy management, and we may be unable to comply with these requirements in a timely or cost-effective manner.</w:t>
      </w:r>
    </w:p>
    <w:p>
      <w:pPr>
        <w:spacing w:after="0" w:line="169"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As a public company with shares listed on a U.S. exchange, we need to comply with new laws, regulations and requirements, certain corporate governance provisions of the Sarbanes-Oxley Act, the Dodd-Frank Act, related regulations of the SEC, the requirements of the Nasdaq and other applicable rules and regulations, with which we were not required to comply with as a private company. Complying with these statutes, regulations and requirements will occupy a significant amount of time of our board of directors and management and will significantly increase our legal and financial compliance costs and expenses. We have or are in the process of:</w:t>
      </w:r>
    </w:p>
    <w:p>
      <w:pPr>
        <w:spacing w:after="0" w:line="48" w:lineRule="exact"/>
        <w:rPr>
          <w:sz w:val="20"/>
          <w:szCs w:val="20"/>
          <w:color w:val="auto"/>
        </w:rPr>
      </w:pPr>
    </w:p>
    <w:p>
      <w:pPr>
        <w:ind w:left="540" w:hanging="26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instituting a more comprehensive compliance function;</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complying with rules promulgated by the Nasdaq;</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preparing and distributing periodic public reports in compliance with our obligations under the federal securities laws;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267"/>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establishing new internal policies, such as those relating to insider trading; and</w:t>
      </w:r>
    </w:p>
    <w:p>
      <w:pPr>
        <w:spacing w:after="0" w:line="95" w:lineRule="exact"/>
        <w:rPr>
          <w:rFonts w:ascii="Arial" w:cs="Arial" w:eastAsia="Arial" w:hAnsi="Arial"/>
          <w:sz w:val="16"/>
          <w:szCs w:val="16"/>
          <w:color w:val="auto"/>
        </w:rPr>
      </w:pPr>
    </w:p>
    <w:p>
      <w:pPr>
        <w:ind w:left="540" w:hanging="267"/>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involving and retaining, to a greater degree, outside counsel and accountants in the above activities.</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79" w:lineRule="exact"/>
        <w:rPr>
          <w:sz w:val="20"/>
          <w:szCs w:val="20"/>
          <w:color w:val="auto"/>
        </w:rPr>
      </w:pPr>
    </w:p>
    <w:p>
      <w:pPr>
        <w:ind w:left="540" w:hanging="267"/>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95" w:lineRule="exact"/>
        <w:rPr>
          <w:rFonts w:ascii="Arial" w:cs="Arial" w:eastAsia="Arial" w:hAnsi="Arial"/>
          <w:sz w:val="16"/>
          <w:szCs w:val="16"/>
          <w:color w:val="auto"/>
        </w:rPr>
      </w:pPr>
    </w:p>
    <w:p>
      <w:pPr>
        <w:ind w:left="560" w:right="260" w:hanging="287"/>
        <w:spacing w:after="0" w:line="259"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three-year staggered terms, which could delay the ability of stockholders to change the membership of a majority of our board of directors;</w:t>
      </w:r>
    </w:p>
    <w:p>
      <w:pPr>
        <w:spacing w:after="0" w:line="69" w:lineRule="exact"/>
        <w:rPr>
          <w:rFonts w:ascii="Arial" w:cs="Arial" w:eastAsia="Arial" w:hAnsi="Arial"/>
          <w:sz w:val="16"/>
          <w:szCs w:val="16"/>
          <w:color w:val="auto"/>
        </w:rPr>
      </w:pPr>
    </w:p>
    <w:p>
      <w:pPr>
        <w:ind w:left="560" w:right="80" w:hanging="287"/>
        <w:spacing w:after="0" w:line="247"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79" w:lineRule="exact"/>
        <w:rPr>
          <w:rFonts w:ascii="Arial" w:cs="Arial" w:eastAsia="Arial" w:hAnsi="Arial"/>
          <w:sz w:val="16"/>
          <w:szCs w:val="16"/>
          <w:color w:val="auto"/>
        </w:rPr>
      </w:pPr>
    </w:p>
    <w:p>
      <w:pPr>
        <w:ind w:left="560" w:hanging="287"/>
        <w:spacing w:after="0" w:line="248"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78" w:lineRule="exact"/>
        <w:rPr>
          <w:rFonts w:ascii="Arial" w:cs="Arial" w:eastAsia="Arial" w:hAnsi="Arial"/>
          <w:sz w:val="16"/>
          <w:szCs w:val="16"/>
          <w:color w:val="auto"/>
        </w:rPr>
      </w:pPr>
    </w:p>
    <w:p>
      <w:pPr>
        <w:ind w:left="560" w:right="240" w:hanging="287"/>
        <w:spacing w:after="0" w:line="251"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75" w:lineRule="exact"/>
        <w:rPr>
          <w:rFonts w:ascii="Arial" w:cs="Arial" w:eastAsia="Arial" w:hAnsi="Arial"/>
          <w:sz w:val="16"/>
          <w:szCs w:val="16"/>
          <w:color w:val="auto"/>
        </w:rPr>
      </w:pPr>
    </w:p>
    <w:p>
      <w:pPr>
        <w:jc w:val="both"/>
        <w:ind w:left="560" w:right="40" w:hanging="287"/>
        <w:spacing w:after="0" w:line="304" w:lineRule="auto"/>
        <w:tabs>
          <w:tab w:leader="none" w:pos="5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41" w:lineRule="exact"/>
        <w:rPr>
          <w:rFonts w:ascii="Arial" w:cs="Arial" w:eastAsia="Arial" w:hAnsi="Arial"/>
          <w:sz w:val="14"/>
          <w:szCs w:val="14"/>
          <w:color w:val="auto"/>
        </w:rPr>
      </w:pPr>
    </w:p>
    <w:p>
      <w:pPr>
        <w:ind w:left="560" w:right="40" w:hanging="287"/>
        <w:spacing w:after="0" w:line="295" w:lineRule="auto"/>
        <w:tabs>
          <w:tab w:leader="none" w:pos="5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47" w:lineRule="exact"/>
        <w:rPr>
          <w:rFonts w:ascii="Arial" w:cs="Arial" w:eastAsia="Arial" w:hAnsi="Arial"/>
          <w:sz w:val="14"/>
          <w:szCs w:val="14"/>
          <w:color w:val="auto"/>
        </w:rPr>
      </w:pPr>
    </w:p>
    <w:p>
      <w:pPr>
        <w:ind w:left="560" w:right="40" w:hanging="287"/>
        <w:spacing w:after="0" w:line="288" w:lineRule="auto"/>
        <w:tabs>
          <w:tab w:leader="none" w:pos="5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53" w:lineRule="exact"/>
        <w:rPr>
          <w:rFonts w:ascii="Arial" w:cs="Arial" w:eastAsia="Arial" w:hAnsi="Arial"/>
          <w:sz w:val="14"/>
          <w:szCs w:val="14"/>
          <w:color w:val="auto"/>
        </w:rPr>
      </w:pPr>
    </w:p>
    <w:p>
      <w:pPr>
        <w:ind w:left="560" w:right="340" w:hanging="287"/>
        <w:spacing w:after="0" w:line="259"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right to issue blank check preferred stock without stockholder approval, which could be used to dilute the stock ownership of a potential hostile acquirer or adopt a stockholder rights plan;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560" w:right="20" w:hanging="287"/>
        <w:spacing w:after="0" w:line="295" w:lineRule="auto"/>
        <w:tabs>
          <w:tab w:leader="none" w:pos="5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47" w:lineRule="exact"/>
        <w:rPr>
          <w:rFonts w:ascii="Arial" w:cs="Arial" w:eastAsia="Arial" w:hAnsi="Arial"/>
          <w:sz w:val="14"/>
          <w:szCs w:val="14"/>
          <w:color w:val="auto"/>
        </w:rPr>
      </w:pPr>
    </w:p>
    <w:p>
      <w:pPr>
        <w:ind w:left="560" w:right="80" w:hanging="287"/>
        <w:spacing w:after="0" w:line="251"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75" w:lineRule="exact"/>
        <w:rPr>
          <w:rFonts w:ascii="Arial" w:cs="Arial" w:eastAsia="Arial" w:hAnsi="Arial"/>
          <w:sz w:val="16"/>
          <w:szCs w:val="16"/>
          <w:color w:val="auto"/>
        </w:rPr>
      </w:pPr>
    </w:p>
    <w:p>
      <w:pPr>
        <w:ind w:left="540" w:hanging="267"/>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limiting the forum to Delaware or Federal Court for certain litigation against us.</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w:t>
      </w:r>
    </w:p>
    <w:p>
      <w:pPr>
        <w:spacing w:after="0" w:line="172"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141" w:lineRule="exact"/>
        <w:rPr>
          <w:sz w:val="20"/>
          <w:szCs w:val="20"/>
          <w:color w:val="auto"/>
        </w:rPr>
      </w:pPr>
    </w:p>
    <w:p>
      <w:pPr>
        <w:ind w:right="200"/>
        <w:spacing w:after="0" w:line="330" w:lineRule="auto"/>
        <w:rPr>
          <w:sz w:val="20"/>
          <w:szCs w:val="20"/>
          <w:color w:val="auto"/>
        </w:rPr>
      </w:pPr>
      <w:r>
        <w:rPr>
          <w:rFonts w:ascii="Arial" w:cs="Arial" w:eastAsia="Arial" w:hAnsi="Arial"/>
          <w:sz w:val="14"/>
          <w:szCs w:val="14"/>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50"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44" w:name="page45"/>
    <w:bookmarkEnd w:id="44"/>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 w:right="160"/>
        <w:spacing w:after="0" w:line="259" w:lineRule="auto"/>
        <w:rPr>
          <w:sz w:val="20"/>
          <w:szCs w:val="20"/>
          <w:color w:val="auto"/>
        </w:rPr>
      </w:pPr>
      <w:r>
        <w:rPr>
          <w:rFonts w:ascii="Arial" w:cs="Arial" w:eastAsia="Arial" w:hAnsi="Arial"/>
          <w:sz w:val="16"/>
          <w:szCs w:val="16"/>
          <w:b w:val="1"/>
          <w:bCs w:val="1"/>
          <w:i w:val="1"/>
          <w:iCs w:val="1"/>
          <w:color w:val="auto"/>
        </w:rPr>
        <w:t>We do not anticipate paying any dividends on our common stock in the foreseeable future, and, consequently, stockholders’ ability to achieve a return on their investment will depend on appreciation in the price of our common stock.</w:t>
      </w:r>
    </w:p>
    <w:p>
      <w:pPr>
        <w:spacing w:after="0" w:line="162" w:lineRule="exact"/>
        <w:rPr>
          <w:sz w:val="20"/>
          <w:szCs w:val="20"/>
          <w:color w:val="auto"/>
        </w:rPr>
      </w:pPr>
    </w:p>
    <w:p>
      <w:pPr>
        <w:ind w:left="7" w:right="120"/>
        <w:spacing w:after="0" w:line="288" w:lineRule="auto"/>
        <w:rPr>
          <w:sz w:val="20"/>
          <w:szCs w:val="20"/>
          <w:color w:val="auto"/>
        </w:rPr>
      </w:pPr>
      <w:r>
        <w:rPr>
          <w:rFonts w:ascii="Arial" w:cs="Arial" w:eastAsia="Arial" w:hAnsi="Arial"/>
          <w:sz w:val="14"/>
          <w:szCs w:val="14"/>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As a result, capital appreciation, if any, of our common stock will be the sole source of potential gain for the foreseeable future, and stockholders will have to sell some or all of their common stock holdings to generate cash flow from their investment.</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1B. Unresolved Staff Comments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 applicable.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2. Properties</w:t>
      </w:r>
    </w:p>
    <w:p>
      <w:pPr>
        <w:spacing w:after="0" w:line="195" w:lineRule="exact"/>
        <w:rPr>
          <w:sz w:val="20"/>
          <w:szCs w:val="20"/>
          <w:color w:val="auto"/>
        </w:rPr>
      </w:pPr>
    </w:p>
    <w:p>
      <w:pPr>
        <w:ind w:left="7" w:right="200"/>
        <w:spacing w:after="0" w:line="295" w:lineRule="auto"/>
        <w:rPr>
          <w:sz w:val="20"/>
          <w:szCs w:val="20"/>
          <w:color w:val="auto"/>
        </w:rPr>
      </w:pPr>
      <w:r>
        <w:rPr>
          <w:rFonts w:ascii="Arial" w:cs="Arial" w:eastAsia="Arial" w:hAnsi="Arial"/>
          <w:sz w:val="14"/>
          <w:szCs w:val="14"/>
          <w:color w:val="auto"/>
        </w:rPr>
        <w:t>Our corporate headquarters is in Broadview Heights, Ohio, our Sterigenics headquarters is in Oakbrook, Illinois, our Nordion headquarters is in Kanata, Ontario and our Nelson Labs headquarters is in Taylorsville, Utah. As of December 31, 2021, we operated 65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40"/>
        </w:trPr>
        <w:tc>
          <w:tcPr>
            <w:tcW w:w="4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Owned/Leased</w:t>
            </w:r>
          </w:p>
        </w:tc>
        <w:tc>
          <w:tcPr>
            <w:tcW w:w="1440" w:type="dxa"/>
            <w:vAlign w:val="bottom"/>
          </w:tcPr>
          <w:p>
            <w:pPr>
              <w:spacing w:after="0"/>
              <w:rPr>
                <w:sz w:val="12"/>
                <w:szCs w:val="12"/>
                <w:color w:val="auto"/>
              </w:rPr>
            </w:pPr>
          </w:p>
        </w:tc>
      </w:tr>
      <w:tr>
        <w:trPr>
          <w:trHeight w:val="136"/>
        </w:trPr>
        <w:tc>
          <w:tcPr>
            <w:tcW w:w="642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Segment</w:t>
            </w:r>
            <w:r>
              <w:rPr>
                <w:rFonts w:ascii="Arial" w:cs="Arial" w:eastAsia="Arial" w:hAnsi="Arial"/>
                <w:sz w:val="7"/>
                <w:szCs w:val="7"/>
                <w:b w:val="1"/>
                <w:bCs w:val="1"/>
                <w:color w:val="auto"/>
              </w:rPr>
              <w:t>(1)</w:t>
            </w:r>
          </w:p>
        </w:tc>
        <w:tc>
          <w:tcPr>
            <w:tcW w:w="1700" w:type="dxa"/>
            <w:vAlign w:val="bottom"/>
            <w:gridSpan w:val="2"/>
          </w:tcPr>
          <w:p>
            <w:pPr>
              <w:ind w:left="280"/>
              <w:spacing w:after="0" w:line="137" w:lineRule="exact"/>
              <w:rPr>
                <w:sz w:val="20"/>
                <w:szCs w:val="20"/>
                <w:color w:val="auto"/>
              </w:rPr>
            </w:pPr>
            <w:r>
              <w:rPr>
                <w:rFonts w:ascii="Arial" w:cs="Arial" w:eastAsia="Arial" w:hAnsi="Arial"/>
                <w:sz w:val="12"/>
                <w:szCs w:val="12"/>
                <w:b w:val="1"/>
                <w:bCs w:val="1"/>
                <w:color w:val="auto"/>
              </w:rPr>
              <w:t>Owned Facilities</w:t>
            </w:r>
          </w:p>
        </w:tc>
        <w:tc>
          <w:tcPr>
            <w:tcW w:w="1700" w:type="dxa"/>
            <w:vAlign w:val="bottom"/>
            <w:gridSpan w:val="2"/>
          </w:tcPr>
          <w:p>
            <w:pPr>
              <w:jc w:val="center"/>
              <w:ind w:right="260"/>
              <w:spacing w:after="0" w:line="137" w:lineRule="exact"/>
              <w:rPr>
                <w:sz w:val="20"/>
                <w:szCs w:val="20"/>
                <w:color w:val="auto"/>
              </w:rPr>
            </w:pPr>
            <w:r>
              <w:rPr>
                <w:rFonts w:ascii="Arial" w:cs="Arial" w:eastAsia="Arial" w:hAnsi="Arial"/>
                <w:sz w:val="12"/>
                <w:szCs w:val="12"/>
                <w:b w:val="1"/>
                <w:bCs w:val="1"/>
                <w:color w:val="auto"/>
                <w:w w:val="91"/>
              </w:rPr>
              <w:t>Facilities</w:t>
            </w:r>
            <w:r>
              <w:rPr>
                <w:rFonts w:ascii="Arial" w:cs="Arial" w:eastAsia="Arial" w:hAnsi="Arial"/>
                <w:sz w:val="8"/>
                <w:szCs w:val="8"/>
                <w:b w:val="1"/>
                <w:bCs w:val="1"/>
                <w:color w:val="auto"/>
                <w:w w:val="91"/>
              </w:rPr>
              <w:t>(2)</w:t>
            </w:r>
          </w:p>
        </w:tc>
        <w:tc>
          <w:tcPr>
            <w:tcW w:w="1440" w:type="dxa"/>
            <w:vAlign w:val="bottom"/>
          </w:tcPr>
          <w:p>
            <w:pPr>
              <w:ind w:left="280"/>
              <w:spacing w:after="0" w:line="137" w:lineRule="exact"/>
              <w:rPr>
                <w:sz w:val="20"/>
                <w:szCs w:val="20"/>
                <w:color w:val="auto"/>
              </w:rPr>
            </w:pPr>
            <w:r>
              <w:rPr>
                <w:rFonts w:ascii="Arial" w:cs="Arial" w:eastAsia="Arial" w:hAnsi="Arial"/>
                <w:sz w:val="12"/>
                <w:szCs w:val="12"/>
                <w:b w:val="1"/>
                <w:bCs w:val="1"/>
                <w:color w:val="auto"/>
              </w:rPr>
              <w:t>Leased Facilities</w:t>
            </w:r>
          </w:p>
        </w:tc>
      </w:tr>
      <w:tr>
        <w:trPr>
          <w:trHeight w:val="27"/>
        </w:trPr>
        <w:tc>
          <w:tcPr>
            <w:tcW w:w="460" w:type="dxa"/>
            <w:vAlign w:val="bottom"/>
            <w:tcBorders>
              <w:top w:val="single" w:sz="8" w:color="auto"/>
            </w:tcBorders>
          </w:tcPr>
          <w:p>
            <w:pPr>
              <w:spacing w:after="0"/>
              <w:rPr>
                <w:sz w:val="2"/>
                <w:szCs w:val="2"/>
                <w:color w:val="auto"/>
              </w:rPr>
            </w:pPr>
          </w:p>
        </w:tc>
        <w:tc>
          <w:tcPr>
            <w:tcW w:w="59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55"/>
        </w:trPr>
        <w:tc>
          <w:tcPr>
            <w:tcW w:w="4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8"/>
        </w:trPr>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Sterigenics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r>
      <w:tr>
        <w:trPr>
          <w:trHeight w:val="198"/>
        </w:trPr>
        <w:tc>
          <w:tcPr>
            <w:tcW w:w="6420" w:type="dxa"/>
            <w:vAlign w:val="bottom"/>
            <w:gridSpan w:val="2"/>
          </w:tcPr>
          <w:p>
            <w:pPr>
              <w:spacing w:after="0"/>
              <w:rPr>
                <w:sz w:val="20"/>
                <w:szCs w:val="20"/>
                <w:color w:val="auto"/>
              </w:rPr>
            </w:pPr>
            <w:r>
              <w:rPr>
                <w:rFonts w:ascii="Arial" w:cs="Arial" w:eastAsia="Arial" w:hAnsi="Arial"/>
                <w:sz w:val="16"/>
                <w:szCs w:val="16"/>
                <w:color w:val="auto"/>
              </w:rPr>
              <w:t>Nelson Labs</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198"/>
        </w:trPr>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Nordion</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2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bl>
    <w:p>
      <w:pPr>
        <w:spacing w:after="0" w:line="83" w:lineRule="exact"/>
        <w:rPr>
          <w:sz w:val="20"/>
          <w:szCs w:val="20"/>
          <w:color w:val="auto"/>
        </w:rPr>
      </w:pPr>
    </w:p>
    <w:p>
      <w:pPr>
        <w:ind w:left="347" w:right="220" w:hanging="347"/>
        <w:spacing w:after="0" w:line="247" w:lineRule="auto"/>
        <w:tabs>
          <w:tab w:leader="none" w:pos="341"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Arial" w:cs="Arial" w:eastAsia="Arial" w:hAnsi="Arial"/>
          <w:sz w:val="16"/>
          <w:szCs w:val="16"/>
          <w:color w:val="auto"/>
        </w:rPr>
      </w:pPr>
    </w:p>
    <w:p>
      <w:pPr>
        <w:ind w:left="347" w:hanging="347"/>
        <w:spacing w:after="0"/>
        <w:tabs>
          <w:tab w:leader="none" w:pos="3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Owned/leased facilities are comprised of multiple buildings, with some leased and some owned.</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3. Legal Proceedings</w:t>
      </w:r>
    </w:p>
    <w:p>
      <w:pPr>
        <w:spacing w:after="0" w:line="195" w:lineRule="exact"/>
        <w:rPr>
          <w:sz w:val="20"/>
          <w:szCs w:val="20"/>
          <w:color w:val="auto"/>
        </w:rPr>
      </w:pPr>
    </w:p>
    <w:p>
      <w:pPr>
        <w:ind w:left="7" w:right="120"/>
        <w:spacing w:after="0" w:line="291" w:lineRule="auto"/>
        <w:rPr>
          <w:sz w:val="20"/>
          <w:szCs w:val="20"/>
          <w:color w:val="auto"/>
        </w:rPr>
      </w:pPr>
      <w:r>
        <w:rPr>
          <w:rFonts w:ascii="Arial" w:cs="Arial" w:eastAsia="Arial" w:hAnsi="Arial"/>
          <w:sz w:val="14"/>
          <w:szCs w:val="14"/>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Legal Proceedings Described in Note 20, “Commitments and Contingencies” of Our Consolidated Financial Statements</w:t>
      </w:r>
    </w:p>
    <w:p>
      <w:pPr>
        <w:spacing w:after="0" w:line="191" w:lineRule="exact"/>
        <w:rPr>
          <w:sz w:val="20"/>
          <w:szCs w:val="20"/>
          <w:color w:val="auto"/>
        </w:rPr>
      </w:pPr>
    </w:p>
    <w:p>
      <w:pPr>
        <w:ind w:left="7" w:right="40"/>
        <w:spacing w:after="0" w:line="305" w:lineRule="auto"/>
        <w:rPr>
          <w:sz w:val="20"/>
          <w:szCs w:val="20"/>
          <w:color w:val="auto"/>
        </w:rPr>
      </w:pPr>
      <w:r>
        <w:rPr>
          <w:rFonts w:ascii="Arial" w:cs="Arial" w:eastAsia="Arial" w:hAnsi="Arial"/>
          <w:sz w:val="14"/>
          <w:szCs w:val="14"/>
          <w:color w:val="auto"/>
        </w:rPr>
        <w:t xml:space="preserve">Note 20, “Commitments and Contingencies” </w:t>
      </w:r>
      <w:r>
        <w:rPr>
          <w:rFonts w:ascii="Arial" w:cs="Arial" w:eastAsia="Arial" w:hAnsi="Arial"/>
          <w:sz w:val="15"/>
          <w:szCs w:val="15"/>
          <w:color w:val="auto"/>
        </w:rPr>
        <w:t>t</w:t>
      </w:r>
      <w:r>
        <w:rPr>
          <w:rFonts w:ascii="Arial" w:cs="Arial" w:eastAsia="Arial" w:hAnsi="Arial"/>
          <w:sz w:val="14"/>
          <w:szCs w:val="14"/>
          <w:color w:val="auto"/>
        </w:rPr>
        <w:t>o our consolidated financial statements for the year ended December 31, 2021 contained in this Annual Report on Form 10-K includes information on legal proceedings that constitute material contingencies for financial reporting purposes that could have a material effect on our financial condition or results of</w:t>
      </w:r>
    </w:p>
    <w:p>
      <w:pPr>
        <w:ind w:left="7" w:right="60"/>
        <w:spacing w:after="0" w:line="259" w:lineRule="auto"/>
        <w:rPr>
          <w:sz w:val="20"/>
          <w:szCs w:val="20"/>
          <w:color w:val="auto"/>
        </w:rPr>
      </w:pPr>
      <w:r>
        <w:rPr>
          <w:rFonts w:ascii="Arial" w:cs="Arial" w:eastAsia="Arial" w:hAnsi="Arial"/>
          <w:sz w:val="16"/>
          <w:szCs w:val="16"/>
          <w:color w:val="auto"/>
        </w:rPr>
        <w:t>operations. This item should be read in conjunction with Note 20, “Commitments and Contingencies” for information regarding the following legal proceedings, which information is incorporated into this item by reference:</w:t>
      </w:r>
    </w:p>
    <w:p>
      <w:pPr>
        <w:spacing w:after="0" w:line="175" w:lineRule="exact"/>
        <w:rPr>
          <w:sz w:val="20"/>
          <w:szCs w:val="20"/>
          <w:color w:val="auto"/>
        </w:rPr>
      </w:pPr>
    </w:p>
    <w:p>
      <w:pPr>
        <w:ind w:left="547" w:hanging="267"/>
        <w:spacing w:after="0"/>
        <w:tabs>
          <w:tab w:leader="none" w:pos="547" w:val="left"/>
        </w:tabs>
        <w:numPr>
          <w:ilvl w:val="0"/>
          <w:numId w:val="23"/>
        </w:numPr>
        <w:rPr>
          <w:rFonts w:ascii="Arial" w:cs="Arial" w:eastAsia="Arial" w:hAnsi="Arial"/>
          <w:sz w:val="19"/>
          <w:szCs w:val="19"/>
          <w:color w:val="auto"/>
        </w:rPr>
      </w:pPr>
      <w:r>
        <w:rPr>
          <w:rFonts w:ascii="Arial" w:cs="Arial" w:eastAsia="Arial" w:hAnsi="Arial"/>
          <w:sz w:val="16"/>
          <w:szCs w:val="16"/>
          <w:color w:val="auto"/>
        </w:rPr>
        <w:t>Business Interruption Claim (NRU Outage)</w:t>
      </w:r>
    </w:p>
    <w:p>
      <w:pPr>
        <w:spacing w:after="0" w:line="10" w:lineRule="exact"/>
        <w:rPr>
          <w:rFonts w:ascii="Arial" w:cs="Arial" w:eastAsia="Arial" w:hAnsi="Arial"/>
          <w:sz w:val="19"/>
          <w:szCs w:val="19"/>
          <w:color w:val="auto"/>
        </w:rPr>
      </w:pPr>
    </w:p>
    <w:p>
      <w:pPr>
        <w:ind w:left="547" w:hanging="267"/>
        <w:spacing w:after="0" w:line="232" w:lineRule="auto"/>
        <w:tabs>
          <w:tab w:leader="none" w:pos="547" w:val="left"/>
        </w:tabs>
        <w:numPr>
          <w:ilvl w:val="0"/>
          <w:numId w:val="23"/>
        </w:numPr>
        <w:rPr>
          <w:rFonts w:ascii="Arial" w:cs="Arial" w:eastAsia="Arial" w:hAnsi="Arial"/>
          <w:sz w:val="19"/>
          <w:szCs w:val="19"/>
          <w:color w:val="auto"/>
        </w:rPr>
      </w:pPr>
      <w:r>
        <w:rPr>
          <w:rFonts w:ascii="Arial" w:cs="Arial" w:eastAsia="Arial" w:hAnsi="Arial"/>
          <w:sz w:val="16"/>
          <w:szCs w:val="16"/>
          <w:color w:val="auto"/>
        </w:rPr>
        <w:t>Ethylene Oxide Tort Litigation – Illinois and Georgia</w:t>
      </w:r>
    </w:p>
    <w:p>
      <w:pPr>
        <w:spacing w:after="0" w:line="10" w:lineRule="exact"/>
        <w:rPr>
          <w:rFonts w:ascii="Arial" w:cs="Arial" w:eastAsia="Arial" w:hAnsi="Arial"/>
          <w:sz w:val="19"/>
          <w:szCs w:val="19"/>
          <w:color w:val="auto"/>
        </w:rPr>
      </w:pPr>
    </w:p>
    <w:p>
      <w:pPr>
        <w:ind w:left="547" w:hanging="267"/>
        <w:spacing w:after="0" w:line="232" w:lineRule="auto"/>
        <w:tabs>
          <w:tab w:leader="none" w:pos="547" w:val="left"/>
        </w:tabs>
        <w:numPr>
          <w:ilvl w:val="0"/>
          <w:numId w:val="23"/>
        </w:numPr>
        <w:rPr>
          <w:rFonts w:ascii="Arial" w:cs="Arial" w:eastAsia="Arial" w:hAnsi="Arial"/>
          <w:sz w:val="19"/>
          <w:szCs w:val="19"/>
          <w:color w:val="auto"/>
        </w:rPr>
      </w:pPr>
      <w:r>
        <w:rPr>
          <w:rFonts w:ascii="Arial" w:cs="Arial" w:eastAsia="Arial" w:hAnsi="Arial"/>
          <w:sz w:val="16"/>
          <w:szCs w:val="16"/>
          <w:color w:val="auto"/>
        </w:rPr>
        <w:t>Georgia Facility Operations Litigation; and</w:t>
      </w: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540" w:hanging="267"/>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6"/>
          <w:szCs w:val="16"/>
          <w:color w:val="auto"/>
        </w:rPr>
        <w:t>New Mexico Attorney General Litigation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 That Are Not Described in Note 20, “Commitments and Contingencies” to Our Consolidated Financial Statements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to the matters that are identified in Note 20, “Commitments and Contingencies” to our consolidated financial statements for the year ended December 31, 2021 contained in this Annual Report on Form 10-K, and incorporated into this item by reference, the following matter also constitutes a material pending legal proceeding, other than ordinary course litigation incidental to our business, to which we are or any of our subsidiaries is a party.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Zoetermeer, Holland Criminal Proceedings and Criminal Financial Investigation</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In 2010, the Dutch Public Prosecution Service started criminal proceedings against DEROSS Holding B.V. (“DEROSS”),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(US$0.9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4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€0.6 million (US$0.7 million).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2018, DEROSS and the two individuals received favorable judgments from the trial court, which did not hold any of them responsible for the alleged criminal offenses.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March 2018, the Public Prosecutor filed an appeal against the favorable judgments. The appeal procedure is still pending.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An escrow account was established in 2011 to satisfy indemnity claims for losses related to this matter. The balance of the special escrow as of December 31, 2021, was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approximately $1.9 million and additional cash collateral held by ABN Amro to provide security for the claims was approximately €2.4 million (US$2.7 million) as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At this time, we expect that the appeal of this matter will likely take several years to resolve; however, we believe the indemnification receivable continues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 recoverable and plan to ensure escrow funds remain in place to cover outcomes of an appeal.</w:t>
      </w:r>
    </w:p>
    <w:p>
      <w:pPr>
        <w:spacing w:after="0" w:line="179"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or us. We have not provided for a contingency reserve in connection with any civil claims as we are unable to determine the likelihood of an unfavorable outcome and no reasonable estimate of a loss or range of losses, if any,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is listed on the Nasdaq under the ticker symbol “SHC.”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of February 22, 2022, we had approximately 82 holders of record of our common stock. This does not include the number of stockholders who hold shares of our common stock through banks, brokers or other financial institutions.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69"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9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following graph compares the cumulative total return to stockholders on our common stock relative to the cumulative total returns of the NASDAQ Composite Index and the Standard and Poors (“S&amp;P”) 500 Global Health Care Index. An investment of $100 (with reinvestment of all dividends) is assumed to have been made in our common stock and in each index on November 20, 2020, the date our common stock began trading on the Nasdaq, and its relative performance is tracked through December 31, 2021.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5063490" cy="2353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3490" cy="235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47" w:name="page48"/>
    <w:bookmarkEnd w:id="47"/>
    <w:p>
      <w:pPr>
        <w:ind w:right="80"/>
        <w:spacing w:after="0" w:line="259" w:lineRule="auto"/>
        <w:rPr>
          <w:sz w:val="20"/>
          <w:szCs w:val="20"/>
          <w:color w:val="auto"/>
        </w:rPr>
      </w:pPr>
      <w:r>
        <w:rPr>
          <w:rFonts w:ascii="Arial" w:cs="Arial" w:eastAsia="Arial" w:hAnsi="Arial"/>
          <w:sz w:val="16"/>
          <w:szCs w:val="16"/>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3"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i w:val="1"/>
          <w:iCs w:val="1"/>
          <w:color w:val="auto"/>
        </w:rPr>
        <w:t>You should read the following discussion and analysis in conjunction with our consolidated financial statements and related notes included elsewhere in this Annual Report on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“Risk Factors” and elsewhere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are a leading global provider of mission-critical end-to-end sterilization solutions and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4"/>
          <w:szCs w:val="14"/>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65 facilities worldwide, we have over 3,000 employees who are dedicated to safety and quality. We are a trusted partner to approximately 5,500 customers in over 50 countries.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For the year ended December 31, 2021, we recorded net revenues of $931.5 million, net income of $117.1 million, Adjusted Net Income of $245.8 million and Adjusted EBITDA of $481.2 million. Adjusted Net Income and Adjusted EBITDA are financial measures </w:t>
      </w:r>
      <w:r>
        <w:rPr>
          <w:rFonts w:ascii="Arial" w:cs="Arial" w:eastAsia="Arial" w:hAnsi="Arial"/>
          <w:sz w:val="16"/>
          <w:szCs w:val="16"/>
          <w:color w:val="231F20"/>
        </w:rPr>
        <w:t>not based on any standardized methodology prescribed by U.S. Generally Accepted Accounting</w:t>
      </w:r>
      <w:r>
        <w:rPr>
          <w:rFonts w:ascii="Arial" w:cs="Arial" w:eastAsia="Arial" w:hAnsi="Arial"/>
          <w:sz w:val="16"/>
          <w:szCs w:val="16"/>
          <w:color w:val="auto"/>
        </w:rPr>
        <w:t xml:space="preserve"> </w:t>
      </w:r>
      <w:r>
        <w:rPr>
          <w:rFonts w:ascii="Arial" w:cs="Arial" w:eastAsia="Arial" w:hAnsi="Arial"/>
          <w:sz w:val="16"/>
          <w:szCs w:val="16"/>
          <w:color w:val="231F20"/>
        </w:rPr>
        <w:t xml:space="preserve">Principles (“GAAP”). </w:t>
      </w:r>
      <w:r>
        <w:rPr>
          <w:rFonts w:ascii="Arial" w:cs="Arial" w:eastAsia="Arial" w:hAnsi="Arial"/>
          <w:sz w:val="16"/>
          <w:szCs w:val="16"/>
          <w:color w:val="000000"/>
        </w:rPr>
        <w:t>For the definition of Adjusted Net Income and Adjusted EBITDA and the reconciliation of these non-GAAP measures from net income (loss), please see</w:t>
      </w:r>
      <w:r>
        <w:rPr>
          <w:rFonts w:ascii="Arial" w:cs="Arial" w:eastAsia="Arial" w:hAnsi="Arial"/>
          <w:sz w:val="16"/>
          <w:szCs w:val="16"/>
          <w:color w:val="231F20"/>
        </w:rPr>
        <w:t xml:space="preserve"> </w:t>
      </w:r>
      <w:r>
        <w:rPr>
          <w:rFonts w:ascii="Arial" w:cs="Arial" w:eastAsia="Arial" w:hAnsi="Arial"/>
          <w:sz w:val="16"/>
          <w:szCs w:val="16"/>
          <w:color w:val="000000"/>
        </w:rPr>
        <w:t>“Non-GAAP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AND KEY FACTORS AFFECTING OUR RESULTS OF OPERATIONS</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70" w:lineRule="exact"/>
        <w:rPr>
          <w:sz w:val="20"/>
          <w:szCs w:val="20"/>
          <w:color w:val="auto"/>
        </w:rPr>
      </w:pPr>
    </w:p>
    <w:p>
      <w:pPr>
        <w:ind w:left="560" w:right="140" w:hanging="287"/>
        <w:spacing w:after="0" w:line="293" w:lineRule="auto"/>
        <w:tabs>
          <w:tab w:leader="none" w:pos="556"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Continue to drive organic growth</w:t>
      </w:r>
      <w:r>
        <w:rPr>
          <w:rFonts w:ascii="Arial" w:cs="Arial" w:eastAsia="Arial" w:hAnsi="Arial"/>
          <w:sz w:val="14"/>
          <w:szCs w:val="14"/>
          <w:color w:val="auto"/>
        </w:rPr>
        <w:t>. During the year ended December 31, 2021, we continued to drive organic growth through increasing utilization of our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and expanding our capacity and service offerings. In our Sterigenics business, we made strategic investments to expand capacity at existing facilities and build new facilities. In our Nordion business, we remain focused on developing new supply relationships and expanding our capabilities to source Co-60 from additional reactors. In our Nelson Labs business, we continue to expand capacity to meet demand for microbiological testing and extractables and leachables testing. We are making investments to expand our geographic reach, technical expertise and regulatory know-how to stay ahead of the dynamic and increasingly stringent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8" w:name="page49"/>
    <w:bookmarkEnd w:id="48"/>
    <w:p>
      <w:pPr>
        <w:ind w:left="287" w:right="440"/>
        <w:spacing w:after="0" w:line="259" w:lineRule="auto"/>
        <w:rPr>
          <w:sz w:val="20"/>
          <w:szCs w:val="20"/>
          <w:color w:val="auto"/>
        </w:rPr>
      </w:pPr>
      <w:r>
        <w:rPr>
          <w:rFonts w:ascii="Arial" w:cs="Arial" w:eastAsia="Arial" w:hAnsi="Arial"/>
          <w:sz w:val="16"/>
          <w:szCs w:val="16"/>
          <w:color w:val="auto"/>
        </w:rPr>
        <w:t>regulatory landscape in the healthcare industry. Nelson Labs and Sterigenics also launched an Expert Advisory Services organization designed to drive growth in our advisory services offering.</w:t>
      </w:r>
    </w:p>
    <w:p>
      <w:pPr>
        <w:spacing w:after="0" w:line="63" w:lineRule="exact"/>
        <w:rPr>
          <w:sz w:val="20"/>
          <w:szCs w:val="20"/>
          <w:color w:val="auto"/>
        </w:rPr>
      </w:pPr>
    </w:p>
    <w:p>
      <w:pPr>
        <w:ind w:left="287" w:right="40" w:hanging="287"/>
        <w:spacing w:after="0" w:line="290" w:lineRule="auto"/>
        <w:tabs>
          <w:tab w:leader="none" w:pos="283" w:val="left"/>
        </w:tabs>
        <w:numPr>
          <w:ilvl w:val="0"/>
          <w:numId w:val="26"/>
        </w:numPr>
        <w:rPr>
          <w:rFonts w:ascii="Arial" w:cs="Arial" w:eastAsia="Arial" w:hAnsi="Arial"/>
          <w:sz w:val="14"/>
          <w:szCs w:val="14"/>
          <w:i w:val="1"/>
          <w:iCs w:val="1"/>
          <w:color w:val="auto"/>
        </w:rPr>
      </w:pPr>
      <w:r>
        <w:rPr>
          <w:rFonts w:ascii="Arial" w:cs="Arial" w:eastAsia="Arial" w:hAnsi="Arial"/>
          <w:sz w:val="14"/>
          <w:szCs w:val="14"/>
          <w:b w:val="1"/>
          <w:bCs w:val="1"/>
          <w:color w:val="auto"/>
        </w:rPr>
        <w:t>Disciplined and strategic M&amp;A activity</w:t>
      </w:r>
      <w:r>
        <w:rPr>
          <w:rFonts w:ascii="Arial" w:cs="Arial" w:eastAsia="Arial" w:hAnsi="Arial"/>
          <w:sz w:val="14"/>
          <w:szCs w:val="14"/>
          <w:color w:val="auto"/>
        </w:rPr>
        <w:t>. During the year ended December 31, 2021, we completed two business acquisitions that expanded our addressable market and</w:t>
      </w:r>
      <w:r>
        <w:rPr>
          <w:rFonts w:ascii="Arial" w:cs="Arial" w:eastAsia="Arial" w:hAnsi="Arial"/>
          <w:sz w:val="14"/>
          <w:szCs w:val="14"/>
          <w:b w:val="1"/>
          <w:bCs w:val="1"/>
          <w:color w:val="auto"/>
        </w:rPr>
        <w:t xml:space="preserve"> </w:t>
      </w:r>
      <w:r>
        <w:rPr>
          <w:rFonts w:ascii="Arial" w:cs="Arial" w:eastAsia="Arial" w:hAnsi="Arial"/>
          <w:sz w:val="14"/>
          <w:szCs w:val="14"/>
          <w:color w:val="auto"/>
        </w:rPr>
        <w:t>enhanced our global capabilities and footprint. In March 2021, we acquired BioScience Laboratories, LLC based in Bozeman, Montana, bringing expertise in antimicrobial and virology testing to our Nelson Labs segment. 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will expand and further strengthen the technical consulting and expert advisory capabilities of Nelson Labs. We are continuing to pursue strategic acquisitions to grow our footprint and expand our capabilities.</w:t>
      </w:r>
    </w:p>
    <w:p>
      <w:pPr>
        <w:spacing w:after="0" w:line="45" w:lineRule="exact"/>
        <w:rPr>
          <w:rFonts w:ascii="Arial" w:cs="Arial" w:eastAsia="Arial" w:hAnsi="Arial"/>
          <w:sz w:val="14"/>
          <w:szCs w:val="14"/>
          <w:i w:val="1"/>
          <w:iCs w:val="1"/>
          <w:color w:val="auto"/>
        </w:rPr>
      </w:pPr>
    </w:p>
    <w:p>
      <w:pPr>
        <w:ind w:left="287" w:right="100" w:hanging="287"/>
        <w:spacing w:after="0" w:line="283" w:lineRule="auto"/>
        <w:tabs>
          <w:tab w:leader="none" w:pos="283"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Litigation related costs and exit activities</w:t>
      </w:r>
      <w:r>
        <w:rPr>
          <w:rFonts w:ascii="Arial" w:cs="Arial" w:eastAsia="Arial" w:hAnsi="Arial"/>
          <w:sz w:val="14"/>
          <w:szCs w:val="14"/>
          <w:color w:val="auto"/>
        </w:rPr>
        <w:t>. We are currently the subject of a series of tort lawsuits alleging personal injury by purported exposure to EO emitted by our</w:t>
      </w:r>
      <w:r>
        <w:rPr>
          <w:rFonts w:ascii="Arial" w:cs="Arial" w:eastAsia="Arial" w:hAnsi="Arial"/>
          <w:sz w:val="14"/>
          <w:szCs w:val="14"/>
          <w:b w:val="1"/>
          <w:bCs w:val="1"/>
          <w:color w:val="auto"/>
        </w:rPr>
        <w:t xml:space="preserve"> </w:t>
      </w:r>
      <w:r>
        <w:rPr>
          <w:rFonts w:ascii="Arial" w:cs="Arial" w:eastAsia="Arial" w:hAnsi="Arial"/>
          <w:sz w:val="14"/>
          <w:szCs w:val="14"/>
          <w:color w:val="auto"/>
        </w:rPr>
        <w:t>facilities in Willowbrook, Illinois and Atlanta, Georgia. We are also the subject of litigation with local officials in Georgia to allow us to resume operations at our Atlanta EO facility. In addition, we are defendants in a lawsuit brought by the State of New Mexico Attorney General alleging that emissions of EO from our Santa Teresa facility constitute a public nuisance and materially contributed to increased health risks suffered by residents in the area. We deny these allegations and are vigorously defending against these claims. We expect that our litigation costs will increase during the pendency of these cases, particularly as the per occurrence limit of our environmental liability insurance was reached for the Willowbrook litigation in the second quarter of 2020 and as we prepare for the commencement of the first personal injury trials for the Willowbrook litigation currently scheduled to occur in 2022. See Item 3, “Legal Proceedings” and Note 20, “Commitments and Contingencies” to our consolidated financial statements. For the years ended December 31, 2021 and 2020 and 2019, we recorded costs of $45.7 million, $36.7 million and $11.2 million, respectively, representing professional fees related to litigation associated with our EO sterilization facilities and other related professional fees. On September 30, 2019, we announced plans to exit our EO sterilization operations in Willowbrook and recorded a fixed asset impairment and have continued to incur certain transitional costs during the closure process including lease costs, payroll and utility expenses. For the years ended December 31, 2021, 2020 and 2019, we recorded costs of $2.3 million, $2.6 million and $1.7 million, respectively, relating to the closure of our Willowbrook facility.</w:t>
      </w:r>
    </w:p>
    <w:p>
      <w:pPr>
        <w:spacing w:after="0" w:line="41" w:lineRule="exact"/>
        <w:rPr>
          <w:rFonts w:ascii="Arial" w:cs="Arial" w:eastAsia="Arial" w:hAnsi="Arial"/>
          <w:sz w:val="14"/>
          <w:szCs w:val="14"/>
          <w:color w:val="auto"/>
        </w:rPr>
      </w:pPr>
    </w:p>
    <w:p>
      <w:pPr>
        <w:ind w:left="287" w:right="40" w:hanging="287"/>
        <w:spacing w:after="0" w:line="288" w:lineRule="auto"/>
        <w:tabs>
          <w:tab w:leader="none" w:pos="283"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Impacts of our IPO and other public company costs</w:t>
      </w:r>
      <w:r>
        <w:rPr>
          <w:rFonts w:ascii="Arial" w:cs="Arial" w:eastAsia="Arial" w:hAnsi="Arial"/>
          <w:sz w:val="14"/>
          <w:szCs w:val="14"/>
          <w:color w:val="auto"/>
        </w:rPr>
        <w:t>. We completed the initial public offering of our common stock in November 2020. The IPO generated net proceeds</w:t>
      </w:r>
      <w:r>
        <w:rPr>
          <w:rFonts w:ascii="Arial" w:cs="Arial" w:eastAsia="Arial" w:hAnsi="Arial"/>
          <w:sz w:val="14"/>
          <w:szCs w:val="14"/>
          <w:b w:val="1"/>
          <w:bCs w:val="1"/>
          <w:color w:val="auto"/>
        </w:rPr>
        <w:t xml:space="preserve"> </w:t>
      </w:r>
      <w:r>
        <w:rPr>
          <w:rFonts w:ascii="Arial" w:cs="Arial" w:eastAsia="Arial" w:hAnsi="Arial"/>
          <w:sz w:val="14"/>
          <w:szCs w:val="14"/>
          <w:color w:val="auto"/>
        </w:rPr>
        <w:t>of $1.2 billion after deducting underwriting discounts, commissions and other offering costs. As a newly public company we incurred significant expenses during the year ended December 31, 2021 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are generally classified as Selling, General &amp; Administrative (“SG&amp;A”) expenses. Additionally, in connection with our IPO, we implemented the 2020 Plan (as previously defined in Item 1A, “Risk Factors”), a long-term equity incentive plan to align our equity compensation program with public company plans and practices. We expect to grant additional stock-based awards to employees under the 2020 Plan in the first quarter of 2022.</w:t>
      </w:r>
    </w:p>
    <w:p>
      <w:pPr>
        <w:spacing w:after="0" w:line="46" w:lineRule="exact"/>
        <w:rPr>
          <w:rFonts w:ascii="Arial" w:cs="Arial" w:eastAsia="Arial" w:hAnsi="Arial"/>
          <w:sz w:val="14"/>
          <w:szCs w:val="14"/>
          <w:color w:val="auto"/>
        </w:rPr>
      </w:pPr>
    </w:p>
    <w:p>
      <w:pPr>
        <w:ind w:left="267" w:hanging="267"/>
        <w:spacing w:after="0"/>
        <w:tabs>
          <w:tab w:leader="none" w:pos="267"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Borrowings, financing costs and financial leverage</w:t>
      </w:r>
      <w:r>
        <w:rPr>
          <w:rFonts w:ascii="Arial" w:cs="Arial" w:eastAsia="Arial" w:hAnsi="Arial"/>
          <w:sz w:val="14"/>
          <w:szCs w:val="14"/>
          <w:color w:val="auto"/>
        </w:rPr>
        <w:t>. We paid $58.8 million of cash for interest on long-term debt for the year ended December 31, 2021 compared to</w:t>
      </w:r>
    </w:p>
    <w:p>
      <w:pPr>
        <w:spacing w:after="0" w:line="41" w:lineRule="exact"/>
        <w:rPr>
          <w:rFonts w:ascii="Arial" w:cs="Arial" w:eastAsia="Arial" w:hAnsi="Arial"/>
          <w:sz w:val="14"/>
          <w:szCs w:val="14"/>
          <w:color w:val="auto"/>
        </w:rPr>
      </w:pPr>
    </w:p>
    <w:p>
      <w:pPr>
        <w:ind w:left="287" w:right="60"/>
        <w:spacing w:after="0" w:line="287" w:lineRule="auto"/>
        <w:rPr>
          <w:rFonts w:ascii="Arial" w:cs="Arial" w:eastAsia="Arial" w:hAnsi="Arial"/>
          <w:sz w:val="14"/>
          <w:szCs w:val="14"/>
          <w:color w:val="auto"/>
        </w:rPr>
      </w:pPr>
      <w:r>
        <w:rPr>
          <w:rFonts w:ascii="Arial" w:cs="Arial" w:eastAsia="Arial" w:hAnsi="Arial"/>
          <w:sz w:val="14"/>
          <w:szCs w:val="14"/>
          <w:color w:val="auto"/>
        </w:rPr>
        <w:t>$211.3 million for the year ended December 31, 2020. A combination of lower outstanding borrowings and reduced pricing on our debt resulted in this reduction of $152.5 million year over year. On January 20, 2021 we amended our Term Loan to reduce the interest rate spread over LIBOR from 4.50% to 2.75%, and the LIBOR floor from 1.00% to 0.50%. For 2021, the changes resulted in an effective reduction in current interest rates of 2.25%. Interest savings in 2021 were offset by cash and non-cash charges associated with the repricing amendment. On March 26, 2021, we amended our Revolving Credit Facility to reduce the interest rate spread over LIBOR applicable to revolving loans from 3.50% to 2.75%. In addition, on August 27, 2021, we redeemed in full all of the $100.0 million aggregate principal amount of the First Lien Notes.</w:t>
      </w:r>
    </w:p>
    <w:p>
      <w:pPr>
        <w:spacing w:after="0" w:line="53" w:lineRule="exact"/>
        <w:rPr>
          <w:rFonts w:ascii="Arial" w:cs="Arial" w:eastAsia="Arial" w:hAnsi="Arial"/>
          <w:sz w:val="14"/>
          <w:szCs w:val="14"/>
          <w:color w:val="auto"/>
        </w:rPr>
      </w:pPr>
    </w:p>
    <w:p>
      <w:pPr>
        <w:ind w:left="287" w:right="40"/>
        <w:spacing w:after="0" w:line="330" w:lineRule="auto"/>
        <w:rPr>
          <w:rFonts w:ascii="Arial" w:cs="Arial" w:eastAsia="Arial" w:hAnsi="Arial"/>
          <w:sz w:val="14"/>
          <w:szCs w:val="14"/>
          <w:color w:val="auto"/>
        </w:rPr>
      </w:pPr>
      <w:r>
        <w:rPr>
          <w:rFonts w:ascii="Arial" w:cs="Arial" w:eastAsia="Arial" w:hAnsi="Arial"/>
          <w:sz w:val="14"/>
          <w:szCs w:val="14"/>
          <w:color w:val="auto"/>
        </w:rPr>
        <w:t>In connection with this activity, we incurred total costs of $20.7 million, which includes the write-off of debt discounts and issuance costs and an early redemption premium. Based on the current principal balance of our long-term debt and current market interest rates, we expect cash interest in 2022 to be approximately $58.4 million.</w:t>
      </w:r>
    </w:p>
    <w:p>
      <w:pPr>
        <w:spacing w:after="0" w:line="17" w:lineRule="exact"/>
        <w:rPr>
          <w:rFonts w:ascii="Arial" w:cs="Arial" w:eastAsia="Arial" w:hAnsi="Arial"/>
          <w:sz w:val="14"/>
          <w:szCs w:val="14"/>
          <w:color w:val="auto"/>
        </w:rPr>
      </w:pPr>
    </w:p>
    <w:p>
      <w:pPr>
        <w:ind w:left="287" w:hanging="287"/>
        <w:spacing w:after="0" w:line="251" w:lineRule="auto"/>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Foreign currency exchange rates</w:t>
      </w:r>
      <w:r>
        <w:rPr>
          <w:rFonts w:ascii="Arial" w:cs="Arial" w:eastAsia="Arial" w:hAnsi="Arial"/>
          <w:sz w:val="16"/>
          <w:szCs w:val="16"/>
          <w:color w:val="auto"/>
        </w:rPr>
        <w:t>. As a result of our global operations, we generate a significant portion of our revenue and incur a significant portion of our expenses in</w:t>
      </w:r>
      <w:r>
        <w:rPr>
          <w:rFonts w:ascii="Arial" w:cs="Arial" w:eastAsia="Arial" w:hAnsi="Arial"/>
          <w:sz w:val="16"/>
          <w:szCs w:val="16"/>
          <w:b w:val="1"/>
          <w:bCs w:val="1"/>
          <w:color w:val="auto"/>
        </w:rPr>
        <w:t xml:space="preserve"> </w:t>
      </w:r>
      <w:r>
        <w:rPr>
          <w:rFonts w:ascii="Arial" w:cs="Arial" w:eastAsia="Arial" w:hAnsi="Arial"/>
          <w:sz w:val="16"/>
          <w:szCs w:val="16"/>
          <w:color w:val="auto"/>
        </w:rPr>
        <w:t>currencies other than the U.S. dollar. We translate the assets, liabilities, net revenues and expenses of all of our operations into U.S. dollars at applicable exchange rates, and therefore we experience gains and losses related to exchange rate fluctuations. See Item 7A. “Quantitative and Qualitative Disclosures About Market Risk—Foreign Currency Risk.” From time to time, as and when we determine it</w:t>
      </w:r>
    </w:p>
    <w:p>
      <w:pPr>
        <w:spacing w:after="0" w:line="200" w:lineRule="exact"/>
        <w:rPr>
          <w:sz w:val="20"/>
          <w:szCs w:val="20"/>
          <w:color w:val="auto"/>
        </w:rPr>
      </w:pPr>
    </w:p>
    <w:p>
      <w:pPr>
        <w:spacing w:after="0" w:line="284" w:lineRule="exact"/>
        <w:rPr>
          <w:sz w:val="20"/>
          <w:szCs w:val="20"/>
          <w:color w:val="auto"/>
        </w:rPr>
      </w:pPr>
    </w:p>
    <w:p>
      <w:pPr>
        <w:jc w:val="center"/>
        <w:ind w:right="27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62230</wp:posOffset>
            </wp:positionV>
            <wp:extent cx="717613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7"/>
          </w:cols>
          <w:pgMar w:left="593" w:top="922" w:right="319" w:bottom="1440" w:gutter="0" w:footer="0" w:header="0"/>
        </w:sectPr>
      </w:pPr>
    </w:p>
    <w:bookmarkStart w:id="49" w:name="page50"/>
    <w:bookmarkEnd w:id="49"/>
    <w:p>
      <w:pPr>
        <w:ind w:left="560" w:right="360"/>
        <w:spacing w:after="0" w:line="248" w:lineRule="auto"/>
        <w:rPr>
          <w:sz w:val="20"/>
          <w:szCs w:val="20"/>
          <w:color w:val="auto"/>
        </w:rPr>
      </w:pPr>
      <w:r>
        <w:rPr>
          <w:rFonts w:ascii="Arial" w:cs="Arial" w:eastAsia="Arial" w:hAnsi="Arial"/>
          <w:sz w:val="16"/>
          <w:szCs w:val="16"/>
          <w:color w:val="auto"/>
        </w:rPr>
        <w:t>is appropriate and advisable to do so, we may seek to mitigate the effect of exchange rate fluctuations through the use of derivative financial instruments. In the fourth quarter of 2020 we began to enter into foreign currency forward contracts to manage foreign currency exchange rate risk of our intercompany loans in certain of our European and Canadian subsidiaries. The foreign currency forward contracts expire and renew on a monthly basis. The fair value of the outstanding foreign currency forward contracts was zero as of December 31, 2021 and December 31, 2020.</w:t>
      </w:r>
    </w:p>
    <w:p>
      <w:pPr>
        <w:spacing w:after="0" w:line="73" w:lineRule="exact"/>
        <w:rPr>
          <w:sz w:val="20"/>
          <w:szCs w:val="20"/>
          <w:color w:val="auto"/>
        </w:rPr>
      </w:pPr>
    </w:p>
    <w:p>
      <w:pPr>
        <w:jc w:val="both"/>
        <w:ind w:left="560" w:right="160" w:hanging="287"/>
        <w:spacing w:after="0" w:line="308" w:lineRule="auto"/>
        <w:tabs>
          <w:tab w:leader="none" w:pos="55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Impact of COVID-19 pandemic</w:t>
      </w:r>
      <w:r>
        <w:rPr>
          <w:rFonts w:ascii="Arial" w:cs="Arial" w:eastAsia="Arial" w:hAnsi="Arial"/>
          <w:sz w:val="14"/>
          <w:szCs w:val="14"/>
          <w:color w:val="auto"/>
        </w:rPr>
        <w:t>. We remain subject to risks and uncertainties as a result of the COVID-19 pandemic. Our business continuity plans remain in effect and</w:t>
      </w:r>
      <w:r>
        <w:rPr>
          <w:rFonts w:ascii="Arial" w:cs="Arial" w:eastAsia="Arial" w:hAnsi="Arial"/>
          <w:sz w:val="14"/>
          <w:szCs w:val="14"/>
          <w:b w:val="1"/>
          <w:bCs w:val="1"/>
          <w:color w:val="auto"/>
        </w:rPr>
        <w:t xml:space="preserve"> </w:t>
      </w:r>
      <w:r>
        <w:rPr>
          <w:rFonts w:ascii="Arial" w:cs="Arial" w:eastAsia="Arial" w:hAnsi="Arial"/>
          <w:sz w:val="14"/>
          <w:szCs w:val="14"/>
          <w:color w:val="auto"/>
        </w:rPr>
        <w:t>we have maintained certain measures to decrease exposure risk and manage our supply chain for critical materials. The extent to which our operations will continue to be impacted by the pandemic will largely depend on future developments, which still remain uncertain and cannot be predicted.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Revenues</w:t>
      </w:r>
    </w:p>
    <w:p>
      <w:pPr>
        <w:spacing w:after="0" w:line="102" w:lineRule="exact"/>
        <w:rPr>
          <w:sz w:val="20"/>
          <w:szCs w:val="20"/>
          <w:color w:val="auto"/>
        </w:rPr>
      </w:pPr>
    </w:p>
    <w:p>
      <w:pPr>
        <w:ind w:right="200"/>
        <w:spacing w:after="0" w:line="291" w:lineRule="auto"/>
        <w:rPr>
          <w:sz w:val="20"/>
          <w:szCs w:val="20"/>
          <w:color w:val="auto"/>
        </w:rPr>
      </w:pPr>
      <w:r>
        <w:rPr>
          <w:rFonts w:ascii="Arial" w:cs="Arial" w:eastAsia="Arial" w:hAnsi="Arial"/>
          <w:sz w:val="14"/>
          <w:szCs w:val="14"/>
          <w:color w:val="auto"/>
        </w:rPr>
        <w:t>Service revenues consist of revenue generated from contract sterilization and lab testing and advisory services within our Sterigenics and Nelson Labs segments, respectively. Service revenues also consist of Co-60 installation and disposal revenues and gamma irradiation system refurbishments and installation services within our Nordion segment. Product revenues consist of revenues generated from sales of Co-60 radiation sources and gamma irradiation systems.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Revenues</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gamma irradiation systems.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SG&amp;A Expenses</w:t>
      </w:r>
    </w:p>
    <w:p>
      <w:pPr>
        <w:spacing w:after="0" w:line="96" w:lineRule="exact"/>
        <w:rPr>
          <w:sz w:val="20"/>
          <w:szCs w:val="20"/>
          <w:color w:val="auto"/>
        </w:rPr>
      </w:pPr>
    </w:p>
    <w:p>
      <w:pPr>
        <w:ind w:right="340"/>
        <w:spacing w:after="0" w:line="330" w:lineRule="auto"/>
        <w:rPr>
          <w:sz w:val="20"/>
          <w:szCs w:val="20"/>
          <w:color w:val="auto"/>
        </w:rPr>
      </w:pPr>
      <w:r>
        <w:rPr>
          <w:rFonts w:ascii="Arial" w:cs="Arial" w:eastAsia="Arial" w:hAnsi="Arial"/>
          <w:sz w:val="14"/>
          <w:szCs w:val="14"/>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weighted average useful life of ten years and have a remaining useful life of approximately four years. These customer relationship intangible assets account for $49.3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to increase over time as we execute on our strategy to pursue acquisition targets that are complementary to our businesses.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We review tangible and intangible assets for impairment on a regular basis. Impairment charges recorded in 2019 were incurred primarily in connection with the closure of the Willowbrook facility.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represents gross profit, less SG&amp;A, amortization of intangible assets and impairment charges.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Interest Expense, Net</w:t>
      </w:r>
    </w:p>
    <w:p>
      <w:pPr>
        <w:spacing w:after="0" w:line="102"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Interest expense, net, represents interest paid or accruing on our outstanding indebtedness and the amortization of debt discount and debt issuance costs. Interest expense is affected by changes in average outstanding indebtedness (including finance lease obligations) and variable interest rates. We present interest expense net of interest income, which primarily consists of interest earned on cash on hand.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Other income, net primarily consists of changes in the fair value of the embedded derivatives in Nordion’s contracts, the net impact of pension related benefits and income related to deferred income on a lease associated with the 2018 divestiture of the Medical Isotopes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(Benefit) for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Provision (benefit) for income taxes consists primarily of income taxes in foreign jurisdictions and U.S. federal and state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 Attributable to Noncontrolling Interests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conduct our operations through our subsidiaries. As of December 31, 2021, our consolidated subsidiaries were wholly owned by us. In the second quarter of 2021, we purchased the outstanding noncontrolling interests of 15% and 33% in our two China subsidiaries. Prior to our acquisition of these noncontrolling interests, we consolidated the results of operations of these subsidiaries with our results of operations and reflected the noncontrolling interests on our Consolidated Statements of Operations and Comprehensive Income (Loss) as net income (loss) attributable to noncontrolling interests.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March 11, 2021, we purchased the 15% noncontrolling interest that remained from the August 2018 acquisition of Gibraltar Laboratories, Inc. (now known as Nelson Laboratories Fairfield, Inc.) (“Nelson Labs Fairfield”). As the purchase of this noncontrolling interest was mandatorily redeemable, no earnings were allocated to this noncontrolling interest.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In July 2020, we acquired a 60% equity ownership interest in a joint venture to construct an E-beam facility in Alberta, Canada in connection with our acquisition of Iotron</w:t>
      </w:r>
    </w:p>
    <w:p>
      <w:pPr>
        <w:spacing w:after="0" w:line="6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Industries Canada, Inc. (“Iotron”). Refer to Note 4, “Acquisitions” of our consolidated financial statements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 on the Consolidated Balance Sheets within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Constant Currency Sales Growth (Non-GAAP)</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and Adjusted EBITDA (Non-GAAP)</w:t>
      </w:r>
    </w:p>
    <w:p>
      <w:pPr>
        <w:spacing w:after="0" w:line="10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EBITDA may be calculated differently from, and therefore may not be comparable to, a similarly titled measure used by other companies.</w:t>
      </w:r>
    </w:p>
    <w:p>
      <w:pPr>
        <w:spacing w:after="0" w:line="96"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Income</w:t>
      </w:r>
    </w:p>
    <w:p>
      <w:pPr>
        <w:spacing w:after="0" w:line="102"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Segment income is the primary earnings measure we use to evaluate the performance of our reportable segments, as disclosed in Note 22,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Corporate operating expenses that are directly incurred by a segment are reflected in each segment’s income. Segment income excludes certain items which are included in “Income (loss) before taxes” as determined in our Consolidated Statements of Operations and Comprehensive Income (Loss).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95"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i w:val="1"/>
          <w:iCs w:val="1"/>
          <w:color w:val="auto"/>
        </w:rPr>
        <w:t>The following section summarizes the consolidated results of operations for the years ended December 31, 2021 and 2020. The discussion of the consolidated results of operation for the years ended December 31, 2020 and 2019 are presented within our Annual Report on Form 10-K for the year ended December 31, 2020 under “Item 7. Management’s Discussion and Analysis of Financial Condition and Results of Operations - Consolidated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2021 as compared to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years ended December 31, 2021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60" w:type="dxa"/>
            <w:vAlign w:val="bottom"/>
          </w:tcPr>
          <w:p>
            <w:pPr>
              <w:jc w:val="right"/>
              <w:ind w:right="50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0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color w:val="auto"/>
              </w:rPr>
              <w:t>$ Change</w:t>
            </w:r>
          </w:p>
        </w:tc>
        <w:tc>
          <w:tcPr>
            <w:tcW w:w="1560" w:type="dxa"/>
            <w:vAlign w:val="bottom"/>
          </w:tcPr>
          <w:p>
            <w:pPr>
              <w:jc w:val="right"/>
              <w:ind w:right="444"/>
              <w:spacing w:after="0"/>
              <w:rPr>
                <w:sz w:val="20"/>
                <w:szCs w:val="20"/>
                <w:color w:val="auto"/>
              </w:rPr>
            </w:pPr>
            <w:r>
              <w:rPr>
                <w:rFonts w:ascii="Arial" w:cs="Arial" w:eastAsia="Arial" w:hAnsi="Arial"/>
                <w:sz w:val="12"/>
                <w:szCs w:val="12"/>
                <w:color w:val="auto"/>
              </w:rPr>
              <w:t>% Change</w:t>
            </w:r>
          </w:p>
        </w:tc>
      </w:tr>
      <w:tr>
        <w:trPr>
          <w:trHeight w:val="27"/>
        </w:trPr>
        <w:tc>
          <w:tcPr>
            <w:tcW w:w="136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1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3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net revenues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931,478</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818,158</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113,320</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33"/>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Total cost of revenues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412,806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374,586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38,220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10.2 %</w:t>
            </w:r>
          </w:p>
        </w:tc>
      </w:tr>
      <w:tr>
        <w:trPr>
          <w:trHeight w:val="23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261,939</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237,554</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24,385</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33"/>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256,733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206,018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50,715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24.6 %</w:t>
            </w:r>
          </w:p>
        </w:tc>
      </w:tr>
      <w:tr>
        <w:trPr>
          <w:trHeight w:val="23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117,121</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154,612</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412.4 %</w:t>
            </w:r>
          </w:p>
        </w:tc>
      </w:tr>
      <w:tr>
        <w:trPr>
          <w:trHeight w:val="233"/>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Adjusted Net Income</w:t>
            </w:r>
            <w:r>
              <w:rPr>
                <w:rFonts w:ascii="Arial" w:cs="Arial" w:eastAsia="Arial" w:hAnsi="Arial"/>
                <w:sz w:val="8"/>
                <w:szCs w:val="8"/>
                <w:b w:val="1"/>
                <w:bCs w:val="1"/>
                <w:color w:val="auto"/>
              </w:rPr>
              <w:t>(1)</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245,782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99,124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146,658</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148.0 %</w:t>
            </w:r>
          </w:p>
        </w:tc>
      </w:tr>
      <w:tr>
        <w:trPr>
          <w:trHeight w:val="23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8"/>
                <w:szCs w:val="8"/>
                <w:b w:val="1"/>
                <w:bCs w:val="1"/>
                <w:color w:val="auto"/>
              </w:rPr>
              <w:t>(1)</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481,229</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419,859</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61,370</w:t>
            </w:r>
          </w:p>
        </w:tc>
        <w:tc>
          <w:tcPr>
            <w:tcW w:w="14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r>
    </w:tbl>
    <w:p>
      <w:pPr>
        <w:spacing w:after="0" w:line="258" w:lineRule="exact"/>
        <w:rPr>
          <w:sz w:val="20"/>
          <w:szCs w:val="20"/>
          <w:color w:val="auto"/>
        </w:rPr>
      </w:pPr>
    </w:p>
    <w:p>
      <w:pPr>
        <w:ind w:left="700" w:right="180" w:hanging="357"/>
        <w:spacing w:after="0" w:line="232" w:lineRule="auto"/>
        <w:tabs>
          <w:tab w:leader="none" w:pos="689"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Net Revenues</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following table compares our revenues by type for the year ended December 31, 2021 to the year ended December 31, 2020. Results from Iotron are included in the Sterigenics segment for the post-acquisition period beginning July 31, 2020. Results from the BioScience Labs and RCA acquisitions are included in the Nelson Labs segment for the post-acquisition periods beginning March 8, 2021 and November 4, 2021,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6"/>
        </w:trPr>
        <w:tc>
          <w:tcPr>
            <w:tcW w:w="500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Net revenues for the year ended December 31,</w:t>
            </w:r>
          </w:p>
        </w:tc>
        <w:tc>
          <w:tcPr>
            <w:tcW w:w="320" w:type="dxa"/>
            <w:vAlign w:val="bottom"/>
          </w:tcPr>
          <w:p>
            <w:pPr>
              <w:spacing w:after="0"/>
              <w:rPr>
                <w:sz w:val="11"/>
                <w:szCs w:val="11"/>
                <w:color w:val="auto"/>
              </w:rPr>
            </w:pPr>
          </w:p>
        </w:tc>
        <w:tc>
          <w:tcPr>
            <w:tcW w:w="1080" w:type="dxa"/>
            <w:vAlign w:val="bottom"/>
          </w:tcPr>
          <w:p>
            <w:pPr>
              <w:jc w:val="right"/>
              <w:ind w:right="505"/>
              <w:spacing w:after="0" w:line="137"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 Change</w:t>
            </w:r>
          </w:p>
        </w:tc>
        <w:tc>
          <w:tcPr>
            <w:tcW w:w="1560" w:type="dxa"/>
            <w:vAlign w:val="bottom"/>
          </w:tcPr>
          <w:p>
            <w:pPr>
              <w:jc w:val="right"/>
              <w:ind w:right="446"/>
              <w:spacing w:after="0" w:line="137" w:lineRule="exact"/>
              <w:rPr>
                <w:sz w:val="20"/>
                <w:szCs w:val="20"/>
                <w:color w:val="auto"/>
              </w:rPr>
            </w:pPr>
            <w:r>
              <w:rPr>
                <w:rFonts w:ascii="Arial" w:cs="Arial" w:eastAsia="Arial" w:hAnsi="Arial"/>
                <w:sz w:val="12"/>
                <w:szCs w:val="12"/>
                <w:color w:val="auto"/>
              </w:rPr>
              <w:t>% Change</w:t>
            </w:r>
          </w:p>
        </w:tc>
      </w:tr>
      <w:tr>
        <w:trPr>
          <w:trHeight w:val="27"/>
        </w:trPr>
        <w:tc>
          <w:tcPr>
            <w:tcW w:w="244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2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8"/>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805,501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713,520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91,981</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r>
      <w:tr>
        <w:trPr>
          <w:trHeight w:val="198"/>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Product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125,977</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104,638</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21,339</w:t>
            </w: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20.4 %</w:t>
            </w:r>
          </w:p>
        </w:tc>
      </w:tr>
      <w:tr>
        <w:trPr>
          <w:trHeight w:val="215"/>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net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931,478</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818,158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113,320</w:t>
            </w: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2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25"/>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9"/>
        </w:trPr>
        <w:tc>
          <w:tcPr>
            <w:tcW w:w="24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52" w:name="page53"/>
    <w:bookmarkEnd w:id="52"/>
    <w:p>
      <w:pPr>
        <w:ind w:right="220"/>
        <w:spacing w:after="0" w:line="259" w:lineRule="auto"/>
        <w:rPr>
          <w:sz w:val="20"/>
          <w:szCs w:val="20"/>
          <w:color w:val="auto"/>
        </w:rPr>
      </w:pPr>
      <w:r>
        <w:rPr>
          <w:rFonts w:ascii="Arial" w:cs="Arial" w:eastAsia="Arial" w:hAnsi="Arial"/>
          <w:sz w:val="16"/>
          <w:szCs w:val="16"/>
          <w:color w:val="auto"/>
        </w:rPr>
        <w:t>Net revenues were $931.5 million in the year ended December 31, 2021, an increase of $113.3 million, or 13.9%, as compared with the prior year. Net revenues in the year ended December 31, 2021 increased approximately 12.2% compared with the same period in 2020 on a constant currency basis.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revenues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Service revenues increased $92.0 million, or 12.9%, to $805.5 million in 2021 as compared to $713.5 million in 2020. The growth in net service revenues was driven by volume growth of $34.1 million in the Sterigenics segment and a $27.7 million increase from the incremental contribution of the Iotron, BioScience Labs and RCA acquisitions. In addition, service revenue growth stemmed from favorable pricing of $18.7 million and $7.0 million in the Sterigenics and Nelson Labs segments, respectively, and a $7.7 million benefit from changes in foreign currency exchange rates across all segments. The remainder of the increase was largely attributable to an increase in service revenue volume in the Nordion segment. Offsetting these factors was an overall decline of $8.0 million in revenue related to personal protective equipment testing in the Nelson Labs segment.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revenues</w:t>
      </w:r>
    </w:p>
    <w:p>
      <w:pPr>
        <w:spacing w:after="0" w:line="189" w:lineRule="exact"/>
        <w:rPr>
          <w:sz w:val="20"/>
          <w:szCs w:val="20"/>
          <w:color w:val="auto"/>
        </w:rPr>
      </w:pPr>
    </w:p>
    <w:p>
      <w:pPr>
        <w:jc w:val="both"/>
        <w:ind w:right="120"/>
        <w:spacing w:after="0" w:line="304" w:lineRule="auto"/>
        <w:rPr>
          <w:sz w:val="20"/>
          <w:szCs w:val="20"/>
          <w:color w:val="auto"/>
        </w:rPr>
      </w:pPr>
      <w:r>
        <w:rPr>
          <w:rFonts w:ascii="Arial" w:cs="Arial" w:eastAsia="Arial" w:hAnsi="Arial"/>
          <w:sz w:val="14"/>
          <w:szCs w:val="14"/>
          <w:color w:val="auto"/>
        </w:rPr>
        <w:t>Product revenues increased $21.3 million, or 20.4%, to $126.0 million in the year ended December 31, 2021 as compared to $104.6 million in the year ended December 31, 2020. The increase in product revenues was attributable to higher organic sales volumes of $7.9 million, largely driven by shipments of industrial use Co-60 in our Nordion segment, and the contribution of favorable pricing and changes in foreign currency exchange rates of $7.3 million and $6.2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Cost of Revenues</w:t>
      </w:r>
    </w:p>
    <w:p>
      <w:pPr>
        <w:spacing w:after="0" w:line="18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table compares our cost of revenues by type for the year ended December 31, 2021 to the year ended December 31, 2020. Results from Iotron are included in the Sterigenics segment for the post-acquisition period beginning July 31, 2020. Results from the BioScience Labs and RCA acquisitions are included in the Nelson Labs segment for the post-acquisition periods beginning March 8, 2021 and November 4, 2021,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6"/>
        </w:trPr>
        <w:tc>
          <w:tcPr>
            <w:tcW w:w="500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Cost of revenues for the year ended December 31,</w:t>
            </w:r>
          </w:p>
        </w:tc>
        <w:tc>
          <w:tcPr>
            <w:tcW w:w="340" w:type="dxa"/>
            <w:vAlign w:val="bottom"/>
          </w:tcPr>
          <w:p>
            <w:pPr>
              <w:spacing w:after="0"/>
              <w:rPr>
                <w:sz w:val="11"/>
                <w:szCs w:val="11"/>
                <w:color w:val="auto"/>
              </w:rPr>
            </w:pPr>
          </w:p>
        </w:tc>
        <w:tc>
          <w:tcPr>
            <w:tcW w:w="106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 Change</w:t>
            </w:r>
          </w:p>
        </w:tc>
        <w:tc>
          <w:tcPr>
            <w:tcW w:w="1560" w:type="dxa"/>
            <w:vAlign w:val="bottom"/>
          </w:tcPr>
          <w:p>
            <w:pPr>
              <w:jc w:val="right"/>
              <w:ind w:right="446"/>
              <w:spacing w:after="0" w:line="137" w:lineRule="exact"/>
              <w:rPr>
                <w:sz w:val="20"/>
                <w:szCs w:val="20"/>
                <w:color w:val="auto"/>
              </w:rPr>
            </w:pPr>
            <w:r>
              <w:rPr>
                <w:rFonts w:ascii="Arial" w:cs="Arial" w:eastAsia="Arial" w:hAnsi="Arial"/>
                <w:sz w:val="12"/>
                <w:szCs w:val="12"/>
                <w:color w:val="auto"/>
              </w:rPr>
              <w:t>% Change</w:t>
            </w:r>
          </w:p>
        </w:tc>
      </w:tr>
      <w:tr>
        <w:trPr>
          <w:trHeight w:val="27"/>
        </w:trPr>
        <w:tc>
          <w:tcPr>
            <w:tcW w:w="264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2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8"/>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357,205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333,359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23,846</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198"/>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Product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55,601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41,227</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14,374</w:t>
            </w: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34.9 %</w:t>
            </w:r>
          </w:p>
        </w:tc>
      </w:tr>
      <w:tr>
        <w:trPr>
          <w:trHeight w:val="215"/>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cost of revenues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412,806</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374,586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38,220</w:t>
            </w: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Total cost of revenues accounted for approximately 44.3% and 45.8% of our consolidated net revenues for the year ended December 31, 2021 and 2020,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Cost of service revenues increased $23.8 million for the year ended December 31, 2021 as compared to the prior year. The increase was attributable to an incremental contribution of $11.6 million from the Iotron, BioScience Labs, and RCA acquisitions and approximately $10.2 million of incremental costs associated with increased sales volumes, primarily in the Sterigenics segment, as referenced above.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product revenues</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Cost of product revenues increased $14.4 million, or 34.9%, for the year ended December 31, 2021 as compared to the prior year. The increase was primarily driven by an $8.1 million increase in Co-60 supply costs, driven by higher sales volumes. An unfavorable impact from foreign currency exchange rates of $3.0 million also contributed to the increase in cost of product revenues.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year ended December 31, 2021 to the year ended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36"/>
        </w:trPr>
        <w:tc>
          <w:tcPr>
            <w:tcW w:w="500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Operating expenses for the Year Ended December 31,</w:t>
            </w:r>
          </w:p>
        </w:tc>
        <w:tc>
          <w:tcPr>
            <w:tcW w:w="340" w:type="dxa"/>
            <w:vAlign w:val="bottom"/>
          </w:tcPr>
          <w:p>
            <w:pPr>
              <w:spacing w:after="0"/>
              <w:rPr>
                <w:sz w:val="11"/>
                <w:szCs w:val="11"/>
                <w:color w:val="auto"/>
              </w:rPr>
            </w:pPr>
          </w:p>
        </w:tc>
        <w:tc>
          <w:tcPr>
            <w:tcW w:w="106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 Change</w:t>
            </w:r>
          </w:p>
        </w:tc>
        <w:tc>
          <w:tcPr>
            <w:tcW w:w="1560" w:type="dxa"/>
            <w:vAlign w:val="bottom"/>
          </w:tcPr>
          <w:p>
            <w:pPr>
              <w:jc w:val="right"/>
              <w:ind w:right="446"/>
              <w:spacing w:after="0" w:line="137" w:lineRule="exact"/>
              <w:rPr>
                <w:sz w:val="20"/>
                <w:szCs w:val="20"/>
                <w:color w:val="auto"/>
              </w:rPr>
            </w:pPr>
            <w:r>
              <w:rPr>
                <w:rFonts w:ascii="Arial" w:cs="Arial" w:eastAsia="Arial" w:hAnsi="Arial"/>
                <w:sz w:val="12"/>
                <w:szCs w:val="12"/>
                <w:color w:val="auto"/>
              </w:rPr>
              <w:t>% Change</w:t>
            </w:r>
          </w:p>
        </w:tc>
      </w:tr>
      <w:tr>
        <w:trPr>
          <w:trHeight w:val="27"/>
        </w:trPr>
        <w:tc>
          <w:tcPr>
            <w:tcW w:w="284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2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8"/>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198,158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178,525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198"/>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63,781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59,029</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15"/>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261,939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237,554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24,385</w:t>
            </w: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 accounted for approximately 28.1% and 29.0% of our consolidated net revenues for the year ended December 31, 2021 and 2020,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SG&amp;A</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SG&amp;A increased $19.6 million, or 11.0%, for the year ended December 31, 2021 as compared to the prior year. The increase was driven primarily by the following:</w:t>
      </w:r>
    </w:p>
    <w:p>
      <w:pPr>
        <w:spacing w:after="0" w:line="212" w:lineRule="exact"/>
        <w:rPr>
          <w:sz w:val="20"/>
          <w:szCs w:val="20"/>
          <w:color w:val="auto"/>
        </w:rPr>
      </w:pPr>
    </w:p>
    <w:p>
      <w:pPr>
        <w:ind w:left="560" w:right="660" w:hanging="287"/>
        <w:spacing w:after="0" w:line="259"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$11.5 million increase in corporate expenses largely attributed to costs associated with being a public company. This includes $7.2 million in incremental costs attributable to public company director and officer liability insurance;</w:t>
      </w:r>
    </w:p>
    <w:p>
      <w:pPr>
        <w:spacing w:after="0" w:line="82" w:lineRule="exact"/>
        <w:rPr>
          <w:rFonts w:ascii="Arial" w:cs="Arial" w:eastAsia="Arial" w:hAnsi="Arial"/>
          <w:sz w:val="16"/>
          <w:szCs w:val="16"/>
          <w:color w:val="auto"/>
        </w:rPr>
      </w:pPr>
    </w:p>
    <w:p>
      <w:pPr>
        <w:ind w:left="540" w:hanging="267"/>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6"/>
          <w:szCs w:val="16"/>
          <w:color w:val="auto"/>
        </w:rPr>
        <w:t>a $9.0 million increase in litigation and other professional services expenses associated with EO sterilization facilities; and</w:t>
      </w:r>
    </w:p>
    <w:p>
      <w:pPr>
        <w:spacing w:after="0" w:line="83" w:lineRule="exact"/>
        <w:rPr>
          <w:rFonts w:ascii="Arial" w:cs="Arial" w:eastAsia="Arial" w:hAnsi="Arial"/>
          <w:sz w:val="19"/>
          <w:szCs w:val="19"/>
          <w:color w:val="auto"/>
        </w:rPr>
      </w:pPr>
    </w:p>
    <w:p>
      <w:pPr>
        <w:ind w:left="540" w:hanging="267"/>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$2.9 million increase in share-based compensation expense attributable to awards granted under the 2020 Omnibus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 above increases was a $3.4 million favorable settlement related to an insurance claim for Nordion.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intangible assets</w:t>
      </w:r>
    </w:p>
    <w:p>
      <w:pPr>
        <w:spacing w:after="0" w:line="12"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Amortization of intangible assets was $63.8 million for the year ended December 31, 2021, an increase of $4.8 million or 8.1% above the prior year. The change was attributable to a full year of amortization of Iotron’s intangible assets in 2021, compared to five months of amortization in 2020, as well as the amortization of the intangible assets acquired in 2021 in connection with the BioScience and RCA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89" w:lineRule="exact"/>
        <w:rPr>
          <w:sz w:val="20"/>
          <w:szCs w:val="20"/>
          <w:color w:val="auto"/>
        </w:rPr>
      </w:pPr>
    </w:p>
    <w:p>
      <w:pPr>
        <w:jc w:val="both"/>
        <w:ind w:right="160"/>
        <w:spacing w:after="0" w:line="337" w:lineRule="auto"/>
        <w:rPr>
          <w:sz w:val="20"/>
          <w:szCs w:val="20"/>
          <w:color w:val="auto"/>
        </w:rPr>
      </w:pPr>
      <w:r>
        <w:rPr>
          <w:rFonts w:ascii="Arial" w:cs="Arial" w:eastAsia="Arial" w:hAnsi="Arial"/>
          <w:sz w:val="13"/>
          <w:szCs w:val="13"/>
          <w:color w:val="auto"/>
        </w:rPr>
        <w:t>Interest expense, net decreased $141.1 million, or 65.5%, for the year ended December 31, 2021 as compared to the prior year. The decrease was driven largely by the paydown of the Term Loan and Second Lien Notes with IPO proceeds in the fourth quarter of 2020, the redemption of the First Lien Notes in August 2021, and lower interest rates subsequent to the January 2021 Term Loan refinancing. The weighted average interest rate on our outstanding debt was 3.25% and 5.58% at December 31,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Loss (Gain)</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Foreign exchange loss was $1.3 million for the year ended December 31, 2021 as compared to a gain of $5.2 million in the prior year period. In the year ended December 31, 2020, foreign exchange loss (gain) related primarily to U.S. dollar denominated intercompany indebtedness with certain of our European and Canadian subsidiaries. Beginning in the fourth quarter of 2020, we entered into monthly U.S. dollar-denominated foreign currency forward contracts to manage this foreign currency exchange rate risk. The foreign currency forward contracts expire and renew on a monthly basis. As a result, the majority of our foreign exchange loss recorded in the year ended December 31, 2021 relates to short-term losses (offset by short-term gains) on sales denominated in currencies other than the functional currency of our operating entities.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Other income, net was $15.2 million for the year ended December 31, 2021 and $9.4 million for the year ended December 31, 2020. The fluctuation was primarily driven by a $5.1 million non-cash gain arising from derecognition of an asset retirement obligation (“ARO”) liability no longer attributable to Nordion pursuant to the terms of the sale of the Medical Isotopes business in 2018. A $1.2 million gain on our purchase of the 15% mandatorily redeemable noncontrolling interest of Nelson Labs Fairfield in the second quarter of 2021 also contributed to this fluctuation.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(Benefit) for Income Taxes</w:t>
      </w:r>
    </w:p>
    <w:p>
      <w:pPr>
        <w:spacing w:after="0" w:line="189" w:lineRule="exact"/>
        <w:rPr>
          <w:sz w:val="20"/>
          <w:szCs w:val="20"/>
          <w:color w:val="auto"/>
        </w:rPr>
      </w:pPr>
    </w:p>
    <w:p>
      <w:pPr>
        <w:ind w:right="80"/>
        <w:spacing w:after="0" w:line="330" w:lineRule="auto"/>
        <w:rPr>
          <w:sz w:val="20"/>
          <w:szCs w:val="20"/>
          <w:color w:val="auto"/>
        </w:rPr>
      </w:pPr>
      <w:r>
        <w:rPr>
          <w:rFonts w:ascii="Arial" w:cs="Arial" w:eastAsia="Arial" w:hAnsi="Arial"/>
          <w:sz w:val="14"/>
          <w:szCs w:val="14"/>
          <w:color w:val="auto"/>
        </w:rPr>
        <w:t>Provision for income taxes was $58.6 million for the year ended December 31, 2021 as compared to a $1.4 million benefit in the prior year. The change was principally attributable to pre-tax income of $175.7 million in the year ended December 31, 2021 compared to a pretax loss of $38.9 million for the year ended December 31, 2020.</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Provision for income taxes for the year ended December 31, 2021 differed from the statutory rate of 21% primarily due to an increase in the partial valuation allowance against our excess interest expense carryforward balance, the addition of valuation allowances against certain foreign net operating loss carryforward balances, the impact of the foreign rate differential, and tax on Global Intangible Low Taxed Income (“GILTI”). The benefit for income taxes for the year ended December 31, 2020 differed from the statutory rate of 21% primarily due to impact of the CARES Act and final 951A regulations, the partial valuation allowance against our excess interest expense carryforward balance, the foreign rate differential, state tax benefits and the removal of valuation allowances against certain foreign net operating loss carryforward balances.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(Loss), Adjusted Net Income and Adjusted EBITDA</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Net income for the year ended December 31, 2021 was $117.1 million, as compared to a net loss of $37.5 million for the year ended December 31, 2020 largely driven by the decrease in interest expense. Adjusted Net Income was $245.8 million for the year ended December 31, 2021, as compared to $99.1 million for the year ended December 31, 2020, due to the factors described above. Adjusted EBITDA was $481.2 million for the year ended December 31, 2021, as compared to $419.9 million for the year ended December 31, 2020,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key metric for attainment of our primary annual incentive program. Adjusted Net Income and Adjusted EBITDA may be calculated differently from, and therefore may not be comparable to, a similarly titled measure used by other companies.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231F20"/>
        </w:rPr>
        <w:t>Adjusted Net Income and Adjusted EBITDA should not be considered in isolation from, or as a substitute for, financial information prepared in accordance with GAAP. There are a number of limitations related to the use of Adjusted Net Income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231F20"/>
        </w:rPr>
        <w:t>and Adjusted EBITDA rather than net income (loss), the nearest GAAP equivalent. For example, Adjusted Net Income and Adjusted EBITDA exclude:</w:t>
      </w:r>
    </w:p>
    <w:p>
      <w:pPr>
        <w:spacing w:after="0" w:line="96" w:lineRule="exact"/>
        <w:rPr>
          <w:sz w:val="20"/>
          <w:szCs w:val="20"/>
          <w:color w:val="auto"/>
        </w:rPr>
      </w:pPr>
    </w:p>
    <w:p>
      <w:pPr>
        <w:ind w:left="560" w:right="360" w:hanging="287"/>
        <w:spacing w:after="0" w:line="259" w:lineRule="auto"/>
        <w:tabs>
          <w:tab w:leader="none" w:pos="556"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9" w:lineRule="exact"/>
        <w:rPr>
          <w:rFonts w:ascii="Arial" w:cs="Arial" w:eastAsia="Arial" w:hAnsi="Arial"/>
          <w:sz w:val="16"/>
          <w:szCs w:val="16"/>
          <w:color w:val="231F20"/>
        </w:rPr>
      </w:pPr>
    </w:p>
    <w:p>
      <w:pPr>
        <w:ind w:left="540" w:hanging="267"/>
        <w:spacing w:after="0"/>
        <w:tabs>
          <w:tab w:leader="none" w:pos="54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costs of acquiring and integrating businesses, which will continue to be a part of our growth strategy;</w:t>
      </w:r>
    </w:p>
    <w:p>
      <w:pPr>
        <w:spacing w:after="0" w:line="95" w:lineRule="exact"/>
        <w:rPr>
          <w:rFonts w:ascii="Arial" w:cs="Arial" w:eastAsia="Arial" w:hAnsi="Arial"/>
          <w:sz w:val="16"/>
          <w:szCs w:val="16"/>
          <w:color w:val="231F20"/>
        </w:rPr>
      </w:pPr>
    </w:p>
    <w:p>
      <w:pPr>
        <w:ind w:left="560" w:right="180" w:hanging="287"/>
        <w:spacing w:after="0" w:line="259" w:lineRule="auto"/>
        <w:tabs>
          <w:tab w:leader="none" w:pos="556"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non-cash gains or losses from fluctuations in foreign currency exchange rates, and the mark-to-fair value of embedded derivatives relating to certain customer and supply contracts at Nordion;</w:t>
      </w:r>
    </w:p>
    <w:p>
      <w:pPr>
        <w:spacing w:after="0" w:line="69" w:lineRule="exact"/>
        <w:rPr>
          <w:rFonts w:ascii="Arial" w:cs="Arial" w:eastAsia="Arial" w:hAnsi="Arial"/>
          <w:sz w:val="16"/>
          <w:szCs w:val="16"/>
          <w:color w:val="231F20"/>
        </w:rPr>
      </w:pPr>
    </w:p>
    <w:p>
      <w:pPr>
        <w:ind w:left="540" w:hanging="267"/>
        <w:spacing w:after="0"/>
        <w:tabs>
          <w:tab w:leader="none" w:pos="54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impairment charges on long-lived assets and intangible assets;</w:t>
      </w:r>
    </w:p>
    <w:p>
      <w:pPr>
        <w:spacing w:after="0" w:line="95" w:lineRule="exact"/>
        <w:rPr>
          <w:rFonts w:ascii="Arial" w:cs="Arial" w:eastAsia="Arial" w:hAnsi="Arial"/>
          <w:sz w:val="16"/>
          <w:szCs w:val="16"/>
          <w:color w:val="231F20"/>
        </w:rPr>
      </w:pPr>
    </w:p>
    <w:p>
      <w:pPr>
        <w:ind w:left="560" w:right="20" w:hanging="287"/>
        <w:spacing w:after="0" w:line="259" w:lineRule="auto"/>
        <w:tabs>
          <w:tab w:leader="none" w:pos="556"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expenses and charges related to the litigation and other activities associated with our ethylene oxide sterilization facilities, including those in Willowbrook, Illinois, Atlanta, Georgia and Santa Teresa, New Mexico, even though that litigation remains ongoing;</w:t>
      </w:r>
    </w:p>
    <w:p>
      <w:pPr>
        <w:spacing w:after="0" w:line="69" w:lineRule="exact"/>
        <w:rPr>
          <w:rFonts w:ascii="Arial" w:cs="Arial" w:eastAsia="Arial" w:hAnsi="Arial"/>
          <w:sz w:val="16"/>
          <w:szCs w:val="16"/>
          <w:color w:val="231F20"/>
        </w:rPr>
      </w:pPr>
    </w:p>
    <w:p>
      <w:pPr>
        <w:ind w:left="540" w:hanging="267"/>
        <w:spacing w:after="0"/>
        <w:tabs>
          <w:tab w:leader="none" w:pos="540" w:val="left"/>
        </w:tabs>
        <w:numPr>
          <w:ilvl w:val="0"/>
          <w:numId w:val="30"/>
        </w:numPr>
        <w:rPr>
          <w:rFonts w:ascii="Arial" w:cs="Arial" w:eastAsia="Arial" w:hAnsi="Arial"/>
          <w:sz w:val="14"/>
          <w:szCs w:val="14"/>
          <w:color w:val="231F20"/>
        </w:rPr>
      </w:pPr>
      <w:r>
        <w:rPr>
          <w:rFonts w:ascii="Arial" w:cs="Arial" w:eastAsia="Arial" w:hAnsi="Arial"/>
          <w:sz w:val="14"/>
          <w:szCs w:val="14"/>
          <w:color w:val="231F20"/>
        </w:rPr>
        <w:t>in the case of Adjusted EBITDA, interest expense or the cash requirements necessary to service interest or principal payments on our indebtedness; and</w:t>
      </w:r>
    </w:p>
    <w:p>
      <w:pPr>
        <w:spacing w:after="0" w:line="118" w:lineRule="exact"/>
        <w:rPr>
          <w:rFonts w:ascii="Arial" w:cs="Arial" w:eastAsia="Arial" w:hAnsi="Arial"/>
          <w:sz w:val="14"/>
          <w:szCs w:val="14"/>
          <w:color w:val="231F20"/>
        </w:rPr>
      </w:pPr>
    </w:p>
    <w:p>
      <w:pPr>
        <w:ind w:left="560" w:right="620" w:hanging="287"/>
        <w:spacing w:after="0" w:line="259" w:lineRule="auto"/>
        <w:tabs>
          <w:tab w:leader="none" w:pos="556"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9"/>
        </w:trPr>
        <w:tc>
          <w:tcPr>
            <w:tcW w:w="70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r>
      <w:tr>
        <w:trPr>
          <w:trHeight w:val="180"/>
        </w:trPr>
        <w:tc>
          <w:tcPr>
            <w:tcW w:w="7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117,121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(20,425)</w:t>
            </w:r>
          </w:p>
        </w:tc>
      </w:tr>
      <w:tr>
        <w:trPr>
          <w:trHeight w:val="185"/>
        </w:trPr>
        <w:tc>
          <w:tcPr>
            <w:tcW w:w="704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86,742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80,255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80,048</w:t>
            </w:r>
          </w:p>
        </w:tc>
      </w:tr>
      <w:tr>
        <w:trPr>
          <w:trHeight w:val="188"/>
        </w:trPr>
        <w:tc>
          <w:tcPr>
            <w:tcW w:w="704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color w:val="auto"/>
              </w:rPr>
              <w:t xml:space="preserve">Impairment of long-lived assets and intangible assets </w:t>
            </w:r>
            <w:r>
              <w:rPr>
                <w:rFonts w:ascii="Arial" w:cs="Arial" w:eastAsia="Arial" w:hAnsi="Arial"/>
                <w:sz w:val="18"/>
                <w:szCs w:val="18"/>
                <w:color w:val="auto"/>
                <w:vertAlign w:val="superscript"/>
              </w:rPr>
              <w:t>(a)</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5,792</w:t>
            </w:r>
          </w:p>
        </w:tc>
      </w:tr>
      <w:tr>
        <w:trPr>
          <w:trHeight w:val="187"/>
        </w:trPr>
        <w:tc>
          <w:tcPr>
            <w:tcW w:w="7040" w:type="dxa"/>
            <w:vAlign w:val="bottom"/>
          </w:tcPr>
          <w:p>
            <w:pPr>
              <w:ind w:left="200"/>
              <w:spacing w:after="0" w:line="187" w:lineRule="exact"/>
              <w:rPr>
                <w:sz w:val="20"/>
                <w:szCs w:val="20"/>
                <w:color w:val="auto"/>
              </w:rPr>
            </w:pPr>
            <w:r>
              <w:rPr>
                <w:rFonts w:ascii="Arial" w:cs="Arial" w:eastAsia="Arial" w:hAnsi="Arial"/>
                <w:sz w:val="14"/>
                <w:szCs w:val="14"/>
                <w:color w:val="auto"/>
              </w:rPr>
              <w:t>Share-based compensation</w:t>
            </w:r>
            <w:r>
              <w:rPr>
                <w:rFonts w:ascii="Arial" w:cs="Arial" w:eastAsia="Arial" w:hAnsi="Arial"/>
                <w:sz w:val="18"/>
                <w:szCs w:val="18"/>
                <w:color w:val="auto"/>
                <w:vertAlign w:val="superscript"/>
              </w:rPr>
              <w:t>(b)</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13,870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10,987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16,882</w:t>
            </w:r>
          </w:p>
        </w:tc>
      </w:tr>
      <w:tr>
        <w:trPr>
          <w:trHeight w:val="187"/>
        </w:trPr>
        <w:tc>
          <w:tcPr>
            <w:tcW w:w="7040" w:type="dxa"/>
            <w:vAlign w:val="bottom"/>
            <w:shd w:val="clear" w:color="auto" w:fill="CCEEFF"/>
          </w:tcPr>
          <w:p>
            <w:pPr>
              <w:ind w:left="200"/>
              <w:spacing w:after="0" w:line="187" w:lineRule="exact"/>
              <w:rPr>
                <w:sz w:val="20"/>
                <w:szCs w:val="20"/>
                <w:color w:val="auto"/>
              </w:rPr>
            </w:pPr>
            <w:r>
              <w:rPr>
                <w:rFonts w:ascii="Arial" w:cs="Arial" w:eastAsia="Arial" w:hAnsi="Arial"/>
                <w:sz w:val="14"/>
                <w:szCs w:val="14"/>
                <w:color w:val="auto"/>
              </w:rPr>
              <w:t>Capital restructuring bonuses</w:t>
            </w:r>
            <w:r>
              <w:rPr>
                <w:rFonts w:ascii="Arial" w:cs="Arial" w:eastAsia="Arial" w:hAnsi="Arial"/>
                <w:sz w:val="18"/>
                <w:szCs w:val="18"/>
                <w:color w:val="auto"/>
                <w:vertAlign w:val="superscript"/>
              </w:rPr>
              <w:t>(c)</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r>
      <w:tr>
        <w:trPr>
          <w:trHeight w:val="187"/>
        </w:trPr>
        <w:tc>
          <w:tcPr>
            <w:tcW w:w="7040" w:type="dxa"/>
            <w:vAlign w:val="bottom"/>
          </w:tcPr>
          <w:p>
            <w:pPr>
              <w:ind w:left="200"/>
              <w:spacing w:after="0" w:line="187" w:lineRule="exact"/>
              <w:rPr>
                <w:sz w:val="20"/>
                <w:szCs w:val="20"/>
                <w:color w:val="auto"/>
              </w:rPr>
            </w:pPr>
            <w:r>
              <w:rPr>
                <w:rFonts w:ascii="Arial" w:cs="Arial" w:eastAsia="Arial" w:hAnsi="Arial"/>
                <w:sz w:val="14"/>
                <w:szCs w:val="14"/>
                <w:color w:val="auto"/>
              </w:rPr>
              <w:t>(Gain) loss on foreign currency and embedded derivatives</w:t>
            </w:r>
            <w:r>
              <w:rPr>
                <w:rFonts w:ascii="Arial" w:cs="Arial" w:eastAsia="Arial" w:hAnsi="Arial"/>
                <w:sz w:val="18"/>
                <w:szCs w:val="18"/>
                <w:color w:val="auto"/>
                <w:vertAlign w:val="superscript"/>
              </w:rPr>
              <w:t>(d)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(8,454)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2,662</w:t>
            </w:r>
          </w:p>
        </w:tc>
      </w:tr>
      <w:tr>
        <w:trPr>
          <w:trHeight w:val="187"/>
        </w:trPr>
        <w:tc>
          <w:tcPr>
            <w:tcW w:w="7040" w:type="dxa"/>
            <w:vAlign w:val="bottom"/>
            <w:shd w:val="clear" w:color="auto" w:fill="CCEEFF"/>
          </w:tcPr>
          <w:p>
            <w:pPr>
              <w:ind w:left="200"/>
              <w:spacing w:after="0" w:line="187" w:lineRule="exact"/>
              <w:rPr>
                <w:sz w:val="20"/>
                <w:szCs w:val="20"/>
                <w:color w:val="auto"/>
              </w:rPr>
            </w:pPr>
            <w:r>
              <w:rPr>
                <w:rFonts w:ascii="Arial" w:cs="Arial" w:eastAsia="Arial" w:hAnsi="Arial"/>
                <w:sz w:val="14"/>
                <w:szCs w:val="14"/>
                <w:color w:val="auto"/>
              </w:rPr>
              <w:t>Acquisition and divestiture related charges, net</w:t>
            </w:r>
            <w:r>
              <w:rPr>
                <w:rFonts w:ascii="Arial" w:cs="Arial" w:eastAsia="Arial" w:hAnsi="Arial"/>
                <w:sz w:val="18"/>
                <w:szCs w:val="18"/>
                <w:color w:val="auto"/>
                <w:vertAlign w:val="superscript"/>
              </w:rPr>
              <w:t>(e)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(6,018)</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7"/>
        </w:trPr>
        <w:tc>
          <w:tcPr>
            <w:tcW w:w="7040" w:type="dxa"/>
            <w:vAlign w:val="bottom"/>
          </w:tcPr>
          <w:p>
            <w:pPr>
              <w:ind w:left="200"/>
              <w:spacing w:after="0" w:line="187" w:lineRule="exact"/>
              <w:rPr>
                <w:sz w:val="20"/>
                <w:szCs w:val="20"/>
                <w:color w:val="auto"/>
              </w:rPr>
            </w:pPr>
            <w:r>
              <w:rPr>
                <w:rFonts w:ascii="Arial" w:cs="Arial" w:eastAsia="Arial" w:hAnsi="Arial"/>
                <w:sz w:val="14"/>
                <w:szCs w:val="14"/>
                <w:color w:val="auto"/>
              </w:rPr>
              <w:t>Business optimization project expenses</w:t>
            </w:r>
            <w:r>
              <w:rPr>
                <w:rFonts w:ascii="Arial" w:cs="Arial" w:eastAsia="Arial" w:hAnsi="Arial"/>
                <w:sz w:val="18"/>
                <w:szCs w:val="18"/>
                <w:color w:val="auto"/>
                <w:vertAlign w:val="superscript"/>
              </w:rPr>
              <w:t>(f)</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948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4,195</w:t>
            </w:r>
          </w:p>
        </w:tc>
      </w:tr>
      <w:tr>
        <w:trPr>
          <w:trHeight w:val="187"/>
        </w:trPr>
        <w:tc>
          <w:tcPr>
            <w:tcW w:w="7040" w:type="dxa"/>
            <w:vAlign w:val="bottom"/>
            <w:shd w:val="clear" w:color="auto" w:fill="CCEEFF"/>
          </w:tcPr>
          <w:p>
            <w:pPr>
              <w:ind w:left="200"/>
              <w:spacing w:after="0" w:line="187" w:lineRule="exact"/>
              <w:rPr>
                <w:sz w:val="20"/>
                <w:szCs w:val="20"/>
                <w:color w:val="auto"/>
              </w:rPr>
            </w:pPr>
            <w:r>
              <w:rPr>
                <w:rFonts w:ascii="Arial" w:cs="Arial" w:eastAsia="Arial" w:hAnsi="Arial"/>
                <w:sz w:val="14"/>
                <w:szCs w:val="14"/>
                <w:color w:val="auto"/>
              </w:rPr>
              <w:t>Plant closure expenses</w:t>
            </w:r>
            <w:r>
              <w:rPr>
                <w:rFonts w:ascii="Arial" w:cs="Arial" w:eastAsia="Arial" w:hAnsi="Arial"/>
                <w:sz w:val="18"/>
                <w:szCs w:val="18"/>
                <w:color w:val="auto"/>
                <w:vertAlign w:val="superscript"/>
              </w:rPr>
              <w:t>(g)</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2,327</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r>
      <w:tr>
        <w:trPr>
          <w:trHeight w:val="187"/>
        </w:trPr>
        <w:tc>
          <w:tcPr>
            <w:tcW w:w="7040" w:type="dxa"/>
            <w:vAlign w:val="bottom"/>
          </w:tcPr>
          <w:p>
            <w:pPr>
              <w:ind w:left="200"/>
              <w:spacing w:after="0" w:line="187"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18"/>
                <w:szCs w:val="18"/>
                <w:color w:val="auto"/>
                <w:vertAlign w:val="superscript"/>
              </w:rPr>
              <w:t>(h)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20,681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44,262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30,168</w:t>
            </w:r>
          </w:p>
        </w:tc>
      </w:tr>
      <w:tr>
        <w:trPr>
          <w:trHeight w:val="187"/>
        </w:trPr>
        <w:tc>
          <w:tcPr>
            <w:tcW w:w="7040" w:type="dxa"/>
            <w:vAlign w:val="bottom"/>
            <w:shd w:val="clear" w:color="auto" w:fill="CCEEFF"/>
          </w:tcPr>
          <w:p>
            <w:pPr>
              <w:ind w:left="200"/>
              <w:spacing w:after="0" w:line="187" w:lineRule="exact"/>
              <w:rPr>
                <w:sz w:val="20"/>
                <w:szCs w:val="20"/>
                <w:color w:val="auto"/>
              </w:rPr>
            </w:pPr>
            <w:r>
              <w:rPr>
                <w:rFonts w:ascii="Arial" w:cs="Arial" w:eastAsia="Arial" w:hAnsi="Arial"/>
                <w:sz w:val="14"/>
                <w:szCs w:val="14"/>
                <w:color w:val="auto"/>
              </w:rPr>
              <w:t>Professional services relating to EO sterilization facilities</w:t>
            </w:r>
            <w:r>
              <w:rPr>
                <w:rFonts w:ascii="Arial" w:cs="Arial" w:eastAsia="Arial" w:hAnsi="Arial"/>
                <w:sz w:val="18"/>
                <w:szCs w:val="18"/>
                <w:color w:val="auto"/>
                <w:vertAlign w:val="superscript"/>
              </w:rPr>
              <w:t>(i)</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45,656</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11,216</w:t>
            </w:r>
          </w:p>
        </w:tc>
      </w:tr>
      <w:tr>
        <w:trPr>
          <w:trHeight w:val="187"/>
        </w:trPr>
        <w:tc>
          <w:tcPr>
            <w:tcW w:w="7040" w:type="dxa"/>
            <w:vAlign w:val="bottom"/>
          </w:tcPr>
          <w:p>
            <w:pPr>
              <w:ind w:left="200"/>
              <w:spacing w:after="0" w:line="187" w:lineRule="exact"/>
              <w:rPr>
                <w:sz w:val="20"/>
                <w:szCs w:val="20"/>
                <w:color w:val="auto"/>
              </w:rPr>
            </w:pPr>
            <w:r>
              <w:rPr>
                <w:rFonts w:ascii="Arial" w:cs="Arial" w:eastAsia="Arial" w:hAnsi="Arial"/>
                <w:sz w:val="14"/>
                <w:szCs w:val="14"/>
                <w:color w:val="auto"/>
              </w:rPr>
              <w:t>Accretion of asset retirement obligations</w:t>
            </w:r>
            <w:r>
              <w:rPr>
                <w:rFonts w:ascii="Arial" w:cs="Arial" w:eastAsia="Arial" w:hAnsi="Arial"/>
                <w:sz w:val="18"/>
                <w:szCs w:val="18"/>
                <w:color w:val="auto"/>
                <w:vertAlign w:val="superscript"/>
              </w:rPr>
              <w:t>(j)</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2,252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2,051</w:t>
            </w:r>
          </w:p>
        </w:tc>
      </w:tr>
      <w:tr>
        <w:trPr>
          <w:trHeight w:val="187"/>
        </w:trPr>
        <w:tc>
          <w:tcPr>
            <w:tcW w:w="7040" w:type="dxa"/>
            <w:vAlign w:val="bottom"/>
            <w:shd w:val="clear" w:color="auto" w:fill="CCEEFF"/>
          </w:tcPr>
          <w:p>
            <w:pPr>
              <w:ind w:left="200"/>
              <w:spacing w:after="0" w:line="187" w:lineRule="exact"/>
              <w:rPr>
                <w:sz w:val="20"/>
                <w:szCs w:val="20"/>
                <w:color w:val="auto"/>
              </w:rPr>
            </w:pPr>
            <w:r>
              <w:rPr>
                <w:rFonts w:ascii="Arial" w:cs="Arial" w:eastAsia="Arial" w:hAnsi="Arial"/>
                <w:sz w:val="14"/>
                <w:szCs w:val="14"/>
                <w:color w:val="auto"/>
              </w:rPr>
              <w:t>COVID-19 expenses</w:t>
            </w:r>
            <w:r>
              <w:rPr>
                <w:rFonts w:ascii="Arial" w:cs="Arial" w:eastAsia="Arial" w:hAnsi="Arial"/>
                <w:sz w:val="18"/>
                <w:szCs w:val="18"/>
                <w:color w:val="auto"/>
                <w:vertAlign w:val="superscript"/>
              </w:rPr>
              <w:t>(k)</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040" w:type="dxa"/>
            <w:vAlign w:val="bottom"/>
            <w:tcBorders>
              <w:bottom w:val="single" w:sz="8" w:color="CCEEFF"/>
            </w:tcBorders>
          </w:tcPr>
          <w:p>
            <w:pPr>
              <w:ind w:left="200"/>
              <w:spacing w:after="0" w:line="187" w:lineRule="exact"/>
              <w:rPr>
                <w:sz w:val="20"/>
                <w:szCs w:val="20"/>
                <w:color w:val="auto"/>
              </w:rPr>
            </w:pPr>
            <w:r>
              <w:rPr>
                <w:rFonts w:ascii="Arial" w:cs="Arial" w:eastAsia="Arial" w:hAnsi="Arial"/>
                <w:sz w:val="14"/>
                <w:szCs w:val="14"/>
                <w:color w:val="auto"/>
              </w:rPr>
              <w:t>Income tax benefit associated with pre-tax adjustments</w:t>
            </w:r>
            <w:r>
              <w:rPr>
                <w:rFonts w:ascii="Arial" w:cs="Arial" w:eastAsia="Arial" w:hAnsi="Arial"/>
                <w:sz w:val="18"/>
                <w:szCs w:val="18"/>
                <w:color w:val="auto"/>
                <w:vertAlign w:val="superscript"/>
              </w:rPr>
              <w:t>(l)</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(38,500)</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(43,536)</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(35,637)</w:t>
            </w:r>
          </w:p>
        </w:tc>
      </w:tr>
      <w:tr>
        <w:trPr>
          <w:trHeight w:val="178"/>
        </w:trPr>
        <w:tc>
          <w:tcPr>
            <w:tcW w:w="7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Net Income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245,782</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99,124</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100,386</w:t>
            </w:r>
          </w:p>
        </w:tc>
      </w:tr>
      <w:tr>
        <w:trPr>
          <w:trHeight w:val="176"/>
        </w:trPr>
        <w:tc>
          <w:tcPr>
            <w:tcW w:w="704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74,192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215,259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157,729</w:t>
            </w:r>
          </w:p>
        </w:tc>
      </w:tr>
      <w:tr>
        <w:trPr>
          <w:trHeight w:val="188"/>
        </w:trPr>
        <w:tc>
          <w:tcPr>
            <w:tcW w:w="704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color w:val="auto"/>
              </w:rPr>
              <w:t>Depreciation</w:t>
            </w:r>
            <w:r>
              <w:rPr>
                <w:rFonts w:ascii="Arial" w:cs="Arial" w:eastAsia="Arial" w:hAnsi="Arial"/>
                <w:sz w:val="18"/>
                <w:szCs w:val="18"/>
                <w:color w:val="auto"/>
                <w:vertAlign w:val="superscript"/>
              </w:rPr>
              <w:t>(m)</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64,160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63,309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66,671</w:t>
            </w:r>
          </w:p>
        </w:tc>
      </w:tr>
      <w:tr>
        <w:trPr>
          <w:trHeight w:val="187"/>
        </w:trPr>
        <w:tc>
          <w:tcPr>
            <w:tcW w:w="7040" w:type="dxa"/>
            <w:vAlign w:val="bottom"/>
            <w:tcBorders>
              <w:bottom w:val="single" w:sz="8" w:color="CCEEFF"/>
            </w:tcBorders>
          </w:tcPr>
          <w:p>
            <w:pPr>
              <w:ind w:left="200"/>
              <w:spacing w:after="0" w:line="187" w:lineRule="exact"/>
              <w:rPr>
                <w:sz w:val="20"/>
                <w:szCs w:val="20"/>
                <w:color w:val="auto"/>
              </w:rPr>
            </w:pPr>
            <w:r>
              <w:rPr>
                <w:rFonts w:ascii="Arial" w:cs="Arial" w:eastAsia="Arial" w:hAnsi="Arial"/>
                <w:sz w:val="14"/>
                <w:szCs w:val="14"/>
                <w:color w:val="auto"/>
              </w:rPr>
              <w:t>Income tax provision applicable to Adjusted Net Income</w:t>
            </w:r>
            <w:r>
              <w:rPr>
                <w:rFonts w:ascii="Arial" w:cs="Arial" w:eastAsia="Arial" w:hAnsi="Arial"/>
                <w:sz w:val="18"/>
                <w:szCs w:val="18"/>
                <w:color w:val="auto"/>
                <w:vertAlign w:val="superscript"/>
              </w:rPr>
              <w:t>(n)</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97,095</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42,167</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55,146</w:t>
            </w:r>
          </w:p>
        </w:tc>
      </w:tr>
      <w:tr>
        <w:trPr>
          <w:trHeight w:val="198"/>
        </w:trPr>
        <w:tc>
          <w:tcPr>
            <w:tcW w:w="7040" w:type="dxa"/>
            <w:vAlign w:val="bottom"/>
            <w:shd w:val="clear" w:color="auto" w:fill="CCEEFF"/>
          </w:tcPr>
          <w:p>
            <w:pPr>
              <w:spacing w:after="0" w:line="178"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(o)</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481,229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419,859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379,932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420" w:hanging="287"/>
        <w:spacing w:after="0"/>
        <w:tabs>
          <w:tab w:leader="none" w:pos="420"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Impairment charges related to the decision to not reopen the Willowbrook, Illinois facility in September 2019</w:t>
      </w:r>
    </w:p>
    <w:p>
      <w:pPr>
        <w:spacing w:after="0" w:line="12" w:lineRule="exact"/>
        <w:rPr>
          <w:rFonts w:ascii="Arial" w:cs="Arial" w:eastAsia="Arial" w:hAnsi="Arial"/>
          <w:sz w:val="16"/>
          <w:szCs w:val="16"/>
          <w:color w:val="231F20"/>
        </w:rPr>
      </w:pPr>
    </w:p>
    <w:p>
      <w:pPr>
        <w:ind w:left="420" w:right="200" w:hanging="287"/>
        <w:spacing w:after="0" w:line="243" w:lineRule="auto"/>
        <w:tabs>
          <w:tab w:leader="none" w:pos="414"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 2019 also includes $10.0 million of one-time cash share-based compensation expense related to the pre-IPO Class C Units, which vested in the third quarter of 2019. See Note 16, “Share-Based Compensation” for further information.</w:t>
      </w:r>
    </w:p>
    <w:p>
      <w:pPr>
        <w:ind w:left="420" w:hanging="287"/>
        <w:spacing w:after="0"/>
        <w:tabs>
          <w:tab w:leader="none" w:pos="420"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Represents cash bonuses for members of management relating to the IPO and the December 2019 refinancing.</w:t>
      </w:r>
    </w:p>
    <w:p>
      <w:pPr>
        <w:spacing w:after="0" w:line="2" w:lineRule="exact"/>
        <w:rPr>
          <w:rFonts w:ascii="Arial" w:cs="Arial" w:eastAsia="Arial" w:hAnsi="Arial"/>
          <w:sz w:val="16"/>
          <w:szCs w:val="16"/>
          <w:color w:val="231F20"/>
        </w:rPr>
      </w:pPr>
    </w:p>
    <w:p>
      <w:pPr>
        <w:ind w:left="420" w:right="300" w:hanging="287"/>
        <w:spacing w:after="0" w:line="246" w:lineRule="auto"/>
        <w:tabs>
          <w:tab w:leader="none" w:pos="414"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Represents the effects of (i) fluctuations in foreign currency exchange rates, and (ii) non-cash mark-to-fair value of embedded derivatives relating to certain customer and supply contracts at Nordion.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56" w:name="page57"/>
    <w:bookmarkEnd w:id="56"/>
    <w:p>
      <w:pPr>
        <w:ind w:left="420" w:right="40" w:hanging="287"/>
        <w:spacing w:after="0" w:line="263" w:lineRule="auto"/>
        <w:tabs>
          <w:tab w:leader="none" w:pos="417"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(i) certain direct and incremental costs related to the acquisitions of RCA, the noncontrolling interests in our China subsidiaries, and BioScience Labs in 2021; Iotron in July 2020;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 $5.1 million non-cash gain arising from the derecognition of an ARO liability no longer attributable to Nordion pursuant to the terms of the sale of the Medical Isotopes business in 2018.</w:t>
      </w:r>
    </w:p>
    <w:p>
      <w:pPr>
        <w:spacing w:after="0" w:line="2" w:lineRule="exact"/>
        <w:rPr>
          <w:rFonts w:ascii="Arial" w:cs="Arial" w:eastAsia="Arial" w:hAnsi="Arial"/>
          <w:sz w:val="14"/>
          <w:szCs w:val="14"/>
          <w:color w:val="231F20"/>
        </w:rPr>
      </w:pPr>
    </w:p>
    <w:p>
      <w:pPr>
        <w:ind w:left="420" w:right="240" w:hanging="287"/>
        <w:spacing w:after="0" w:line="276"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acquisitions, the Sotera Health rebranding, operating structure realignment and other process enhancement projects.</w:t>
      </w:r>
    </w:p>
    <w:p>
      <w:pPr>
        <w:ind w:left="420" w:right="100" w:hanging="287"/>
        <w:spacing w:after="0" w:line="229" w:lineRule="auto"/>
        <w:tabs>
          <w:tab w:leader="none" w:pos="414" w:val="left"/>
        </w:tabs>
        <w:numPr>
          <w:ilvl w:val="0"/>
          <w:numId w:val="32"/>
        </w:numPr>
        <w:rPr>
          <w:rFonts w:ascii="Arial" w:cs="Arial" w:eastAsia="Arial" w:hAnsi="Arial"/>
          <w:sz w:val="16"/>
          <w:szCs w:val="16"/>
          <w:color w:val="231F20"/>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jc w:val="both"/>
        <w:ind w:left="420" w:right="180" w:hanging="287"/>
        <w:spacing w:after="0" w:line="277" w:lineRule="auto"/>
        <w:tabs>
          <w:tab w:leader="none" w:pos="414"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expenses incurred in connection with the repricing of our Term Loan in January 2021, full redemption of the First Lien Notes in August 2021, paydown of debt following the November 2020 IPO, and refinancing of our debt capital structure in December 2019, including accelerated amortization of prior debt issuance and discount costs, premiums paid in connection with early extinguishment and debt issuance and discount costs incurred for the new debt.</w:t>
      </w:r>
    </w:p>
    <w:p>
      <w:pPr>
        <w:ind w:left="420" w:right="700" w:hanging="287"/>
        <w:spacing w:after="0" w:line="243" w:lineRule="auto"/>
        <w:tabs>
          <w:tab w:leader="none" w:pos="415" w:val="left"/>
        </w:tabs>
        <w:numPr>
          <w:ilvl w:val="0"/>
          <w:numId w:val="32"/>
        </w:numPr>
        <w:rPr>
          <w:rFonts w:ascii="Arial" w:cs="Arial" w:eastAsia="Arial" w:hAnsi="Arial"/>
          <w:sz w:val="16"/>
          <w:szCs w:val="16"/>
          <w:color w:val="231F20"/>
        </w:rPr>
      </w:pPr>
      <w:r>
        <w:rPr>
          <w:rFonts w:ascii="Arial" w:cs="Arial" w:eastAsia="Arial" w:hAnsi="Arial"/>
          <w:sz w:val="16"/>
          <w:szCs w:val="16"/>
          <w:color w:val="auto"/>
        </w:rPr>
        <w:t>Represents professional fees related to litigation associated with our EO sterilization facilities and other related professional fees. See Note 20, “Commitments and Contingencies”.</w:t>
      </w:r>
    </w:p>
    <w:p>
      <w:pPr>
        <w:ind w:left="420" w:right="140" w:hanging="287"/>
        <w:spacing w:after="0" w:line="243" w:lineRule="auto"/>
        <w:tabs>
          <w:tab w:leader="none" w:pos="415" w:val="left"/>
        </w:tabs>
        <w:numPr>
          <w:ilvl w:val="0"/>
          <w:numId w:val="32"/>
        </w:numPr>
        <w:rPr>
          <w:rFonts w:ascii="Arial" w:cs="Arial" w:eastAsia="Arial" w:hAnsi="Arial"/>
          <w:sz w:val="16"/>
          <w:szCs w:val="16"/>
          <w:color w:val="231F20"/>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420" w:hanging="287"/>
        <w:spacing w:after="0" w:line="278" w:lineRule="auto"/>
        <w:tabs>
          <w:tab w:leader="none" w:pos="414"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non-recurring costs associated with the COVID-19 pandemic, including incremental costs to implement workplace health and safety measures. For the year ended December 31, 2020, costs also included donations to related charitable causes and special bonuses for front-line personnel working on-site during lockdown periods.</w:t>
      </w:r>
    </w:p>
    <w:p>
      <w:pPr>
        <w:ind w:left="420" w:right="500" w:hanging="287"/>
        <w:spacing w:after="0" w:line="244" w:lineRule="auto"/>
        <w:tabs>
          <w:tab w:leader="none" w:pos="415" w:val="left"/>
        </w:tabs>
        <w:numPr>
          <w:ilvl w:val="0"/>
          <w:numId w:val="32"/>
        </w:numPr>
        <w:rPr>
          <w:rFonts w:ascii="Arial" w:cs="Arial" w:eastAsia="Arial" w:hAnsi="Arial"/>
          <w:sz w:val="15"/>
          <w:szCs w:val="15"/>
          <w:color w:val="231F20"/>
        </w:rPr>
      </w:pPr>
      <w:r>
        <w:rPr>
          <w:rFonts w:ascii="Arial" w:cs="Arial" w:eastAsia="Arial" w:hAnsi="Arial"/>
          <w:sz w:val="15"/>
          <w:szCs w:val="15"/>
          <w:color w:val="auto"/>
        </w:rPr>
        <w:t>Represents the income tax impact of adjustments calculated based on the tax rate applicable to each item. We eliminate the effect of significant changes to income tax valuation allowances, tax rate changes as applied to tax assets and liabilities, and unusual items from our presentation of adjusted net income</w:t>
      </w:r>
      <w:r>
        <w:rPr>
          <w:rFonts w:ascii="Arial" w:cs="Arial" w:eastAsia="Arial" w:hAnsi="Arial"/>
          <w:sz w:val="16"/>
          <w:szCs w:val="16"/>
          <w:color w:val="auto"/>
        </w:rPr>
        <w:t>.</w:t>
      </w:r>
    </w:p>
    <w:p>
      <w:pPr>
        <w:spacing w:after="0" w:line="1" w:lineRule="exact"/>
        <w:rPr>
          <w:rFonts w:ascii="Arial" w:cs="Arial" w:eastAsia="Arial" w:hAnsi="Arial"/>
          <w:sz w:val="15"/>
          <w:szCs w:val="15"/>
          <w:color w:val="231F20"/>
        </w:rPr>
      </w:pPr>
    </w:p>
    <w:p>
      <w:pPr>
        <w:ind w:left="400" w:hanging="267"/>
        <w:spacing w:after="0"/>
        <w:tabs>
          <w:tab w:leader="none" w:pos="4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Includes depreciation of Co-60 held at gamma irradiation sites.</w:t>
      </w:r>
    </w:p>
    <w:p>
      <w:pPr>
        <w:ind w:left="420" w:right="120" w:hanging="287"/>
        <w:spacing w:after="0" w:line="243" w:lineRule="auto"/>
        <w:tabs>
          <w:tab w:leader="none" w:pos="414"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Represents the difference between income tax expense or benefit as determined under U.S. GAAP and the income tax benefit associated with pre-tax adjustments described in footnote (l).</w:t>
      </w:r>
    </w:p>
    <w:p>
      <w:pPr>
        <w:ind w:left="420" w:right="420" w:hanging="287"/>
        <w:spacing w:after="0" w:line="246" w:lineRule="auto"/>
        <w:tabs>
          <w:tab w:leader="none" w:pos="414"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 xml:space="preserve">$85.3 million, $82.6 million and $86.7 million of the adjustments for the </w:t>
      </w:r>
      <w:r>
        <w:rPr>
          <w:rFonts w:ascii="Arial" w:cs="Arial" w:eastAsia="Arial" w:hAnsi="Arial"/>
          <w:sz w:val="16"/>
          <w:szCs w:val="16"/>
          <w:color w:val="000000"/>
        </w:rPr>
        <w:t>year ended December 31, 2021,</w:t>
      </w:r>
      <w:r>
        <w:rPr>
          <w:rFonts w:ascii="Arial" w:cs="Arial" w:eastAsia="Arial" w:hAnsi="Arial"/>
          <w:sz w:val="16"/>
          <w:szCs w:val="16"/>
          <w:color w:val="231F20"/>
        </w:rPr>
        <w:t xml:space="preserve"> 2020 and 2019, respectively, are included in cost of revenues, primarily consisting of amortization of intangible assets, depreciation, and accretion of asset retirement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95" w:lineRule="exact"/>
        <w:rPr>
          <w:sz w:val="20"/>
          <w:szCs w:val="20"/>
          <w:color w:val="auto"/>
        </w:rPr>
      </w:pPr>
    </w:p>
    <w:p>
      <w:pPr>
        <w:ind w:right="160"/>
        <w:spacing w:after="0" w:line="304" w:lineRule="auto"/>
        <w:rPr>
          <w:sz w:val="20"/>
          <w:szCs w:val="20"/>
          <w:color w:val="auto"/>
        </w:rPr>
      </w:pPr>
      <w:r>
        <w:rPr>
          <w:rFonts w:ascii="Arial" w:cs="Arial" w:eastAsia="Arial" w:hAnsi="Arial"/>
          <w:sz w:val="14"/>
          <w:szCs w:val="14"/>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Segments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Sterigenics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Nordion</w:t>
      </w:r>
    </w:p>
    <w:p>
      <w:pPr>
        <w:spacing w:after="0" w:line="189" w:lineRule="exact"/>
        <w:rPr>
          <w:sz w:val="20"/>
          <w:szCs w:val="20"/>
          <w:color w:val="auto"/>
        </w:rPr>
      </w:pPr>
    </w:p>
    <w:p>
      <w:pPr>
        <w:ind w:right="580"/>
        <w:spacing w:after="0" w:line="330" w:lineRule="auto"/>
        <w:rPr>
          <w:sz w:val="20"/>
          <w:szCs w:val="20"/>
          <w:color w:val="auto"/>
        </w:rPr>
      </w:pPr>
      <w:r>
        <w:rPr>
          <w:rFonts w:ascii="Arial" w:cs="Arial" w:eastAsia="Arial" w:hAnsi="Arial"/>
          <w:sz w:val="14"/>
          <w:szCs w:val="14"/>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bookmarkStart w:id="57" w:name="page58"/>
    <w:bookmarkEnd w:id="57"/>
    <w:p>
      <w:pPr>
        <w:ind w:right="200"/>
        <w:spacing w:after="0" w:line="248"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Results for our Nordion segment are impacted by Co-60 mix, harvest schedules, as well as customer, product and service mix.</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Nelson Labs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Our Nelson Labs business provides outsourced microbiological and analytical chemistry testing and advisory services for the medical device and pharmaceutical industries.</w:t>
      </w:r>
    </w:p>
    <w:p>
      <w:pPr>
        <w:spacing w:after="0" w:line="212"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For more information regarding our reportable segments please refer to Item 1. “Business” and Note 22, “Segment and Geographic Information” to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for the Years Ended December 31, 2021 and 2020</w:t>
      </w:r>
    </w:p>
    <w:p>
      <w:pPr>
        <w:spacing w:after="0" w:line="195"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i w:val="1"/>
          <w:iCs w:val="1"/>
          <w:color w:val="auto"/>
        </w:rPr>
        <w:t>The following section summarizes the segment results for the years ended December 31, 2021 and 2020. The discussion of the segment results for the years ended December 31, 2020 and 2019 are presented within our Annual Report on Form 10-K for the year ended December 31, 2020 under “Item 7. Management’s Discussion and Analysis of Financial Condition and Results of Operations - Segment Results for the years ended December 31, 2020 and 2019.”</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2021 to the year ended December 31, 2020:</w:t>
      </w:r>
    </w:p>
    <w:p>
      <w:pPr>
        <w:spacing w:after="0" w:line="52" w:lineRule="exact"/>
        <w:rPr>
          <w:sz w:val="20"/>
          <w:szCs w:val="20"/>
          <w:color w:val="auto"/>
        </w:rPr>
      </w:pPr>
    </w:p>
    <w:p>
      <w:pPr>
        <w:jc w:val="center"/>
        <w:ind w:left="1160"/>
        <w:spacing w:after="0"/>
        <w:rPr>
          <w:sz w:val="20"/>
          <w:szCs w:val="20"/>
          <w:color w:val="auto"/>
        </w:rPr>
      </w:pPr>
      <w:r>
        <w:rPr>
          <w:rFonts w:ascii="Arial" w:cs="Arial" w:eastAsia="Arial" w:hAnsi="Arial"/>
          <w:sz w:val="12"/>
          <w:szCs w:val="12"/>
          <w:b w:val="1"/>
          <w:bCs w:val="1"/>
          <w:color w:val="auto"/>
        </w:rPr>
        <w:t>Year Ended</w:t>
      </w:r>
    </w:p>
    <w:p>
      <w:pPr>
        <w:spacing w:after="0" w:line="16" w:lineRule="exact"/>
        <w:rPr>
          <w:sz w:val="20"/>
          <w:szCs w:val="20"/>
          <w:color w:val="auto"/>
        </w:rPr>
      </w:pPr>
    </w:p>
    <w:p>
      <w:pPr>
        <w:jc w:val="center"/>
        <w:ind w:left="1160"/>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665"/>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665"/>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1540" w:type="dxa"/>
            <w:vAlign w:val="bottom"/>
          </w:tcPr>
          <w:p>
            <w:pPr>
              <w:jc w:val="right"/>
              <w:ind w:right="425"/>
              <w:spacing w:after="0"/>
              <w:rPr>
                <w:sz w:val="20"/>
                <w:szCs w:val="20"/>
                <w:color w:val="auto"/>
              </w:rPr>
            </w:pPr>
            <w:r>
              <w:rPr>
                <w:rFonts w:ascii="Arial" w:cs="Arial" w:eastAsia="Arial" w:hAnsi="Arial"/>
                <w:sz w:val="12"/>
                <w:szCs w:val="12"/>
                <w:b w:val="1"/>
                <w:bCs w:val="1"/>
                <w:color w:val="auto"/>
              </w:rPr>
              <w:t>% Change</w:t>
            </w:r>
          </w:p>
        </w:tc>
      </w:tr>
      <w:tr>
        <w:trPr>
          <w:trHeight w:val="79"/>
        </w:trPr>
        <w:tc>
          <w:tcPr>
            <w:tcW w:w="44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r>
      <w:tr>
        <w:trPr>
          <w:trHeight w:val="198"/>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3"/>
        </w:trPr>
        <w:tc>
          <w:tcPr>
            <w:tcW w:w="4400" w:type="dxa"/>
            <w:vAlign w:val="bottom"/>
          </w:tcPr>
          <w:p>
            <w:pPr>
              <w:ind w:left="380"/>
              <w:spacing w:after="0"/>
              <w:rPr>
                <w:sz w:val="20"/>
                <w:szCs w:val="20"/>
                <w:color w:val="auto"/>
              </w:rPr>
            </w:pPr>
            <w:r>
              <w:rPr>
                <w:rFonts w:ascii="Arial" w:cs="Arial" w:eastAsia="Arial" w:hAnsi="Arial"/>
                <w:sz w:val="16"/>
                <w:szCs w:val="16"/>
                <w:b w:val="1"/>
                <w:bCs w:val="1"/>
                <w:color w:val="auto"/>
              </w:rPr>
              <w:t>Sterigenics</w:t>
            </w:r>
          </w:p>
        </w:tc>
        <w:tc>
          <w:tcPr>
            <w:tcW w:w="420" w:type="dxa"/>
            <w:vAlign w:val="bottom"/>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125"/>
              <w:spacing w:after="0"/>
              <w:rPr>
                <w:sz w:val="20"/>
                <w:szCs w:val="20"/>
                <w:color w:val="auto"/>
              </w:rPr>
            </w:pPr>
            <w:r>
              <w:rPr>
                <w:rFonts w:ascii="Arial" w:cs="Arial" w:eastAsia="Arial" w:hAnsi="Arial"/>
                <w:sz w:val="16"/>
                <w:szCs w:val="16"/>
                <w:b w:val="1"/>
                <w:bCs w:val="1"/>
                <w:color w:val="auto"/>
              </w:rPr>
              <w:t>571,829</w:t>
            </w:r>
          </w:p>
        </w:tc>
        <w:tc>
          <w:tcPr>
            <w:tcW w:w="160" w:type="dxa"/>
            <w:vAlign w:val="bottom"/>
          </w:tcPr>
          <w:p>
            <w:pPr>
              <w:spacing w:after="0"/>
              <w:rPr>
                <w:sz w:val="20"/>
                <w:szCs w:val="20"/>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05"/>
              <w:spacing w:after="0"/>
              <w:rPr>
                <w:sz w:val="20"/>
                <w:szCs w:val="20"/>
                <w:color w:val="auto"/>
              </w:rPr>
            </w:pPr>
            <w:r>
              <w:rPr>
                <w:rFonts w:ascii="Arial" w:cs="Arial" w:eastAsia="Arial" w:hAnsi="Arial"/>
                <w:sz w:val="16"/>
                <w:szCs w:val="16"/>
                <w:color w:val="auto"/>
              </w:rPr>
              <w:t>498,773</w:t>
            </w:r>
          </w:p>
        </w:tc>
        <w:tc>
          <w:tcPr>
            <w:tcW w:w="16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73,056</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14.6 %</w:t>
            </w:r>
          </w:p>
        </w:tc>
      </w:tr>
      <w:tr>
        <w:trPr>
          <w:trHeight w:val="233"/>
        </w:trPr>
        <w:tc>
          <w:tcPr>
            <w:tcW w:w="44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Nordion</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140,507</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114,745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76"/>
        </w:trPr>
        <w:tc>
          <w:tcPr>
            <w:tcW w:w="4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Nelson Labs</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219,142</w:t>
            </w:r>
          </w:p>
        </w:tc>
        <w:tc>
          <w:tcPr>
            <w:tcW w:w="1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rPr>
              <w:t>204,640</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14,502</w:t>
            </w:r>
          </w:p>
        </w:tc>
        <w:tc>
          <w:tcPr>
            <w:tcW w:w="16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r>
      <w:tr>
        <w:trPr>
          <w:trHeight w:val="198"/>
        </w:trPr>
        <w:tc>
          <w:tcPr>
            <w:tcW w:w="44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Segment Income</w:t>
            </w:r>
          </w:p>
        </w:tc>
        <w:tc>
          <w:tcPr>
            <w:tcW w:w="4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r>
      <w:tr>
        <w:trPr>
          <w:trHeight w:val="233"/>
        </w:trPr>
        <w:tc>
          <w:tcPr>
            <w:tcW w:w="44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Sterigenics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310,470</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266,639</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43,831</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33"/>
        </w:trPr>
        <w:tc>
          <w:tcPr>
            <w:tcW w:w="4400" w:type="dxa"/>
            <w:vAlign w:val="bottom"/>
          </w:tcPr>
          <w:p>
            <w:pPr>
              <w:ind w:left="380"/>
              <w:spacing w:after="0"/>
              <w:rPr>
                <w:sz w:val="20"/>
                <w:szCs w:val="20"/>
                <w:color w:val="auto"/>
              </w:rPr>
            </w:pPr>
            <w:r>
              <w:rPr>
                <w:rFonts w:ascii="Arial" w:cs="Arial" w:eastAsia="Arial" w:hAnsi="Arial"/>
                <w:sz w:val="16"/>
                <w:szCs w:val="16"/>
                <w:b w:val="1"/>
                <w:bCs w:val="1"/>
                <w:color w:val="auto"/>
              </w:rPr>
              <w:t>Nordion</w:t>
            </w:r>
          </w:p>
        </w:tc>
        <w:tc>
          <w:tcPr>
            <w:tcW w:w="420" w:type="dxa"/>
            <w:vAlign w:val="bottom"/>
          </w:tcPr>
          <w:p>
            <w:pPr>
              <w:spacing w:after="0"/>
              <w:rPr>
                <w:sz w:val="20"/>
                <w:szCs w:val="20"/>
                <w:color w:val="auto"/>
              </w:rPr>
            </w:pPr>
          </w:p>
        </w:tc>
        <w:tc>
          <w:tcPr>
            <w:tcW w:w="1300" w:type="dxa"/>
            <w:vAlign w:val="bottom"/>
          </w:tcPr>
          <w:p>
            <w:pPr>
              <w:jc w:val="right"/>
              <w:ind w:right="125"/>
              <w:spacing w:after="0"/>
              <w:rPr>
                <w:sz w:val="20"/>
                <w:szCs w:val="20"/>
                <w:color w:val="auto"/>
              </w:rPr>
            </w:pPr>
            <w:r>
              <w:rPr>
                <w:rFonts w:ascii="Arial" w:cs="Arial" w:eastAsia="Arial" w:hAnsi="Arial"/>
                <w:sz w:val="16"/>
                <w:szCs w:val="16"/>
                <w:b w:val="1"/>
                <w:bCs w:val="1"/>
                <w:color w:val="auto"/>
              </w:rPr>
              <w:t>82,673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105"/>
              <w:spacing w:after="0"/>
              <w:rPr>
                <w:sz w:val="20"/>
                <w:szCs w:val="20"/>
                <w:color w:val="auto"/>
              </w:rPr>
            </w:pPr>
            <w:r>
              <w:rPr>
                <w:rFonts w:ascii="Arial" w:cs="Arial" w:eastAsia="Arial" w:hAnsi="Arial"/>
                <w:sz w:val="16"/>
                <w:szCs w:val="16"/>
                <w:color w:val="auto"/>
              </w:rPr>
              <w:t>66,803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15,870</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23.8 %</w:t>
            </w:r>
          </w:p>
        </w:tc>
      </w:tr>
      <w:tr>
        <w:trPr>
          <w:trHeight w:val="233"/>
        </w:trPr>
        <w:tc>
          <w:tcPr>
            <w:tcW w:w="44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Nelson Labs</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88,086</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86,417</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6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Income Margin</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233"/>
        </w:trPr>
        <w:tc>
          <w:tcPr>
            <w:tcW w:w="4400" w:type="dxa"/>
            <w:vAlign w:val="bottom"/>
          </w:tcPr>
          <w:p>
            <w:pPr>
              <w:ind w:left="380"/>
              <w:spacing w:after="0"/>
              <w:rPr>
                <w:sz w:val="20"/>
                <w:szCs w:val="20"/>
                <w:color w:val="auto"/>
              </w:rPr>
            </w:pPr>
            <w:r>
              <w:rPr>
                <w:rFonts w:ascii="Arial" w:cs="Arial" w:eastAsia="Arial" w:hAnsi="Arial"/>
                <w:sz w:val="16"/>
                <w:szCs w:val="16"/>
                <w:b w:val="1"/>
                <w:bCs w:val="1"/>
                <w:color w:val="auto"/>
              </w:rPr>
              <w:t>Sterigenics</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54.3 %</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53.5 %</w:t>
            </w:r>
          </w:p>
        </w:tc>
        <w:tc>
          <w:tcPr>
            <w:tcW w:w="3240" w:type="dxa"/>
            <w:vAlign w:val="bottom"/>
          </w:tcPr>
          <w:p>
            <w:pPr>
              <w:spacing w:after="0"/>
              <w:rPr>
                <w:sz w:val="20"/>
                <w:szCs w:val="20"/>
                <w:color w:val="auto"/>
              </w:rPr>
            </w:pPr>
          </w:p>
        </w:tc>
      </w:tr>
      <w:tr>
        <w:trPr>
          <w:trHeight w:val="233"/>
        </w:trPr>
        <w:tc>
          <w:tcPr>
            <w:tcW w:w="44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Nordion</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58.8 %</w:t>
            </w: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c>
          <w:tcPr>
            <w:tcW w:w="3240" w:type="dxa"/>
            <w:vAlign w:val="bottom"/>
            <w:shd w:val="clear" w:color="auto" w:fill="CCEEFF"/>
          </w:tcPr>
          <w:p>
            <w:pPr>
              <w:spacing w:after="0"/>
              <w:rPr>
                <w:sz w:val="20"/>
                <w:szCs w:val="20"/>
                <w:color w:val="auto"/>
              </w:rPr>
            </w:pPr>
          </w:p>
        </w:tc>
      </w:tr>
      <w:tr>
        <w:trPr>
          <w:trHeight w:val="233"/>
        </w:trPr>
        <w:tc>
          <w:tcPr>
            <w:tcW w:w="4400" w:type="dxa"/>
            <w:vAlign w:val="bottom"/>
          </w:tcPr>
          <w:p>
            <w:pPr>
              <w:ind w:left="380"/>
              <w:spacing w:after="0"/>
              <w:rPr>
                <w:sz w:val="20"/>
                <w:szCs w:val="20"/>
                <w:color w:val="auto"/>
              </w:rPr>
            </w:pPr>
            <w:r>
              <w:rPr>
                <w:rFonts w:ascii="Arial" w:cs="Arial" w:eastAsia="Arial" w:hAnsi="Arial"/>
                <w:sz w:val="16"/>
                <w:szCs w:val="16"/>
                <w:b w:val="1"/>
                <w:bCs w:val="1"/>
                <w:color w:val="auto"/>
              </w:rPr>
              <w:t>Nelson Labs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40.2 %</w:t>
            </w:r>
          </w:p>
        </w:tc>
        <w:tc>
          <w:tcPr>
            <w:tcW w:w="16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42.2 %</w:t>
            </w:r>
          </w:p>
        </w:tc>
        <w:tc>
          <w:tcPr>
            <w:tcW w:w="3240" w:type="dxa"/>
            <w:vAlign w:val="bottom"/>
          </w:tcPr>
          <w:p>
            <w:pPr>
              <w:spacing w:after="0"/>
              <w:rPr>
                <w:sz w:val="20"/>
                <w:szCs w:val="20"/>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189" w:lineRule="exact"/>
        <w:rPr>
          <w:sz w:val="20"/>
          <w:szCs w:val="20"/>
          <w:color w:val="auto"/>
        </w:rPr>
      </w:pPr>
    </w:p>
    <w:p>
      <w:pPr>
        <w:jc w:val="both"/>
        <w:ind w:right="320"/>
        <w:spacing w:after="0" w:line="251" w:lineRule="auto"/>
        <w:rPr>
          <w:sz w:val="20"/>
          <w:szCs w:val="20"/>
          <w:color w:val="auto"/>
        </w:rPr>
      </w:pPr>
      <w:r>
        <w:rPr>
          <w:rFonts w:ascii="Arial" w:cs="Arial" w:eastAsia="Arial" w:hAnsi="Arial"/>
          <w:sz w:val="16"/>
          <w:szCs w:val="16"/>
          <w:color w:val="auto"/>
        </w:rPr>
        <w:t>Sterigenics net revenues were $571.8 million for the year ended December 31, 2021, an increase of $73.1 million, or 14.6%, as compared to the prior year. The increase reflects organic volume growth of 6.8%, a favorable impact from pricing of 3.8%, a 2.9% increase in revenues from the July 31, 2020 acquisition of Iotron, and favorable impacts from changes in foreign currency exchange rates of 1.1%.</w:t>
      </w:r>
    </w:p>
    <w:p>
      <w:pPr>
        <w:spacing w:after="0" w:line="169" w:lineRule="exact"/>
        <w:rPr>
          <w:sz w:val="20"/>
          <w:szCs w:val="20"/>
          <w:color w:val="auto"/>
        </w:rPr>
      </w:pPr>
    </w:p>
    <w:p>
      <w:pPr>
        <w:ind w:right="80"/>
        <w:spacing w:after="0" w:line="330" w:lineRule="auto"/>
        <w:rPr>
          <w:sz w:val="20"/>
          <w:szCs w:val="20"/>
          <w:color w:val="auto"/>
        </w:rPr>
      </w:pPr>
      <w:r>
        <w:rPr>
          <w:rFonts w:ascii="Arial" w:cs="Arial" w:eastAsia="Arial" w:hAnsi="Arial"/>
          <w:sz w:val="14"/>
          <w:szCs w:val="14"/>
          <w:color w:val="auto"/>
        </w:rPr>
        <w:t>Nordion net revenues were $140.5 million for the year ended December 31, 2021, an increase of $25.8 million, or 22.5%, as compared to the prior year. The increase was driven by higher volume of 10.4%, favorable pricing of 6.3% and a 5.8% impact from the strengthening of the Canadian dollar compared to the U.S. dollar during 2021.</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Nelson Labs net revenues were $219.1 million for the year ended December 31, 2021, an increase of $14.5 million, or 7.1%, as compared to the prior year. The net revenue increase was driven primarily by 6.3% of revenue growth from the acquisitions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58" w:name="page59"/>
    <w:bookmarkEnd w:id="58"/>
    <w:p>
      <w:pPr>
        <w:ind w:right="440"/>
        <w:spacing w:after="0" w:line="259" w:lineRule="auto"/>
        <w:rPr>
          <w:sz w:val="20"/>
          <w:szCs w:val="20"/>
          <w:color w:val="auto"/>
        </w:rPr>
      </w:pPr>
      <w:r>
        <w:rPr>
          <w:rFonts w:ascii="Arial" w:cs="Arial" w:eastAsia="Arial" w:hAnsi="Arial"/>
          <w:sz w:val="16"/>
          <w:szCs w:val="16"/>
          <w:color w:val="auto"/>
        </w:rPr>
        <w:t>BioScience Labs and RCA in 2021 and positive impacts from pricing of 3.4%. Offsetting these growth factors was a 3.9% decline in revenue related to the testing of personal protective equipment.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Income</w:t>
      </w:r>
    </w:p>
    <w:p>
      <w:pPr>
        <w:spacing w:after="0" w:line="189" w:lineRule="exact"/>
        <w:rPr>
          <w:sz w:val="20"/>
          <w:szCs w:val="20"/>
          <w:color w:val="auto"/>
        </w:rPr>
      </w:pPr>
    </w:p>
    <w:p>
      <w:pPr>
        <w:jc w:val="both"/>
        <w:ind w:right="400"/>
        <w:spacing w:after="0" w:line="251" w:lineRule="auto"/>
        <w:rPr>
          <w:sz w:val="20"/>
          <w:szCs w:val="20"/>
          <w:color w:val="auto"/>
        </w:rPr>
      </w:pPr>
      <w:r>
        <w:rPr>
          <w:rFonts w:ascii="Arial" w:cs="Arial" w:eastAsia="Arial" w:hAnsi="Arial"/>
          <w:sz w:val="16"/>
          <w:szCs w:val="16"/>
          <w:color w:val="auto"/>
        </w:rPr>
        <w:t>Sterigenics segment income was $310.5 million for the year ended December 31, 2021, an increase of $43.8 million, or 16.4%, as compared to the prior year. The increase in segment income was primarily a result of organic volume growth coupled with the contributions of the Iotron acquisition and favorable pricing, as referenced above. This was partially offset by incremental overhead costs associated with being a public company.</w:t>
      </w:r>
    </w:p>
    <w:p>
      <w:pPr>
        <w:spacing w:after="0" w:line="169" w:lineRule="exact"/>
        <w:rPr>
          <w:sz w:val="20"/>
          <w:szCs w:val="20"/>
          <w:color w:val="auto"/>
        </w:rPr>
      </w:pPr>
    </w:p>
    <w:p>
      <w:pPr>
        <w:ind w:right="160" w:firstLine="4"/>
        <w:spacing w:after="0" w:line="330" w:lineRule="auto"/>
        <w:rPr>
          <w:sz w:val="20"/>
          <w:szCs w:val="20"/>
          <w:color w:val="auto"/>
        </w:rPr>
      </w:pPr>
      <w:r>
        <w:rPr>
          <w:rFonts w:ascii="Arial" w:cs="Arial" w:eastAsia="Arial" w:hAnsi="Arial"/>
          <w:sz w:val="14"/>
          <w:szCs w:val="14"/>
          <w:color w:val="auto"/>
        </w:rPr>
        <w:t>Nordion segment income was $82.7 million for the year ended December 31, 2021, an increase of $15.9 million, or 23.8%, as compared to the prior year. The increase in segment income was due to the favorable impacts of sales volume, customer pricing and changes in foreign currency exchange rates, as referenced above.</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Nelson Labs segment income was $88.1 million for the year ended December 31, 2021, an increase of $1.7 million, or 1.9%, as compared to the prior year, primarily attributable to the incremental contribution of BioScience Labs and favorable pricing. This increase was partially offset by declines in the testing of personal protective equipment. The 2.0% decrease in segment income margin was attributable to the aforementioned decline in personal protective equipment testing, which generated favorable margins in 2020.</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Cash</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primary sources of liquidity for our business are cash flows from operations and borrowings under our credit facilities. As of December 31, 2021, we had $106.9 million of cash and cash equivalents. This is an increase of $4.5 million from the balance at December 31, 2020. Our foreign subsidiaries held cash of approximately $87.9 million at December 31, 2021 and $88.8 million at December 31, 2020, to meet their liquidity needs. No material restrictions exist to accessing cash held by our foreign subsidiaries notwithstanding any potential tax consequences.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Uses of Cash</w:t>
      </w:r>
    </w:p>
    <w:p>
      <w:pPr>
        <w:spacing w:after="0" w:line="19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for at least the next twelve months.</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primary long-term liquidity requirements beyond the next twelve months will be to service our debt, to make capital expenditures, and fund selective business acquisitions. Our significant categories of contractual cash obligations required to operate our business that extend beyond December 31, 2021 are described in “Contractual Obligations and Commercial Commitments” below.</w:t>
      </w:r>
    </w:p>
    <w:p>
      <w:pPr>
        <w:spacing w:after="0" w:line="169" w:lineRule="exact"/>
        <w:rPr>
          <w:sz w:val="20"/>
          <w:szCs w:val="20"/>
          <w:color w:val="auto"/>
        </w:rPr>
      </w:pPr>
    </w:p>
    <w:p>
      <w:pPr>
        <w:jc w:val="both"/>
        <w:ind w:right="360"/>
        <w:spacing w:after="0" w:line="304" w:lineRule="auto"/>
        <w:rPr>
          <w:sz w:val="20"/>
          <w:szCs w:val="20"/>
          <w:color w:val="auto"/>
        </w:rPr>
      </w:pPr>
      <w:r>
        <w:rPr>
          <w:rFonts w:ascii="Arial" w:cs="Arial" w:eastAsia="Arial" w:hAnsi="Arial"/>
          <w:sz w:val="14"/>
          <w:szCs w:val="14"/>
          <w:color w:val="auto"/>
        </w:rPr>
        <w:t>We expect to use cash provided by operations in excess of amounts needed for capital expenditures,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95"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the year ended December 31, 2021, our capital expenditures amounted to $102.2 million, compared to $53.5 million in 2020. This amount includes approximately $10.1 million related to environmental facility enhancements.</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2022, we expect to continue to invest in facility expansions, ongoing routine maintenance for existing facilities, and acquisition of Co-60 for use by our Sterigenics segment in its gamma irradiation facilities. In addition, we expect to invest 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9" w:name="page60"/>
    <w:bookmarkEnd w:id="59"/>
    <w:p>
      <w:pPr>
        <w:ind w:right="20"/>
        <w:spacing w:after="0" w:line="291" w:lineRule="auto"/>
        <w:rPr>
          <w:sz w:val="20"/>
          <w:szCs w:val="20"/>
          <w:color w:val="auto"/>
        </w:rPr>
      </w:pPr>
      <w:r>
        <w:rPr>
          <w:rFonts w:ascii="Arial" w:cs="Arial" w:eastAsia="Arial" w:hAnsi="Arial"/>
          <w:sz w:val="14"/>
          <w:szCs w:val="14"/>
          <w:color w:val="auto"/>
        </w:rPr>
        <w:t>special projects related to development of new Co-60 supply sources and facility enhancements at our EO sterilization facilities. We currently expect our capital expenditures to be higher in 2022 than in recent years and remain elevated over the next several years as we execute on those special projects in addition to our normal growth and maintenance related investments. For 2022, considering our typical growth and maintenance projects, along with the special projects, we expect capital expenditures to exceed $140.0 million, of which approximately $30.0 million and $32.0 million relate to environmental facility enhancements and cobalt development projects, respectively. We expect similar investments in environmental facility enhancements and cobalt development projects in subsequent years.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may choose to temporarily defer planned capital expenditures due to fluctuations in demand for our products and services resulting from the COVID-19 pandemic and the needs of our customers.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the Term Loan mature on June 13, 2026 and December 13, 2026, respectively.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2021 and 2020, total borrowings under the Term Loan were $1,763.1 million and $1,763.1 million, respectively, and there were no borrowings outstanding on the Revolving Credit Facility. The weighted average interest rate on borrowings under the Term Loan for the year ended December 31, 2021 and 2020 was 3.44% and 5.67%, respectively.</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w:t>
      </w:r>
    </w:p>
    <w:p>
      <w:pPr>
        <w:jc w:val="both"/>
        <w:ind w:right="200"/>
        <w:spacing w:after="0" w:line="227" w:lineRule="auto"/>
        <w:rPr>
          <w:sz w:val="20"/>
          <w:szCs w:val="20"/>
          <w:color w:val="auto"/>
        </w:rPr>
      </w:pPr>
      <w:r>
        <w:rPr>
          <w:rFonts w:ascii="Arial" w:cs="Arial" w:eastAsia="Arial" w:hAnsi="Arial"/>
          <w:sz w:val="16"/>
          <w:szCs w:val="16"/>
          <w:color w:val="auto"/>
        </w:rPr>
        <w:t>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alternative base rate “ABR” or (b) a LIBOR rate.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$139.0 million and 40.0% of the aggregate principal amount of the revolving commitments then in effect.</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On March 26, 2021, we amended the Revolving Credit Facility, to (i) decrease the Applicable Rate (as defined in the Credit Agreement) related to any Revolving Loans (as defined in the Credit Agreement) from a rate per annum that ranged from an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w:t>
      </w:r>
    </w:p>
    <w:p>
      <w:pPr>
        <w:spacing w:after="0" w:line="14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As of December 31, 2021 and 2020, there were no borrowings outstanding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0" w:name="page61"/>
    <w:bookmarkEnd w:id="60"/>
    <w:p>
      <w:pPr>
        <w:ind w:right="180"/>
        <w:spacing w:after="0" w:line="251" w:lineRule="auto"/>
        <w:rPr>
          <w:sz w:val="20"/>
          <w:szCs w:val="20"/>
          <w:color w:val="auto"/>
        </w:rPr>
      </w:pPr>
      <w:r>
        <w:rPr>
          <w:rFonts w:ascii="Arial" w:cs="Arial" w:eastAsia="Arial" w:hAnsi="Arial"/>
          <w:sz w:val="16"/>
          <w:szCs w:val="16"/>
          <w:color w:val="auto"/>
        </w:rPr>
        <w:t>As of December 31, 2021 and 2020 capitalized debt issuance costs totaled $2.7 million and $3.4 million, respectively, and debt discounts totaled $17.3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69"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December 31, 2021, we were in compliance with all the Senior Secured Credit Facilities covenants.</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72"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color w:val="auto"/>
        </w:rPr>
        <w:t>Outstanding letters of credit are collateralized by encumbrances against the Revolving Credit Facility and the collateral pledged thereunder, or by cash placed on deposit with the issuing bank. As of December 31, 2021, the Company had $113.8 million of letters of credit issued against the Revolving Credit Facility, resulting in total availability under the Revolving Credit Facility of $233.7 million. Due to the overlap of a letter of credit with a termination date of January 6, 2022 and its replacement with a letter of credit with a commencement date of December 16, 2021 in similar amount, our availability under the Revolving Credit Facility was abnormally low for a brief period including December 31, 2021 and continuing through January 6, 2022. As of January 6, 2022, our availability under the Revolving credit facility increased to $278.4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Loan Interest Rate Risk Management</w:t>
      </w:r>
    </w:p>
    <w:p>
      <w:pPr>
        <w:spacing w:after="0" w:line="189" w:lineRule="exact"/>
        <w:rPr>
          <w:sz w:val="20"/>
          <w:szCs w:val="20"/>
          <w:color w:val="auto"/>
        </w:rPr>
      </w:pPr>
    </w:p>
    <w:p>
      <w:pPr>
        <w:ind w:right="320"/>
        <w:spacing w:after="0" w:line="330" w:lineRule="auto"/>
        <w:rPr>
          <w:sz w:val="20"/>
          <w:szCs w:val="20"/>
          <w:color w:val="auto"/>
        </w:rPr>
      </w:pPr>
      <w:r>
        <w:rPr>
          <w:rFonts w:ascii="Arial" w:cs="Arial" w:eastAsia="Arial" w:hAnsi="Arial"/>
          <w:sz w:val="14"/>
          <w:szCs w:val="14"/>
          <w:color w:val="auto"/>
        </w:rPr>
        <w:t>The Company utilizes interest rate derivatives to eliminate the variability of cash flows in the interest payments associated with the Term Loan due to changes in LIBOR (or its successor). For additional information on the derivative instruments described above, refer to Note 21, “Financial Instruments and Financial Risk”, “Derivatives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Lien Notes</w:t>
      </w:r>
    </w:p>
    <w:p>
      <w:pPr>
        <w:spacing w:after="0" w:line="18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72"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Lien Notes</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13, 2019, SHH issued $770.0 million of Second Lien Senior Secured Notes (the “Second Lien Notes”), which had a maturity date of December 13, 2027. The Second Lien Notes bore interest at a rate equal to LIBOR subject to a 1.00% floor plus 8.00% per annum. On December 14, 2020, SHH redeemed in full all of the $770.0 million aggregate principal amount of the First Lien Notes (as described below in “2020 Debt Repayments”). The weighted average interest rate on the Second Lien Notes through the redemption date of December 14, 2020 was 9.35%.</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color w:val="auto"/>
        </w:rPr>
        <w:t>2020 Debt Repayments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“Loss on extinguishment of debt” in our Consolidated Statements of Operations and Comprehensive Income (Loss).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Refinancing</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conjunction with the December 2019 refinancing, the Company redeemed, in full, the previously outstanding $1,659.0 million aggregate Term Loan due 2022, its $450.0 million Senior Notes due 2023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“Loss on extinguishment of debt” in our Consolidated Statements of Operations and Comprehensive Income (Loss). Any additional proceeds were used to fund a dividend to shareholders of $275.0 million.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Information</w:t>
      </w:r>
    </w:p>
    <w:p>
      <w:pPr>
        <w:spacing w:after="0" w:line="19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The following section summarizes cash flow information for the years ended December 31, 2021 and 2020. Cash flow information for the years ended December 31, 2020 and 2019 are presented within our Annual Report on Form 10-K for the year ended December 31, 2020 under “Item 7. Management’s Discussion and Analysis of Financial Condition and Results of Operations - 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2021 compared to the Year Ended December 31,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2"/>
                <w:szCs w:val="12"/>
                <w:color w:val="auto"/>
              </w:rPr>
            </w:pPr>
          </w:p>
        </w:tc>
        <w:tc>
          <w:tcPr>
            <w:tcW w:w="1080" w:type="dxa"/>
            <w:vAlign w:val="bottom"/>
          </w:tcPr>
          <w:p>
            <w:pPr>
              <w:jc w:val="right"/>
              <w:ind w:right="505"/>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25"/>
              <w:spacing w:after="0"/>
              <w:rPr>
                <w:sz w:val="20"/>
                <w:szCs w:val="20"/>
                <w:color w:val="auto"/>
              </w:rPr>
            </w:pPr>
            <w:r>
              <w:rPr>
                <w:rFonts w:ascii="Arial" w:cs="Arial" w:eastAsia="Arial" w:hAnsi="Arial"/>
                <w:sz w:val="12"/>
                <w:szCs w:val="12"/>
                <w:color w:val="auto"/>
              </w:rPr>
              <w:t>2020</w:t>
            </w:r>
          </w:p>
        </w:tc>
      </w:tr>
      <w:tr>
        <w:trPr>
          <w:trHeight w:val="27"/>
        </w:trPr>
        <w:tc>
          <w:tcPr>
            <w:tcW w:w="1360" w:type="dxa"/>
            <w:vAlign w:val="bottom"/>
            <w:tcBorders>
              <w:top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3"/>
        </w:trPr>
        <w:tc>
          <w:tcPr>
            <w:tcW w:w="1360" w:type="dxa"/>
            <w:vAlign w:val="bottom"/>
          </w:tcPr>
          <w:p>
            <w:pPr>
              <w:spacing w:after="0"/>
              <w:rPr>
                <w:sz w:val="6"/>
                <w:szCs w:val="6"/>
                <w:color w:val="auto"/>
              </w:rPr>
            </w:pPr>
          </w:p>
        </w:tc>
        <w:tc>
          <w:tcPr>
            <w:tcW w:w="6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98"/>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281,545</w:t>
            </w:r>
          </w:p>
        </w:tc>
        <w:tc>
          <w:tcPr>
            <w:tcW w:w="16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120,585</w:t>
            </w:r>
          </w:p>
        </w:tc>
      </w:tr>
      <w:tr>
        <w:trPr>
          <w:trHeight w:val="198"/>
        </w:trPr>
        <w:tc>
          <w:tcPr>
            <w:tcW w:w="8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(159,833)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(158,694)</w:t>
            </w: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(117,286)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73,432</w:t>
            </w:r>
          </w:p>
        </w:tc>
      </w:tr>
      <w:tr>
        <w:trPr>
          <w:trHeight w:val="198"/>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4,106</w:t>
            </w:r>
          </w:p>
        </w:tc>
      </w:tr>
      <w:tr>
        <w:trPr>
          <w:trHeight w:val="190"/>
        </w:trPr>
        <w:tc>
          <w:tcPr>
            <w:tcW w:w="824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 including restricted cash, during the period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4,470</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39,429</w:t>
            </w:r>
          </w:p>
        </w:tc>
      </w:tr>
      <w:tr>
        <w:trPr>
          <w:trHeight w:val="20"/>
        </w:trPr>
        <w:tc>
          <w:tcPr>
            <w:tcW w:w="13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Cash flows provided by operating activities increased $161.0 million to net cash provided of $281.5 million in the year ended December 31, 2021 compared to $120.6 million for the prior year. Higher cash flows from operating activities in 2021 compared to the prior year were principally driven by a decrease in cash paid for interest of $152.5 million and an increase in operating income of $50.7 million, offset by an increase in cash paid for income taxes of $28.0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89"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Cash used in investing activities increased $1.1 million to net cash used of $159.8 million in the year ended December 31, 2021 compared to $158.7 million for the prior year. An increase in cash paid for capital expenditures of $48.7 million offset by a decrease in cash paid for business acquisitions of $48.2 million resulted in an insignificant change in net cash outflows used in investing activities in the year ended December 31, 2021 compared to the prior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9" w:lineRule="exact"/>
        <w:rPr>
          <w:sz w:val="20"/>
          <w:szCs w:val="20"/>
          <w:color w:val="auto"/>
        </w:rPr>
      </w:pPr>
    </w:p>
    <w:p>
      <w:pPr>
        <w:ind w:right="180"/>
        <w:spacing w:after="0" w:line="304" w:lineRule="auto"/>
        <w:rPr>
          <w:sz w:val="20"/>
          <w:szCs w:val="20"/>
          <w:color w:val="auto"/>
        </w:rPr>
      </w:pPr>
      <w:r>
        <w:rPr>
          <w:rFonts w:ascii="Arial" w:cs="Arial" w:eastAsia="Arial" w:hAnsi="Arial"/>
          <w:sz w:val="14"/>
          <w:szCs w:val="14"/>
          <w:color w:val="auto"/>
        </w:rPr>
        <w:t>For the year ended December 31, 2021, net cash used in financing activities was $117.3 million compared to net cash provided of $73.4 million for the year ended December 31, 2020. For the year ended December 31, 2021, the principal uses of cash in financing activities were $100.0 million for the full redemption of the First Lien Notes, $8.4 million for the acquisition of the noncontrolling interests in our China subsidiaries and $6.8 million of debt issuance costs and prepayment premium incurred 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62" w:name="page63"/>
    <w:bookmarkEnd w:id="62"/>
    <w:p>
      <w:pPr>
        <w:ind w:left="7"/>
        <w:spacing w:after="0"/>
        <w:rPr>
          <w:sz w:val="20"/>
          <w:szCs w:val="20"/>
          <w:color w:val="auto"/>
        </w:rPr>
      </w:pPr>
      <w:r>
        <w:rPr>
          <w:rFonts w:ascii="Arial" w:cs="Arial" w:eastAsia="Arial" w:hAnsi="Arial"/>
          <w:sz w:val="16"/>
          <w:szCs w:val="16"/>
          <w:color w:val="auto"/>
        </w:rPr>
        <w:t>connection with our refinancing of the Senior Secured Credit Facilities and the early redemption of the First Lien Notes, respectively.</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describes our significant contractual cash obligations as of December 31, 2021:</w:t>
      </w:r>
    </w:p>
    <w:p>
      <w:pPr>
        <w:spacing w:after="0" w:line="215"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40"/>
        </w:trPr>
        <w:tc>
          <w:tcPr>
            <w:tcW w:w="1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Less than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26"/>
              <w:spacing w:after="0"/>
              <w:rPr>
                <w:sz w:val="20"/>
                <w:szCs w:val="20"/>
                <w:color w:val="auto"/>
              </w:rPr>
            </w:pPr>
            <w:r>
              <w:rPr>
                <w:rFonts w:ascii="Arial" w:cs="Arial" w:eastAsia="Arial" w:hAnsi="Arial"/>
                <w:sz w:val="12"/>
                <w:szCs w:val="12"/>
                <w:b w:val="1"/>
                <w:bCs w:val="1"/>
                <w:color w:val="auto"/>
              </w:rPr>
              <w:t>More than 5</w:t>
            </w:r>
          </w:p>
        </w:tc>
      </w:tr>
      <w:tr>
        <w:trPr>
          <w:trHeight w:val="136"/>
        </w:trPr>
        <w:tc>
          <w:tcPr>
            <w:tcW w:w="3520" w:type="dxa"/>
            <w:vAlign w:val="bottom"/>
            <w:gridSpan w:val="2"/>
          </w:tcPr>
          <w:p>
            <w:pPr>
              <w:spacing w:after="0" w:line="137" w:lineRule="exact"/>
              <w:rPr>
                <w:sz w:val="20"/>
                <w:szCs w:val="20"/>
                <w:color w:val="auto"/>
              </w:rPr>
            </w:pPr>
            <w:r>
              <w:rPr>
                <w:rFonts w:ascii="Arial" w:cs="Arial" w:eastAsia="Arial" w:hAnsi="Arial"/>
                <w:sz w:val="12"/>
                <w:szCs w:val="12"/>
                <w:i w:val="1"/>
                <w:iCs w:val="1"/>
                <w:color w:val="auto"/>
              </w:rPr>
              <w:t>(thousands of U.S. dollars)</w:t>
            </w:r>
          </w:p>
        </w:tc>
        <w:tc>
          <w:tcPr>
            <w:tcW w:w="320" w:type="dxa"/>
            <w:vAlign w:val="bottom"/>
          </w:tcPr>
          <w:p>
            <w:pPr>
              <w:spacing w:after="0"/>
              <w:rPr>
                <w:sz w:val="11"/>
                <w:szCs w:val="11"/>
                <w:color w:val="auto"/>
              </w:rPr>
            </w:pPr>
          </w:p>
        </w:tc>
        <w:tc>
          <w:tcPr>
            <w:tcW w:w="1240" w:type="dxa"/>
            <w:vAlign w:val="bottom"/>
            <w:gridSpan w:val="2"/>
          </w:tcPr>
          <w:p>
            <w:pPr>
              <w:ind w:left="240"/>
              <w:spacing w:after="0" w:line="137" w:lineRule="exact"/>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1"/>
                <w:szCs w:val="11"/>
                <w:color w:val="auto"/>
              </w:rPr>
            </w:pPr>
          </w:p>
        </w:tc>
        <w:tc>
          <w:tcPr>
            <w:tcW w:w="130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4"/>
              </w:rPr>
              <w:t>1 Year</w:t>
            </w:r>
          </w:p>
        </w:tc>
        <w:tc>
          <w:tcPr>
            <w:tcW w:w="100" w:type="dxa"/>
            <w:vAlign w:val="bottom"/>
          </w:tcPr>
          <w:p>
            <w:pPr>
              <w:spacing w:after="0"/>
              <w:rPr>
                <w:sz w:val="11"/>
                <w:szCs w:val="11"/>
                <w:color w:val="auto"/>
              </w:rPr>
            </w:pPr>
          </w:p>
        </w:tc>
        <w:tc>
          <w:tcPr>
            <w:tcW w:w="1480" w:type="dxa"/>
            <w:vAlign w:val="bottom"/>
            <w:gridSpan w:val="2"/>
          </w:tcPr>
          <w:p>
            <w:pPr>
              <w:ind w:left="360"/>
              <w:spacing w:after="0" w:line="137" w:lineRule="exact"/>
              <w:rPr>
                <w:sz w:val="20"/>
                <w:szCs w:val="20"/>
                <w:color w:val="auto"/>
              </w:rPr>
            </w:pPr>
            <w:r>
              <w:rPr>
                <w:rFonts w:ascii="Arial" w:cs="Arial" w:eastAsia="Arial" w:hAnsi="Arial"/>
                <w:sz w:val="12"/>
                <w:szCs w:val="12"/>
                <w:b w:val="1"/>
                <w:bCs w:val="1"/>
                <w:color w:val="auto"/>
              </w:rPr>
              <w:t>2-3 Years</w:t>
            </w:r>
          </w:p>
        </w:tc>
        <w:tc>
          <w:tcPr>
            <w:tcW w:w="280" w:type="dxa"/>
            <w:vAlign w:val="bottom"/>
          </w:tcPr>
          <w:p>
            <w:pPr>
              <w:spacing w:after="0"/>
              <w:rPr>
                <w:sz w:val="11"/>
                <w:szCs w:val="11"/>
                <w:color w:val="auto"/>
              </w:rPr>
            </w:pPr>
          </w:p>
        </w:tc>
        <w:tc>
          <w:tcPr>
            <w:tcW w:w="1300" w:type="dxa"/>
            <w:vAlign w:val="bottom"/>
            <w:gridSpan w:val="2"/>
          </w:tcPr>
          <w:p>
            <w:pPr>
              <w:ind w:left="180"/>
              <w:spacing w:after="0" w:line="137" w:lineRule="exact"/>
              <w:rPr>
                <w:sz w:val="20"/>
                <w:szCs w:val="20"/>
                <w:color w:val="auto"/>
              </w:rPr>
            </w:pPr>
            <w:r>
              <w:rPr>
                <w:rFonts w:ascii="Arial" w:cs="Arial" w:eastAsia="Arial" w:hAnsi="Arial"/>
                <w:sz w:val="12"/>
                <w:szCs w:val="12"/>
                <w:b w:val="1"/>
                <w:bCs w:val="1"/>
                <w:color w:val="auto"/>
              </w:rPr>
              <w:t>4-5 Years</w:t>
            </w:r>
          </w:p>
        </w:tc>
        <w:tc>
          <w:tcPr>
            <w:tcW w:w="240" w:type="dxa"/>
            <w:vAlign w:val="bottom"/>
          </w:tcPr>
          <w:p>
            <w:pPr>
              <w:spacing w:after="0"/>
              <w:rPr>
                <w:sz w:val="11"/>
                <w:szCs w:val="11"/>
                <w:color w:val="auto"/>
              </w:rPr>
            </w:pPr>
          </w:p>
        </w:tc>
        <w:tc>
          <w:tcPr>
            <w:tcW w:w="1200" w:type="dxa"/>
            <w:vAlign w:val="bottom"/>
          </w:tcPr>
          <w:p>
            <w:pPr>
              <w:jc w:val="right"/>
              <w:ind w:right="506"/>
              <w:spacing w:after="0" w:line="137" w:lineRule="exact"/>
              <w:rPr>
                <w:sz w:val="20"/>
                <w:szCs w:val="20"/>
                <w:color w:val="auto"/>
              </w:rPr>
            </w:pPr>
            <w:r>
              <w:rPr>
                <w:rFonts w:ascii="Arial" w:cs="Arial" w:eastAsia="Arial" w:hAnsi="Arial"/>
                <w:sz w:val="12"/>
                <w:szCs w:val="12"/>
                <w:b w:val="1"/>
                <w:bCs w:val="1"/>
                <w:color w:val="auto"/>
              </w:rPr>
              <w:t>Years</w:t>
            </w:r>
          </w:p>
        </w:tc>
      </w:tr>
      <w:tr>
        <w:trPr>
          <w:trHeight w:val="27"/>
        </w:trPr>
        <w:tc>
          <w:tcPr>
            <w:tcW w:w="136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8"/>
        </w:trPr>
        <w:tc>
          <w:tcPr>
            <w:tcW w:w="3520" w:type="dxa"/>
            <w:vAlign w:val="bottom"/>
            <w:gridSpan w:val="2"/>
            <w:shd w:val="clear" w:color="auto" w:fill="CCEEFF"/>
          </w:tcPr>
          <w:p>
            <w:pPr>
              <w:spacing w:after="0" w:line="198"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0"/>
                <w:szCs w:val="20"/>
                <w:color w:val="auto"/>
                <w:vertAlign w:val="superscript"/>
              </w:rPr>
              <w:t>(a)</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2,061,522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116,965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1,886,137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3520" w:type="dxa"/>
            <w:vAlign w:val="bottom"/>
            <w:gridSpan w:val="2"/>
          </w:tcPr>
          <w:p>
            <w:pPr>
              <w:spacing w:after="0"/>
              <w:rPr>
                <w:sz w:val="20"/>
                <w:szCs w:val="20"/>
                <w:color w:val="auto"/>
              </w:rPr>
            </w:pPr>
            <w:r>
              <w:rPr>
                <w:rFonts w:ascii="Arial" w:cs="Arial" w:eastAsia="Arial" w:hAnsi="Arial"/>
                <w:sz w:val="16"/>
                <w:szCs w:val="16"/>
                <w:color w:val="auto"/>
              </w:rPr>
              <w:t>Lease obligations: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8"/>
        </w:trPr>
        <w:tc>
          <w:tcPr>
            <w:tcW w:w="352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6"/>
                <w:szCs w:val="16"/>
                <w:color w:val="auto"/>
              </w:rPr>
              <w:t xml:space="preserve">Finance </w:t>
            </w:r>
            <w:r>
              <w:rPr>
                <w:rFonts w:ascii="Arial" w:cs="Arial" w:eastAsia="Arial" w:hAnsi="Arial"/>
                <w:sz w:val="20"/>
                <w:szCs w:val="20"/>
                <w:color w:val="auto"/>
                <w:vertAlign w:val="superscript"/>
              </w:rPr>
              <w:t>(b)</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63,859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45,318</w:t>
            </w:r>
          </w:p>
        </w:tc>
      </w:tr>
      <w:tr>
        <w:trPr>
          <w:trHeight w:val="198"/>
        </w:trPr>
        <w:tc>
          <w:tcPr>
            <w:tcW w:w="3520" w:type="dxa"/>
            <w:vAlign w:val="bottom"/>
            <w:gridSpan w:val="2"/>
          </w:tcPr>
          <w:p>
            <w:pPr>
              <w:ind w:left="380"/>
              <w:spacing w:after="0" w:line="198" w:lineRule="exact"/>
              <w:rPr>
                <w:sz w:val="20"/>
                <w:szCs w:val="20"/>
                <w:color w:val="auto"/>
              </w:rPr>
            </w:pPr>
            <w:r>
              <w:rPr>
                <w:rFonts w:ascii="Arial" w:cs="Arial" w:eastAsia="Arial" w:hAnsi="Arial"/>
                <w:sz w:val="16"/>
                <w:szCs w:val="16"/>
                <w:color w:val="auto"/>
              </w:rPr>
              <w:t xml:space="preserve">Operating </w:t>
            </w:r>
            <w:r>
              <w:rPr>
                <w:rFonts w:ascii="Arial" w:cs="Arial" w:eastAsia="Arial" w:hAnsi="Arial"/>
                <w:sz w:val="20"/>
                <w:szCs w:val="20"/>
                <w:color w:val="auto"/>
                <w:vertAlign w:val="superscript"/>
              </w:rPr>
              <w:t>(c)</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51,438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16,189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14,401</w:t>
            </w:r>
          </w:p>
        </w:tc>
      </w:tr>
      <w:tr>
        <w:trPr>
          <w:trHeight w:val="198"/>
        </w:trPr>
        <w:tc>
          <w:tcPr>
            <w:tcW w:w="3520" w:type="dxa"/>
            <w:vAlign w:val="bottom"/>
            <w:gridSpan w:val="2"/>
            <w:shd w:val="clear" w:color="auto" w:fill="CCEEFF"/>
          </w:tcPr>
          <w:p>
            <w:pPr>
              <w:spacing w:after="0" w:line="198" w:lineRule="exact"/>
              <w:rPr>
                <w:sz w:val="20"/>
                <w:szCs w:val="20"/>
                <w:color w:val="auto"/>
              </w:rPr>
            </w:pPr>
            <w:r>
              <w:rPr>
                <w:rFonts w:ascii="Arial" w:cs="Arial" w:eastAsia="Arial" w:hAnsi="Arial"/>
                <w:sz w:val="16"/>
                <w:szCs w:val="16"/>
                <w:color w:val="auto"/>
              </w:rPr>
              <w:t xml:space="preserve">Supply and service obligations </w:t>
            </w:r>
            <w:r>
              <w:rPr>
                <w:rFonts w:ascii="Arial" w:cs="Arial" w:eastAsia="Arial" w:hAnsi="Arial"/>
                <w:sz w:val="20"/>
                <w:szCs w:val="20"/>
                <w:color w:val="auto"/>
                <w:vertAlign w:val="superscript"/>
              </w:rPr>
              <w:t>(d)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1,687,474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104,102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1,450,450</w:t>
            </w:r>
          </w:p>
        </w:tc>
      </w:tr>
      <w:tr>
        <w:trPr>
          <w:trHeight w:val="198"/>
        </w:trPr>
        <w:tc>
          <w:tcPr>
            <w:tcW w:w="3520" w:type="dxa"/>
            <w:vAlign w:val="bottom"/>
            <w:tcBorders>
              <w:bottom w:val="single" w:sz="8" w:color="CCEEFF"/>
            </w:tcBorders>
            <w:gridSpan w:val="2"/>
          </w:tcPr>
          <w:p>
            <w:pPr>
              <w:spacing w:after="0" w:line="198" w:lineRule="exact"/>
              <w:rPr>
                <w:sz w:val="20"/>
                <w:szCs w:val="20"/>
                <w:color w:val="auto"/>
              </w:rPr>
            </w:pPr>
            <w:r>
              <w:rPr>
                <w:rFonts w:ascii="Arial" w:cs="Arial" w:eastAsia="Arial" w:hAnsi="Arial"/>
                <w:sz w:val="16"/>
                <w:szCs w:val="16"/>
                <w:color w:val="auto"/>
              </w:rPr>
              <w:t xml:space="preserve">Direct material costs </w:t>
            </w:r>
            <w:r>
              <w:rPr>
                <w:rFonts w:ascii="Arial" w:cs="Arial" w:eastAsia="Arial" w:hAnsi="Arial"/>
                <w:sz w:val="20"/>
                <w:szCs w:val="20"/>
                <w:color w:val="auto"/>
                <w:vertAlign w:val="superscript"/>
              </w:rPr>
              <w:t>(e)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128,912</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27,458</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59,204</w:t>
            </w:r>
          </w:p>
        </w:tc>
      </w:tr>
      <w:tr>
        <w:trPr>
          <w:trHeight w:val="215"/>
        </w:trPr>
        <w:tc>
          <w:tcPr>
            <w:tcW w:w="3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3,993,205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134,283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272,245</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2,017,304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1,569,373</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47" w:right="240" w:hanging="347"/>
        <w:spacing w:after="0" w:line="282" w:lineRule="auto"/>
        <w:tabs>
          <w:tab w:leader="none" w:pos="344"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principal and interest payments on the Senior Secured Credit Facilities. We have calculated the interest payments on the Senior Secured Credit Facilities at an average of 3.25% (LIBOR plus 2.75% subject to a LIBOR floor of 0.50%) thereafter. This reflects the current incremental margin on the Senior Secured Credit Facilities as amended on January 20, 2021. Refer to Note 10, “Long-Term Debt” of our consolidated financial statements.</w:t>
      </w:r>
    </w:p>
    <w:p>
      <w:pPr>
        <w:spacing w:after="0" w:line="2" w:lineRule="exact"/>
        <w:rPr>
          <w:rFonts w:ascii="Arial" w:cs="Arial" w:eastAsia="Arial" w:hAnsi="Arial"/>
          <w:sz w:val="14"/>
          <w:szCs w:val="14"/>
          <w:color w:val="auto"/>
        </w:rPr>
      </w:pPr>
    </w:p>
    <w:p>
      <w:pPr>
        <w:ind w:left="347" w:hanging="347"/>
        <w:spacing w:after="0"/>
        <w:tabs>
          <w:tab w:leader="none" w:pos="3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payments under our finance leases for various equipment and facilities.</w:t>
      </w:r>
    </w:p>
    <w:p>
      <w:pPr>
        <w:spacing w:after="0" w:line="2" w:lineRule="exact"/>
        <w:rPr>
          <w:rFonts w:ascii="Arial" w:cs="Arial" w:eastAsia="Arial" w:hAnsi="Arial"/>
          <w:sz w:val="16"/>
          <w:szCs w:val="16"/>
          <w:color w:val="auto"/>
        </w:rPr>
      </w:pPr>
    </w:p>
    <w:p>
      <w:pPr>
        <w:ind w:left="347" w:hanging="347"/>
        <w:spacing w:after="0"/>
        <w:tabs>
          <w:tab w:leader="none" w:pos="3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minimum lease payments under our operating leases for several of our facilities and other property and equipment, net of sublease payments.</w:t>
      </w:r>
    </w:p>
    <w:p>
      <w:pPr>
        <w:spacing w:after="0" w:line="2" w:lineRule="exact"/>
        <w:rPr>
          <w:rFonts w:ascii="Arial" w:cs="Arial" w:eastAsia="Arial" w:hAnsi="Arial"/>
          <w:sz w:val="16"/>
          <w:szCs w:val="16"/>
          <w:color w:val="auto"/>
        </w:rPr>
      </w:pPr>
    </w:p>
    <w:p>
      <w:pPr>
        <w:ind w:left="347" w:hanging="347"/>
        <w:spacing w:after="0"/>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our best estimate of our obligations under various supply and service agreements, primarily Co-60, that are enforceable and legally binding on us.</w:t>
      </w:r>
    </w:p>
    <w:p>
      <w:pPr>
        <w:spacing w:after="0" w:line="25" w:lineRule="exact"/>
        <w:rPr>
          <w:rFonts w:ascii="Arial" w:cs="Arial" w:eastAsia="Arial" w:hAnsi="Arial"/>
          <w:sz w:val="14"/>
          <w:szCs w:val="14"/>
          <w:color w:val="auto"/>
        </w:rPr>
      </w:pPr>
    </w:p>
    <w:p>
      <w:pPr>
        <w:ind w:left="347" w:right="40" w:hanging="347"/>
        <w:spacing w:after="0" w:line="287" w:lineRule="auto"/>
        <w:tabs>
          <w:tab w:leader="none" w:pos="344"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147" w:lineRule="exact"/>
        <w:rPr>
          <w:sz w:val="20"/>
          <w:szCs w:val="20"/>
          <w:color w:val="auto"/>
        </w:rPr>
      </w:pPr>
    </w:p>
    <w:p>
      <w:pPr>
        <w:ind w:left="7" w:right="140"/>
        <w:spacing w:after="0" w:line="291" w:lineRule="auto"/>
        <w:rPr>
          <w:sz w:val="20"/>
          <w:szCs w:val="20"/>
          <w:color w:val="auto"/>
        </w:rPr>
      </w:pPr>
      <w:r>
        <w:rPr>
          <w:rFonts w:ascii="Arial" w:cs="Arial" w:eastAsia="Arial" w:hAnsi="Arial"/>
          <w:sz w:val="14"/>
          <w:szCs w:val="14"/>
          <w:color w:val="auto"/>
        </w:rPr>
        <w:t>At December 31, 2021 and 2020, we had $144.7 million and $94.0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2021 and 2020, $50.5 million and $49.5 million, respectively, of the standby letters of credit and surety bonds referenced above were outstanding in favor of the various local and state licensing authorities in the event we defaulted on our decommissioning obligation.</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5" w:lineRule="exact"/>
        <w:rPr>
          <w:sz w:val="20"/>
          <w:szCs w:val="20"/>
          <w:color w:val="auto"/>
        </w:rPr>
      </w:pPr>
    </w:p>
    <w:p>
      <w:pPr>
        <w:jc w:val="both"/>
        <w:ind w:left="7" w:right="340"/>
        <w:spacing w:after="0" w:line="304" w:lineRule="auto"/>
        <w:rPr>
          <w:sz w:val="20"/>
          <w:szCs w:val="20"/>
          <w:color w:val="auto"/>
        </w:rPr>
      </w:pPr>
      <w:r>
        <w:rPr>
          <w:rFonts w:ascii="Arial" w:cs="Arial" w:eastAsia="Arial" w:hAnsi="Arial"/>
          <w:sz w:val="14"/>
          <w:szCs w:val="14"/>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34" w:lineRule="exact"/>
        <w:rPr>
          <w:sz w:val="20"/>
          <w:szCs w:val="20"/>
          <w:color w:val="auto"/>
        </w:rPr>
      </w:pPr>
    </w:p>
    <w:p>
      <w:pPr>
        <w:jc w:val="both"/>
        <w:ind w:left="7" w:right="160"/>
        <w:spacing w:after="0" w:line="304" w:lineRule="auto"/>
        <w:rPr>
          <w:sz w:val="20"/>
          <w:szCs w:val="20"/>
          <w:color w:val="auto"/>
        </w:rPr>
      </w:pPr>
      <w:r>
        <w:rPr>
          <w:rFonts w:ascii="Arial" w:cs="Arial" w:eastAsia="Arial" w:hAnsi="Arial"/>
          <w:sz w:val="14"/>
          <w:szCs w:val="14"/>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w:t>
      </w:r>
    </w:p>
    <w:p>
      <w:pPr>
        <w:spacing w:after="0" w:line="200" w:lineRule="exact"/>
        <w:rPr>
          <w:sz w:val="20"/>
          <w:szCs w:val="20"/>
          <w:color w:val="auto"/>
        </w:rPr>
      </w:pPr>
    </w:p>
    <w:p>
      <w:pPr>
        <w:spacing w:after="0" w:line="2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015" w:right="319" w:bottom="1440" w:gutter="0" w:footer="0" w:header="0"/>
        </w:sectPr>
      </w:pPr>
    </w:p>
    <w:bookmarkStart w:id="63" w:name="page64"/>
    <w:bookmarkEnd w:id="63"/>
    <w:p>
      <w:pPr>
        <w:ind w:right="40"/>
        <w:spacing w:after="0" w:line="259" w:lineRule="auto"/>
        <w:rPr>
          <w:sz w:val="20"/>
          <w:szCs w:val="20"/>
          <w:color w:val="auto"/>
        </w:rPr>
      </w:pPr>
      <w:r>
        <w:rPr>
          <w:rFonts w:ascii="Arial" w:cs="Arial" w:eastAsia="Arial" w:hAnsi="Arial"/>
          <w:sz w:val="16"/>
          <w:szCs w:val="16"/>
          <w:color w:val="auto"/>
        </w:rPr>
        <w:t>amounts, giving due consideration to materiality. The application of accounting policies involves the exercise of judgment and use of assumptions as to future uncertainties and, as a result, actual results could differ from these estimates.</w:t>
      </w:r>
    </w:p>
    <w:p>
      <w:pPr>
        <w:spacing w:after="0" w:line="16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majority of our sales agreements contain performance obligations satisfied at a point in time when control of promised goods or services have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Refunds, returns, warranties and other related obligations are not material to any of our business units, nor do we incur material incremental costs to secure customer contracts.</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7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Revenue recognized over time in excess of the 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do not capitalize sales commissions as substantially all of our sales commission programs have an amortization period of one year or less. Furthermore, costs to fulfill a contract are not material.</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72"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17" w:lineRule="exact"/>
        <w:rPr>
          <w:sz w:val="20"/>
          <w:szCs w:val="20"/>
          <w:color w:val="auto"/>
        </w:rPr>
      </w:pPr>
    </w:p>
    <w:p>
      <w:pPr>
        <w:ind w:right="60" w:firstLine="4"/>
        <w:spacing w:after="0" w:line="288" w:lineRule="auto"/>
        <w:rPr>
          <w:sz w:val="20"/>
          <w:szCs w:val="20"/>
          <w:color w:val="auto"/>
        </w:rPr>
      </w:pPr>
      <w:r>
        <w:rPr>
          <w:rFonts w:ascii="Arial" w:cs="Arial" w:eastAsia="Arial" w:hAnsi="Arial"/>
          <w:sz w:val="14"/>
          <w:szCs w:val="14"/>
          <w:i w:val="1"/>
          <w:iCs w:val="1"/>
          <w:color w:val="auto"/>
        </w:rPr>
        <w:t>Long-Lived Assets Other than Goodwill</w:t>
      </w:r>
      <w:r>
        <w:rPr>
          <w:rFonts w:ascii="Arial" w:cs="Arial" w:eastAsia="Arial" w:hAnsi="Arial"/>
          <w:sz w:val="14"/>
          <w:szCs w:val="14"/>
          <w:color w:val="auto"/>
        </w:rPr>
        <w:t>. We review long-lived assets, including finite-lived intangibles for impairment whenever events or circumstances indicate that the carrying</w:t>
      </w:r>
      <w:r>
        <w:rPr>
          <w:rFonts w:ascii="Arial" w:cs="Arial" w:eastAsia="Arial" w:hAnsi="Arial"/>
          <w:sz w:val="14"/>
          <w:szCs w:val="14"/>
          <w:i w:val="1"/>
          <w:iCs w:val="1"/>
          <w:color w:val="auto"/>
        </w:rPr>
        <w:t xml:space="preserve"> </w:t>
      </w:r>
      <w:r>
        <w:rPr>
          <w:rFonts w:ascii="Arial" w:cs="Arial" w:eastAsia="Arial" w:hAnsi="Arial"/>
          <w:sz w:val="14"/>
          <w:szCs w:val="14"/>
          <w:color w:val="auto"/>
        </w:rPr>
        <w:t>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64" w:name="page65"/>
    <w:bookmarkEnd w:id="64"/>
    <w:p>
      <w:pPr>
        <w:spacing w:after="0" w:line="251" w:lineRule="auto"/>
        <w:rPr>
          <w:sz w:val="20"/>
          <w:szCs w:val="20"/>
          <w:color w:val="auto"/>
        </w:rPr>
      </w:pPr>
      <w:r>
        <w:rPr>
          <w:rFonts w:ascii="Arial" w:cs="Arial" w:eastAsia="Arial" w:hAnsi="Arial"/>
          <w:sz w:val="16"/>
          <w:szCs w:val="16"/>
          <w:color w:val="auto"/>
        </w:rPr>
        <w:t>An impairment loss would be recognized based on the amount by which the carrying value of the asset or asset group exceeds its estimated fair value. We provide additional information about our long-lived assets other than goodwill in Notes 7, “Property, Plant and Equipment” and 8, “Goodwill and Other Intangible Assets” to our consolidated financial statements.</w:t>
      </w:r>
    </w:p>
    <w:p>
      <w:pPr>
        <w:spacing w:after="0" w:line="169"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Goodwill and Other Indefinite-Lived Intangibles</w:t>
      </w:r>
      <w:r>
        <w:rPr>
          <w:rFonts w:ascii="Arial" w:cs="Arial" w:eastAsia="Arial" w:hAnsi="Arial"/>
          <w:sz w:val="16"/>
          <w:szCs w:val="16"/>
          <w:color w:val="auto"/>
        </w:rPr>
        <w:t>. Assets and liabilities of a business acquired are accounted for at their estimated fair values as of the acquisition date. Any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74"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Goodwill and other indefinite-lived intangible assets, primarily certain regulatory licenses and trade 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At December 31, 2021, goodwill and intangible assets totaled $1,719.2 million, or 61.6% of our total assets. We consider the impairment analysis of these assets critical due to their quantitative significance to the Company and our segments.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Goodwill is assigned to our segments at December 31, 2021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4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Sterigenics</w:t>
            </w:r>
          </w:p>
        </w:tc>
        <w:tc>
          <w:tcPr>
            <w:tcW w:w="28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Nordion</w:t>
            </w:r>
          </w:p>
        </w:tc>
        <w:tc>
          <w:tcPr>
            <w:tcW w:w="20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Nelson Labs</w:t>
            </w:r>
          </w:p>
        </w:tc>
        <w:tc>
          <w:tcPr>
            <w:tcW w:w="300" w:type="dxa"/>
            <w:vAlign w:val="bottom"/>
          </w:tcPr>
          <w:p>
            <w:pPr>
              <w:spacing w:after="0"/>
              <w:rPr>
                <w:sz w:val="13"/>
                <w:szCs w:val="13"/>
                <w:color w:val="auto"/>
              </w:rPr>
            </w:pPr>
          </w:p>
        </w:tc>
        <w:tc>
          <w:tcPr>
            <w:tcW w:w="1020" w:type="dxa"/>
            <w:vAlign w:val="bottom"/>
          </w:tcPr>
          <w:p>
            <w:pPr>
              <w:jc w:val="right"/>
              <w:ind w:right="450"/>
              <w:spacing w:after="0"/>
              <w:rPr>
                <w:sz w:val="20"/>
                <w:szCs w:val="20"/>
                <w:color w:val="auto"/>
              </w:rPr>
            </w:pPr>
            <w:r>
              <w:rPr>
                <w:rFonts w:ascii="Arial" w:cs="Arial" w:eastAsia="Arial" w:hAnsi="Arial"/>
                <w:sz w:val="12"/>
                <w:szCs w:val="12"/>
                <w:b w:val="1"/>
                <w:bCs w:val="1"/>
                <w:color w:val="auto"/>
              </w:rPr>
              <w:t>Total</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Goodwill at December 31, 2021</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660,743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288,905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b w:val="1"/>
                <w:bCs w:val="1"/>
                <w:color w:val="auto"/>
              </w:rPr>
              <w:t>170,672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1,120,320</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We performed a quantitative assessment of all reporting units (Sterigenics, Nordion and Nelson Labs) as of October 1, 2021.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 minimum of 50% as of October 1, 2021.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Note 8, “Goodwill and Other Intangible Assets” to our consolidated financial statements.</w:t>
      </w:r>
    </w:p>
    <w:p>
      <w:pPr>
        <w:spacing w:after="0" w:line="149" w:lineRule="exact"/>
        <w:rPr>
          <w:sz w:val="20"/>
          <w:szCs w:val="20"/>
          <w:color w:val="auto"/>
        </w:rPr>
      </w:pPr>
    </w:p>
    <w:p>
      <w:pPr>
        <w:spacing w:after="0" w:line="282"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We use the liability method of accounting for income taxes whereby we recognize deferred tax assets and liabilities for the future tax consequences of temporary</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At December 31, 2021 and 2020 a valuation allowance of $44.8 million and $36.0 million, respectively, was established against excess interest expense on our long-term debt in the United States. In addition, at December 31, 2021 and 2020, a valuation allowance was established against foreign net operating loss carryforwards for $3.2 million and $2.6 million, respectively.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65" w:name="page66"/>
    <w:bookmarkEnd w:id="65"/>
    <w:p>
      <w:pPr>
        <w:spacing w:after="0" w:line="245" w:lineRule="auto"/>
        <w:rPr>
          <w:sz w:val="20"/>
          <w:szCs w:val="20"/>
          <w:color w:val="auto"/>
        </w:rPr>
      </w:pPr>
      <w:r>
        <w:rPr>
          <w:rFonts w:ascii="Arial" w:cs="Arial" w:eastAsia="Arial" w:hAnsi="Arial"/>
          <w:sz w:val="16"/>
          <w:szCs w:val="16"/>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w:t>
      </w:r>
    </w:p>
    <w:p>
      <w:pPr>
        <w:spacing w:after="0" w:line="17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11, “Income Taxes” to our consolidated financial statements.</w:t>
      </w:r>
    </w:p>
    <w:p>
      <w:pPr>
        <w:spacing w:after="0" w:line="17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 and claims, which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74"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recovery. Refer to Note 20, “Commitments and Contingencies” to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For a description of recent accounting pronouncements applicable to our business, see Note 2, “Recent Accounting Standards” to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primarily from changes in commodity prices, interest rates and foreign currency exchange, in the ordinary course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purchase our supply of EO gas from various suppliers around the world, but in the United States there is a sole supplier for EO gas used for applications relevant to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 based on fluctuations in the price of EO gas.</w:t>
      </w:r>
    </w:p>
    <w:p>
      <w:pPr>
        <w:spacing w:after="0" w:line="179"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Regulatory Risk</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89" w:lineRule="exact"/>
        <w:rPr>
          <w:sz w:val="20"/>
          <w:szCs w:val="20"/>
          <w:color w:val="auto"/>
        </w:rPr>
      </w:pPr>
    </w:p>
    <w:p>
      <w:pPr>
        <w:jc w:val="both"/>
        <w:ind w:right="300"/>
        <w:spacing w:after="0" w:line="295" w:lineRule="auto"/>
        <w:rPr>
          <w:sz w:val="20"/>
          <w:szCs w:val="20"/>
          <w:color w:val="auto"/>
        </w:rPr>
      </w:pPr>
      <w:r>
        <w:rPr>
          <w:rFonts w:ascii="Arial" w:cs="Arial" w:eastAsia="Arial" w:hAnsi="Arial"/>
          <w:sz w:val="14"/>
          <w:szCs w:val="14"/>
          <w:color w:val="auto"/>
        </w:rPr>
        <w:t>We are subject to interest rate risk on borrowings that bear interest at floating rates. In October 2021, we entered into two interest rate cap agreements with a combined notional amount of $1,000.0 million for a total option premium of $1.8 million. Both interest rate caps have a forward start date beginning on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4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We also entered into two additional interest rate cap agreements in February 2021 with a combined notional amount of $1,000.0 million, for a total option premium of $0.4 million. These instruments were effective September 30, 2021, and will terminate on December 31, 2022. The amended and new interest rate caps limit our cash flow exposure related to the LIBOR base rate under a portion of our variable rate borrowings to 0.5%.</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After applying the effects of interest rate caps referenced above, a 1.0% increase in the interest rate under our outstanding obligations as of December 31, 2021, of $1,763.6 million, would increase interest expense by approximately $1.9 million per year.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See Note 21, “Financial Instruments and Financial Risk” to our consolidated financial statements for a summary of the activity of the interest rate caps for the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89"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47"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spacing w:after="0" w:line="134"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Beginning in the fourth quarter of 2020, the Company began entering into monthly U.S. dollar-denominated foreign currency forward contracts to manage foreign currency exchange rate risk of our intercompany loans in certain of our international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7" w:name="page68"/>
    <w:bookmarkEnd w:id="67"/>
    <w:p>
      <w:pPr>
        <w:spacing w:after="0" w:line="259" w:lineRule="auto"/>
        <w:rPr>
          <w:sz w:val="20"/>
          <w:szCs w:val="20"/>
          <w:color w:val="auto"/>
        </w:rPr>
      </w:pPr>
      <w:r>
        <w:rPr>
          <w:rFonts w:ascii="Arial" w:cs="Arial" w:eastAsia="Arial" w:hAnsi="Arial"/>
          <w:sz w:val="16"/>
          <w:szCs w:val="16"/>
          <w:color w:val="auto"/>
        </w:rPr>
        <w:t>subsidiaries. The foreign currency forward contracts expire on a monthly basis. The fair value of the outstanding foreign currency forward contracts was zero as of December 31, 2021 and 2020.</w:t>
      </w:r>
    </w:p>
    <w:p>
      <w:pPr>
        <w:spacing w:after="0" w:line="162"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Approximately 43.3% of our revenues and 47.0% of our consolidated total assets as of December 31, 2021 are derived from operations outside the United States. Holding other variables constant (such as interest rates and debt levels), if the U.S. dollar had appreciated by 10% against the foreign currencies used by our operations in the year ended December 31, 2021, revenues would have been reduced by approximately $40.4 million and gross profit by approximately $21.0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020"/>
          </w:cols>
          <w:pgMar w:left="320" w:top="1015" w:right="5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2"/>
        </w:trPr>
        <w:tc>
          <w:tcPr>
            <w:tcW w:w="5340" w:type="dxa"/>
            <w:vAlign w:val="bottom"/>
            <w:gridSpan w:val="8"/>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5920" w:type="dxa"/>
            <w:vAlign w:val="bottom"/>
          </w:tcPr>
          <w:p>
            <w:pPr>
              <w:spacing w:after="0"/>
              <w:rPr>
                <w:sz w:val="17"/>
                <w:szCs w:val="17"/>
                <w:color w:val="auto"/>
              </w:rPr>
            </w:pPr>
          </w:p>
        </w:tc>
      </w:tr>
      <w:tr>
        <w:trPr>
          <w:trHeight w:val="373"/>
        </w:trPr>
        <w:tc>
          <w:tcPr>
            <w:tcW w:w="5340" w:type="dxa"/>
            <w:vAlign w:val="bottom"/>
            <w:gridSpan w:val="8"/>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592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98"/>
        </w:trPr>
        <w:tc>
          <w:tcPr>
            <w:tcW w:w="5340" w:type="dxa"/>
            <w:vAlign w:val="bottom"/>
            <w:gridSpan w:val="8"/>
            <w:shd w:val="clear" w:color="auto" w:fill="CCEEFF"/>
          </w:tcPr>
          <w:p>
            <w:pPr>
              <w:spacing w:after="0"/>
              <w:rPr>
                <w:sz w:val="20"/>
                <w:szCs w:val="20"/>
                <w:color w:val="auto"/>
              </w:rPr>
            </w:pPr>
            <w:r>
              <w:rPr>
                <w:rFonts w:ascii="Arial" w:cs="Arial" w:eastAsia="Arial" w:hAnsi="Arial"/>
                <w:sz w:val="16"/>
                <w:szCs w:val="16"/>
                <w:b w:val="1"/>
                <w:bCs w:val="1"/>
                <w:color w:val="auto"/>
              </w:rPr>
              <w:t>Consolidated Financial Statements of Sotera Health Company</w:t>
            </w:r>
          </w:p>
        </w:tc>
        <w:tc>
          <w:tcPr>
            <w:tcW w:w="5920" w:type="dxa"/>
            <w:vAlign w:val="bottom"/>
            <w:shd w:val="clear" w:color="auto" w:fill="CCEEFF"/>
          </w:tcPr>
          <w:p>
            <w:pPr>
              <w:spacing w:after="0"/>
              <w:rPr>
                <w:sz w:val="17"/>
                <w:szCs w:val="17"/>
                <w:color w:val="auto"/>
              </w:rPr>
            </w:pPr>
          </w:p>
        </w:tc>
      </w:tr>
      <w:tr>
        <w:trPr>
          <w:trHeight w:val="171"/>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60" w:type="dxa"/>
            <w:vAlign w:val="bottom"/>
            <w:gridSpan w:val="6"/>
          </w:tcPr>
          <w:p>
            <w:pPr>
              <w:spacing w:after="0" w:line="163" w:lineRule="exact"/>
              <w:rPr>
                <w:rFonts w:ascii="Arial" w:cs="Arial" w:eastAsia="Arial" w:hAnsi="Arial"/>
                <w:sz w:val="16"/>
                <w:szCs w:val="16"/>
                <w:color w:val="0000FF"/>
                <w:w w:val="93"/>
              </w:rPr>
            </w:pPr>
            <w:hyperlink w:anchor="page69">
              <w:r>
                <w:rPr>
                  <w:rFonts w:ascii="Arial" w:cs="Arial" w:eastAsia="Arial" w:hAnsi="Arial"/>
                  <w:sz w:val="16"/>
                  <w:szCs w:val="16"/>
                  <w:color w:val="0000FF"/>
                  <w:w w:val="93"/>
                </w:rPr>
                <w:t>Report of Independent Registered Public Accounting Firm (PCAOB ID: 42)</w:t>
              </w:r>
            </w:hyperlink>
          </w:p>
        </w:tc>
        <w:tc>
          <w:tcPr>
            <w:tcW w:w="5920" w:type="dxa"/>
            <w:vAlign w:val="bottom"/>
          </w:tcPr>
          <w:p>
            <w:pPr>
              <w:jc w:val="right"/>
              <w:spacing w:after="0" w:line="163" w:lineRule="exact"/>
              <w:rPr>
                <w:rFonts w:ascii="Arial" w:cs="Arial" w:eastAsia="Arial" w:hAnsi="Arial"/>
                <w:sz w:val="16"/>
                <w:szCs w:val="16"/>
                <w:color w:val="auto"/>
              </w:rPr>
            </w:pPr>
            <w:hyperlink w:anchor="page69">
              <w:r>
                <w:rPr>
                  <w:rFonts w:ascii="Arial" w:cs="Arial" w:eastAsia="Arial" w:hAnsi="Arial"/>
                  <w:sz w:val="16"/>
                  <w:szCs w:val="16"/>
                  <w:color w:val="auto"/>
                </w:rPr>
                <w:t>70</w:t>
              </w:r>
            </w:hyperlink>
          </w:p>
        </w:tc>
      </w:tr>
      <w:tr>
        <w:trPr>
          <w:trHeight w:val="171"/>
        </w:trPr>
        <w:tc>
          <w:tcPr>
            <w:tcW w:w="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740" w:type="dxa"/>
            <w:vAlign w:val="bottom"/>
            <w:tcBorders>
              <w:top w:val="single" w:sz="8" w:color="0000FF"/>
            </w:tcBorders>
            <w:gridSpan w:val="5"/>
            <w:shd w:val="clear" w:color="auto" w:fill="CCEEFF"/>
          </w:tcPr>
          <w:p>
            <w:pPr>
              <w:spacing w:after="0" w:line="171" w:lineRule="exact"/>
              <w:rPr>
                <w:rFonts w:ascii="Arial" w:cs="Arial" w:eastAsia="Arial" w:hAnsi="Arial"/>
                <w:sz w:val="16"/>
                <w:szCs w:val="16"/>
                <w:color w:val="0000FF"/>
              </w:rPr>
            </w:pPr>
            <w:hyperlink w:anchor="page71">
              <w:r>
                <w:rPr>
                  <w:rFonts w:ascii="Arial" w:cs="Arial" w:eastAsia="Arial" w:hAnsi="Arial"/>
                  <w:sz w:val="16"/>
                  <w:szCs w:val="16"/>
                  <w:color w:val="0000FF"/>
                </w:rPr>
                <w:t>Consolidated Balance Sheets</w:t>
              </w:r>
            </w:hyperlink>
          </w:p>
        </w:tc>
        <w:tc>
          <w:tcPr>
            <w:tcW w:w="220" w:type="dxa"/>
            <w:vAlign w:val="bottom"/>
            <w:shd w:val="clear" w:color="auto" w:fill="CCEEFF"/>
          </w:tcPr>
          <w:p>
            <w:pPr>
              <w:spacing w:after="0"/>
              <w:rPr>
                <w:sz w:val="14"/>
                <w:szCs w:val="14"/>
                <w:color w:val="auto"/>
              </w:rPr>
            </w:pPr>
          </w:p>
        </w:tc>
        <w:tc>
          <w:tcPr>
            <w:tcW w:w="5920" w:type="dxa"/>
            <w:vAlign w:val="bottom"/>
            <w:shd w:val="clear" w:color="auto" w:fill="CCEEFF"/>
          </w:tcPr>
          <w:p>
            <w:pPr>
              <w:jc w:val="right"/>
              <w:spacing w:after="0" w:line="171" w:lineRule="exact"/>
              <w:rPr>
                <w:rFonts w:ascii="Arial" w:cs="Arial" w:eastAsia="Arial" w:hAnsi="Arial"/>
                <w:sz w:val="16"/>
                <w:szCs w:val="16"/>
                <w:color w:val="auto"/>
              </w:rPr>
            </w:pPr>
            <w:hyperlink w:anchor="page71">
              <w:r>
                <w:rPr>
                  <w:rFonts w:ascii="Arial" w:cs="Arial" w:eastAsia="Arial" w:hAnsi="Arial"/>
                  <w:sz w:val="16"/>
                  <w:szCs w:val="16"/>
                  <w:color w:val="auto"/>
                </w:rPr>
                <w:t>72</w:t>
              </w:r>
            </w:hyperlink>
          </w:p>
        </w:tc>
      </w:tr>
      <w:tr>
        <w:trPr>
          <w:trHeight w:val="35"/>
        </w:trPr>
        <w:tc>
          <w:tcPr>
            <w:tcW w:w="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920" w:type="dxa"/>
            <w:vAlign w:val="bottom"/>
            <w:shd w:val="clear" w:color="auto" w:fill="CCEEFF"/>
          </w:tcPr>
          <w:p>
            <w:pPr>
              <w:spacing w:after="0"/>
              <w:rPr>
                <w:sz w:val="3"/>
                <w:szCs w:val="3"/>
                <w:color w:val="auto"/>
              </w:rPr>
            </w:pPr>
          </w:p>
        </w:tc>
      </w:tr>
      <w:tr>
        <w:trPr>
          <w:trHeight w:val="171"/>
        </w:trPr>
        <w:tc>
          <w:tcPr>
            <w:tcW w:w="40" w:type="dxa"/>
            <w:vAlign w:val="bottom"/>
          </w:tcPr>
          <w:p>
            <w:pPr>
              <w:spacing w:after="0"/>
              <w:rPr>
                <w:sz w:val="14"/>
                <w:szCs w:val="14"/>
                <w:color w:val="auto"/>
              </w:rPr>
            </w:pPr>
          </w:p>
        </w:tc>
        <w:tc>
          <w:tcPr>
            <w:tcW w:w="5300" w:type="dxa"/>
            <w:vAlign w:val="bottom"/>
            <w:gridSpan w:val="7"/>
          </w:tcPr>
          <w:p>
            <w:pPr>
              <w:ind w:left="320"/>
              <w:spacing w:after="0" w:line="163" w:lineRule="exact"/>
              <w:rPr>
                <w:rFonts w:ascii="Arial" w:cs="Arial" w:eastAsia="Arial" w:hAnsi="Arial"/>
                <w:sz w:val="16"/>
                <w:szCs w:val="16"/>
                <w:color w:val="0000FF"/>
                <w:w w:val="93"/>
              </w:rPr>
            </w:pPr>
            <w:hyperlink w:anchor="page72">
              <w:r>
                <w:rPr>
                  <w:rFonts w:ascii="Arial" w:cs="Arial" w:eastAsia="Arial" w:hAnsi="Arial"/>
                  <w:sz w:val="16"/>
                  <w:szCs w:val="16"/>
                  <w:color w:val="0000FF"/>
                  <w:w w:val="93"/>
                </w:rPr>
                <w:t>Consolidated Statements of Operations and Comprehensive Income (Loss)</w:t>
              </w:r>
            </w:hyperlink>
          </w:p>
        </w:tc>
        <w:tc>
          <w:tcPr>
            <w:tcW w:w="5920" w:type="dxa"/>
            <w:vAlign w:val="bottom"/>
          </w:tcPr>
          <w:p>
            <w:pPr>
              <w:jc w:val="right"/>
              <w:spacing w:after="0" w:line="163" w:lineRule="exact"/>
              <w:rPr>
                <w:rFonts w:ascii="Arial" w:cs="Arial" w:eastAsia="Arial" w:hAnsi="Arial"/>
                <w:sz w:val="16"/>
                <w:szCs w:val="16"/>
                <w:color w:val="auto"/>
              </w:rPr>
            </w:pPr>
            <w:hyperlink w:anchor="page72">
              <w:r>
                <w:rPr>
                  <w:rFonts w:ascii="Arial" w:cs="Arial" w:eastAsia="Arial" w:hAnsi="Arial"/>
                  <w:sz w:val="16"/>
                  <w:szCs w:val="16"/>
                  <w:color w:val="auto"/>
                </w:rPr>
                <w:t>73</w:t>
              </w:r>
            </w:hyperlink>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2480" w:type="dxa"/>
            <w:vAlign w:val="bottom"/>
            <w:tcBorders>
              <w:top w:val="single" w:sz="8" w:color="0000FF"/>
              <w:bottom w:val="single" w:sz="8" w:color="0000FF"/>
            </w:tcBorders>
            <w:gridSpan w:val="2"/>
            <w:shd w:val="clear" w:color="auto" w:fill="CCEEFF"/>
          </w:tcPr>
          <w:p>
            <w:pPr>
              <w:spacing w:after="0" w:line="171" w:lineRule="exact"/>
              <w:rPr>
                <w:rFonts w:ascii="Arial" w:cs="Arial" w:eastAsia="Arial" w:hAnsi="Arial"/>
                <w:sz w:val="16"/>
                <w:szCs w:val="16"/>
                <w:color w:val="0000FF"/>
                <w:w w:val="86"/>
              </w:rPr>
            </w:pPr>
            <w:hyperlink w:anchor="page73">
              <w:r>
                <w:rPr>
                  <w:rFonts w:ascii="Arial" w:cs="Arial" w:eastAsia="Arial" w:hAnsi="Arial"/>
                  <w:sz w:val="16"/>
                  <w:szCs w:val="16"/>
                  <w:color w:val="0000FF"/>
                  <w:w w:val="86"/>
                </w:rPr>
                <w:t>Consolidated Statements of Cash Flows</w:t>
              </w:r>
            </w:hyperlink>
          </w:p>
        </w:tc>
        <w:tc>
          <w:tcPr>
            <w:tcW w:w="2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5920" w:type="dxa"/>
            <w:vAlign w:val="bottom"/>
            <w:tcBorders>
              <w:bottom w:val="single" w:sz="8" w:color="CCEEFF"/>
            </w:tcBorders>
            <w:shd w:val="clear" w:color="auto" w:fill="CCEEFF"/>
          </w:tcPr>
          <w:p>
            <w:pPr>
              <w:jc w:val="right"/>
              <w:spacing w:after="0" w:line="171" w:lineRule="exact"/>
              <w:rPr>
                <w:rFonts w:ascii="Arial" w:cs="Arial" w:eastAsia="Arial" w:hAnsi="Arial"/>
                <w:sz w:val="16"/>
                <w:szCs w:val="16"/>
                <w:color w:val="auto"/>
              </w:rPr>
            </w:pPr>
            <w:hyperlink w:anchor="page73">
              <w:r>
                <w:rPr>
                  <w:rFonts w:ascii="Arial" w:cs="Arial" w:eastAsia="Arial" w:hAnsi="Arial"/>
                  <w:sz w:val="16"/>
                  <w:szCs w:val="16"/>
                  <w:color w:val="auto"/>
                </w:rPr>
                <w:t>74</w:t>
              </w:r>
            </w:hyperlink>
          </w:p>
        </w:tc>
      </w:tr>
      <w:tr>
        <w:trPr>
          <w:trHeight w:val="171"/>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tcBorders>
              <w:bottom w:val="single" w:sz="8" w:color="0000FF"/>
            </w:tcBorders>
            <w:gridSpan w:val="3"/>
          </w:tcPr>
          <w:p>
            <w:pPr>
              <w:spacing w:after="0" w:line="163" w:lineRule="exact"/>
              <w:rPr>
                <w:rFonts w:ascii="Arial" w:cs="Arial" w:eastAsia="Arial" w:hAnsi="Arial"/>
                <w:sz w:val="16"/>
                <w:szCs w:val="16"/>
                <w:color w:val="0000FF"/>
                <w:w w:val="88"/>
              </w:rPr>
            </w:pPr>
            <w:hyperlink w:anchor="page74">
              <w:r>
                <w:rPr>
                  <w:rFonts w:ascii="Arial" w:cs="Arial" w:eastAsia="Arial" w:hAnsi="Arial"/>
                  <w:sz w:val="16"/>
                  <w:szCs w:val="16"/>
                  <w:color w:val="0000FF"/>
                  <w:w w:val="88"/>
                </w:rPr>
                <w:t>Consolidated Statements of Equity (Deficit)</w:t>
              </w:r>
            </w:hyperlink>
          </w:p>
        </w:tc>
        <w:tc>
          <w:tcPr>
            <w:tcW w:w="2220" w:type="dxa"/>
            <w:vAlign w:val="bottom"/>
            <w:gridSpan w:val="3"/>
          </w:tcPr>
          <w:p>
            <w:pPr>
              <w:spacing w:after="0"/>
              <w:rPr>
                <w:sz w:val="14"/>
                <w:szCs w:val="14"/>
                <w:color w:val="auto"/>
              </w:rPr>
            </w:pPr>
          </w:p>
        </w:tc>
        <w:tc>
          <w:tcPr>
            <w:tcW w:w="5920" w:type="dxa"/>
            <w:vAlign w:val="bottom"/>
          </w:tcPr>
          <w:p>
            <w:pPr>
              <w:jc w:val="right"/>
              <w:spacing w:after="0" w:line="163" w:lineRule="exact"/>
              <w:rPr>
                <w:rFonts w:ascii="Arial" w:cs="Arial" w:eastAsia="Arial" w:hAnsi="Arial"/>
                <w:sz w:val="16"/>
                <w:szCs w:val="16"/>
                <w:color w:val="auto"/>
              </w:rPr>
            </w:pPr>
            <w:hyperlink w:anchor="page74">
              <w:r>
                <w:rPr>
                  <w:rFonts w:ascii="Arial" w:cs="Arial" w:eastAsia="Arial" w:hAnsi="Arial"/>
                  <w:sz w:val="16"/>
                  <w:szCs w:val="16"/>
                  <w:color w:val="auto"/>
                </w:rPr>
                <w:t>75</w:t>
              </w:r>
            </w:hyperlink>
          </w:p>
        </w:tc>
      </w:tr>
      <w:tr>
        <w:trPr>
          <w:trHeight w:val="171"/>
        </w:trPr>
        <w:tc>
          <w:tcPr>
            <w:tcW w:w="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960" w:type="dxa"/>
            <w:vAlign w:val="bottom"/>
            <w:gridSpan w:val="6"/>
            <w:shd w:val="clear" w:color="auto" w:fill="CCEEFF"/>
          </w:tcPr>
          <w:p>
            <w:pPr>
              <w:spacing w:after="0" w:line="171" w:lineRule="exact"/>
              <w:rPr>
                <w:rFonts w:ascii="Arial" w:cs="Arial" w:eastAsia="Arial" w:hAnsi="Arial"/>
                <w:sz w:val="16"/>
                <w:szCs w:val="16"/>
                <w:color w:val="0000FF"/>
              </w:rPr>
            </w:pPr>
            <w:hyperlink w:anchor="page75">
              <w:r>
                <w:rPr>
                  <w:rFonts w:ascii="Arial" w:cs="Arial" w:eastAsia="Arial" w:hAnsi="Arial"/>
                  <w:sz w:val="16"/>
                  <w:szCs w:val="16"/>
                  <w:color w:val="0000FF"/>
                </w:rPr>
                <w:t>Notes to Consolidated Financial Statements</w:t>
              </w:r>
            </w:hyperlink>
          </w:p>
        </w:tc>
        <w:tc>
          <w:tcPr>
            <w:tcW w:w="5920" w:type="dxa"/>
            <w:vAlign w:val="bottom"/>
            <w:shd w:val="clear" w:color="auto" w:fill="CCEEFF"/>
          </w:tcPr>
          <w:p>
            <w:pPr>
              <w:jc w:val="right"/>
              <w:spacing w:after="0" w:line="171" w:lineRule="exact"/>
              <w:rPr>
                <w:rFonts w:ascii="Arial" w:cs="Arial" w:eastAsia="Arial" w:hAnsi="Arial"/>
                <w:sz w:val="16"/>
                <w:szCs w:val="16"/>
                <w:color w:val="auto"/>
              </w:rPr>
            </w:pPr>
            <w:hyperlink w:anchor="page75">
              <w:r>
                <w:rPr>
                  <w:rFonts w:ascii="Arial" w:cs="Arial" w:eastAsia="Arial" w:hAnsi="Arial"/>
                  <w:sz w:val="16"/>
                  <w:szCs w:val="16"/>
                  <w:color w:val="auto"/>
                </w:rPr>
                <w:t>76</w:t>
              </w:r>
            </w:hyperlink>
          </w:p>
        </w:tc>
      </w:tr>
      <w:tr>
        <w:trPr>
          <w:trHeight w:val="35"/>
        </w:trPr>
        <w:tc>
          <w:tcPr>
            <w:tcW w:w="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920" w:type="dxa"/>
            <w:vAlign w:val="bottom"/>
            <w:shd w:val="clear" w:color="auto" w:fill="CCEEFF"/>
          </w:tcPr>
          <w:p>
            <w:pPr>
              <w:spacing w:after="0"/>
              <w:rPr>
                <w:sz w:val="3"/>
                <w:szCs w:val="3"/>
                <w:color w:val="auto"/>
              </w:rPr>
            </w:pPr>
          </w:p>
        </w:tc>
      </w:tr>
      <w:tr>
        <w:trPr>
          <w:trHeight w:val="163"/>
        </w:trPr>
        <w:tc>
          <w:tcPr>
            <w:tcW w:w="5340" w:type="dxa"/>
            <w:vAlign w:val="bottom"/>
            <w:gridSpan w:val="8"/>
          </w:tcPr>
          <w:p>
            <w:pPr>
              <w:ind w:left="40"/>
              <w:spacing w:after="0" w:line="163" w:lineRule="exact"/>
              <w:rPr>
                <w:rFonts w:ascii="Arial" w:cs="Arial" w:eastAsia="Arial" w:hAnsi="Arial"/>
                <w:sz w:val="16"/>
                <w:szCs w:val="16"/>
                <w:color w:val="0000FF"/>
              </w:rPr>
            </w:pPr>
            <w:hyperlink w:anchor="page117">
              <w:r>
                <w:rPr>
                  <w:rFonts w:ascii="Arial" w:cs="Arial" w:eastAsia="Arial" w:hAnsi="Arial"/>
                  <w:sz w:val="16"/>
                  <w:szCs w:val="16"/>
                  <w:color w:val="0000FF"/>
                </w:rPr>
                <w:t>Schedule II – Valuation and Qualifying Accounts</w:t>
              </w:r>
            </w:hyperlink>
          </w:p>
        </w:tc>
        <w:tc>
          <w:tcPr>
            <w:tcW w:w="5920" w:type="dxa"/>
            <w:vAlign w:val="bottom"/>
          </w:tcPr>
          <w:p>
            <w:pPr>
              <w:jc w:val="right"/>
              <w:spacing w:after="0" w:line="163" w:lineRule="exact"/>
              <w:rPr>
                <w:rFonts w:ascii="Arial" w:cs="Arial" w:eastAsia="Arial" w:hAnsi="Arial"/>
                <w:sz w:val="16"/>
                <w:szCs w:val="16"/>
                <w:color w:val="auto"/>
              </w:rPr>
            </w:pPr>
            <w:hyperlink w:anchor="page117">
              <w:r>
                <w:rPr>
                  <w:rFonts w:ascii="Arial" w:cs="Arial" w:eastAsia="Arial" w:hAnsi="Arial"/>
                  <w:sz w:val="16"/>
                  <w:szCs w:val="16"/>
                  <w:color w:val="auto"/>
                </w:rPr>
                <w:t>118</w:t>
              </w:r>
            </w:hyperlink>
          </w:p>
        </w:tc>
      </w:tr>
      <w:tr>
        <w:trPr>
          <w:trHeight w:val="784"/>
        </w:trPr>
        <w:tc>
          <w:tcPr>
            <w:tcW w:w="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jc w:val="right"/>
              <w:ind w:right="5482"/>
              <w:spacing w:after="0"/>
              <w:rPr>
                <w:sz w:val="20"/>
                <w:szCs w:val="20"/>
                <w:color w:val="auto"/>
              </w:rPr>
            </w:pPr>
            <w:r>
              <w:rPr>
                <w:rFonts w:ascii="Arial" w:cs="Arial" w:eastAsia="Arial" w:hAnsi="Arial"/>
                <w:sz w:val="16"/>
                <w:szCs w:val="16"/>
                <w:color w:val="auto"/>
              </w:rPr>
              <w:t>69</w:t>
            </w:r>
          </w:p>
        </w:tc>
      </w:tr>
      <w:tr>
        <w:trPr>
          <w:trHeight w:val="109"/>
        </w:trPr>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Sotera Health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We have audited the accompanying consolidated balance sheets of Sotera Health Company (the Company) as of December 31, 2021 and 2020, the related consolidated statements of operations and comprehensive income (loss), equity (deficit) and cash flows for each of the three years in the period ended December 31, 2021,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72"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72"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5"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Valuation of Sterigenics Reporting Unit Goodwill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14" w:lineRule="exact"/>
        <w:rPr>
          <w:sz w:val="20"/>
          <w:szCs w:val="20"/>
          <w:color w:val="auto"/>
        </w:rPr>
      </w:pPr>
    </w:p>
    <w:p>
      <w:pPr>
        <w:ind w:left="2880" w:right="40"/>
        <w:spacing w:after="0" w:line="283" w:lineRule="auto"/>
        <w:rPr>
          <w:sz w:val="20"/>
          <w:szCs w:val="20"/>
          <w:color w:val="auto"/>
        </w:rPr>
      </w:pPr>
      <w:r>
        <w:rPr>
          <w:rFonts w:ascii="Arial" w:cs="Arial" w:eastAsia="Arial" w:hAnsi="Arial"/>
          <w:sz w:val="14"/>
          <w:szCs w:val="14"/>
          <w:color w:val="auto"/>
        </w:rPr>
        <w:t>At December 31, 2021, the Company had $1.1 billion of goodwill; of that, $660.7 million related to the Sterigenics reporting unit. As discussed in Note 1 and Note 8 of the consolidated financial statements, the Company evaluates the carrying amount of goodwill for impairment annually as of October 1, and between annual evaluations when events occur or circumstances change that would more likely than not reduce the fair value of a reporting unit below its carrying amount. The Company performed a quantitative impairment test for its annual evaluation of the Sterigenics reporting unit in fiscal 2021. As part of the quantitative impairment test, the Company estimated the fair value of the reporting unit using the discounted cash flow method, a form of the income approach. Auditing the Company’s annual Sterigenics reporting unit goodwill impairment assessment was complex due to the significant estimation required to determine the fair value of the reporting unit. In particular, this fair value estimate was sensitive to assumptions such as the discount rate and terminal period revenue growth rate. Elements of these assumptions are forward-looking and could be affected by future market or economic conditions.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i w:val="1"/>
          <w:iCs w:val="1"/>
          <w:color w:val="auto"/>
        </w:rPr>
        <w:t>How We Addressed the Matter in Our Audit</w:t>
      </w:r>
    </w:p>
    <w:p>
      <w:pPr>
        <w:spacing w:after="0" w:line="14" w:lineRule="exact"/>
        <w:rPr>
          <w:sz w:val="20"/>
          <w:szCs w:val="20"/>
          <w:color w:val="auto"/>
        </w:rPr>
      </w:pPr>
    </w:p>
    <w:p>
      <w:pPr>
        <w:ind w:left="2880"/>
        <w:spacing w:after="0" w:line="248"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Sterigenics reporting unit goodwill impairment process whereby the Company develops assumptions that are used as inputs to the annual goodwill impairment test. This included controls over management's review of the valuation model and the assumptions described above.</w:t>
      </w:r>
    </w:p>
    <w:p>
      <w:pPr>
        <w:spacing w:after="0" w:line="172" w:lineRule="exact"/>
        <w:rPr>
          <w:sz w:val="20"/>
          <w:szCs w:val="20"/>
          <w:color w:val="auto"/>
        </w:rPr>
      </w:pPr>
    </w:p>
    <w:p>
      <w:pPr>
        <w:ind w:left="2880" w:right="320"/>
        <w:spacing w:after="0" w:line="283" w:lineRule="auto"/>
        <w:rPr>
          <w:sz w:val="20"/>
          <w:szCs w:val="20"/>
          <w:color w:val="auto"/>
        </w:rPr>
      </w:pPr>
      <w:r>
        <w:rPr>
          <w:rFonts w:ascii="Arial" w:cs="Arial" w:eastAsia="Arial" w:hAnsi="Arial"/>
          <w:sz w:val="14"/>
          <w:szCs w:val="14"/>
          <w:color w:val="auto"/>
        </w:rPr>
        <w:t>To test the estimated fair value of the Sterigenics reporting unit, we performed audit procedures that included, among others, assessing the valuation methodology, testing the assumptions discussed above, and testing the completeness and accuracy of the underlying data used by the Company in its analysis. As it pertains to the terminal period revenue growth rate, we compared the significant assumptions used by management to third party industry data and economic trends, and changes to the Company’s business model, customer base or product mix, as applicable. In addition, we involved our valuation specialists to assist with our evaluation of the methodology applied by the Company and the reasonableness of certain assumptions selected by management, including the discount rate. Specifically, we evaluated the components of the discount rate assumptions used by the Company by performing an independent corroborative calculation with the involvement of our valuation specialists. We performed sensitivity analyses of assumptions to evaluate the changes in the fair value of the reporting unit that would result from changes in the assumptions. We tested management’s reconciliation of the fair value of the reporting units to the market capitalization of the Company. We also assessed the appropriateness of the disclosures in the consolidated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2019.</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Akron, Ohio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050" w:right="379" w:bottom="1440" w:gutter="0" w:footer="0" w:header="0"/>
        </w:sectPr>
      </w:pPr>
    </w:p>
    <w:bookmarkStart w:id="71" w:name="page72"/>
    <w:bookmarkEnd w:id="71"/>
    <w:p>
      <w:pPr>
        <w:ind w:left="4820"/>
        <w:spacing w:after="0"/>
        <w:rPr>
          <w:sz w:val="20"/>
          <w:szCs w:val="20"/>
          <w:color w:val="auto"/>
        </w:rPr>
      </w:pPr>
      <w:r>
        <w:rPr>
          <w:rFonts w:ascii="Arial" w:cs="Arial" w:eastAsia="Arial" w:hAnsi="Arial"/>
          <w:sz w:val="16"/>
          <w:szCs w:val="16"/>
          <w:b w:val="1"/>
          <w:bCs w:val="1"/>
          <w:color w:val="auto"/>
        </w:rPr>
        <w:t>Sotera Health Company</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Pr>
          <w:p>
            <w:pPr>
              <w:spacing w:after="0"/>
              <w:rPr>
                <w:sz w:val="13"/>
                <w:szCs w:val="13"/>
                <w:color w:val="auto"/>
              </w:rPr>
            </w:pPr>
          </w:p>
        </w:tc>
      </w:tr>
      <w:tr>
        <w:trPr>
          <w:trHeight w:val="169"/>
        </w:trPr>
        <w:tc>
          <w:tcPr>
            <w:tcW w:w="8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2020</w:t>
            </w:r>
          </w:p>
        </w:tc>
      </w:tr>
      <w:tr>
        <w:trPr>
          <w:trHeight w:val="149"/>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0"/>
        </w:trPr>
        <w:tc>
          <w:tcPr>
            <w:tcW w:w="8460" w:type="dxa"/>
            <w:vAlign w:val="bottom"/>
          </w:tcPr>
          <w:p>
            <w:pPr>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0"/>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Cash and cash equivalents</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106,917</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102,447</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Restricted cash short-term</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receivable, net of allowance for uncollectible accounts of $1,287 in 2021 and $708 in 2020</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108,183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91,735</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Inventories,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54,288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34,093</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Prepaid expenses and other current assets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71,923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64,964</w:t>
            </w:r>
          </w:p>
        </w:tc>
      </w:tr>
      <w:tr>
        <w:trPr>
          <w:trHeight w:val="162"/>
        </w:trPr>
        <w:tc>
          <w:tcPr>
            <w:tcW w:w="84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Income taxes receivable</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4,643</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21,769</w:t>
            </w:r>
          </w:p>
        </w:tc>
      </w:tr>
      <w:tr>
        <w:trPr>
          <w:trHeight w:val="156"/>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Total current assets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345,961</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315,015</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650,797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609,814</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assets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39,946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45,963</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Deferred income taxes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5,885</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8,424</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Investment in unconsolidated affiliate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9,405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13,457</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Post-retirement asset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5,478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12,866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9,304</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598,844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643,366</w:t>
            </w:r>
          </w:p>
        </w:tc>
      </w:tr>
      <w:tr>
        <w:trPr>
          <w:trHeight w:val="163"/>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1,120,320</w:t>
            </w:r>
          </w:p>
        </w:tc>
        <w:tc>
          <w:tcPr>
            <w:tcW w:w="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1,115,936</w:t>
            </w:r>
          </w:p>
        </w:tc>
      </w:tr>
      <w:tr>
        <w:trPr>
          <w:trHeight w:val="156"/>
        </w:trPr>
        <w:tc>
          <w:tcPr>
            <w:tcW w:w="8460" w:type="dxa"/>
            <w:vAlign w:val="bottom"/>
          </w:tcPr>
          <w:p>
            <w:pPr>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2,789,502</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2,761,279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7"/>
        </w:trPr>
        <w:tc>
          <w:tcPr>
            <w:tcW w:w="846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Liabilities and equity</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0"/>
        </w:trPr>
        <w:tc>
          <w:tcPr>
            <w:tcW w:w="8460" w:type="dxa"/>
            <w:vAlign w:val="bottom"/>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0"/>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payable</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72,868</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52,400</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Accrued liabilities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61,861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60,518</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revenue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8,669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6,056</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Current portion of finance lease obligations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1,160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1,173</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portion of operating lease obligations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9,289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9,383</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Current portion of asset retirement obligations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619</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620</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Income taxes payable</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6,695</w:t>
            </w:r>
          </w:p>
        </w:tc>
        <w:tc>
          <w:tcPr>
            <w:tcW w:w="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10,448</w:t>
            </w:r>
          </w:p>
        </w:tc>
      </w:tr>
      <w:tr>
        <w:trPr>
          <w:trHeight w:val="154"/>
        </w:trPr>
        <w:tc>
          <w:tcPr>
            <w:tcW w:w="846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161,161</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140,598</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Long-term debt, less current portion</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1,743,534</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1,824,789</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Finance lease obligations, less current portion</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40,877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34,939</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obligations, less current portion</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33,017</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38,941</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Noncurrent asset retirement obligations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41,833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45,013</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Deferred lease income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20,745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21,255</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Post-retirement obligations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11,464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48,223</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Mandatorily redeemable noncontrolling interest</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13,625</w:t>
            </w:r>
          </w:p>
        </w:tc>
      </w:tr>
      <w:tr>
        <w:trPr>
          <w:trHeight w:val="162"/>
        </w:trPr>
        <w:tc>
          <w:tcPr>
            <w:tcW w:w="8460" w:type="dxa"/>
            <w:vAlign w:val="bottom"/>
          </w:tcPr>
          <w:p>
            <w:pPr>
              <w:spacing w:after="0"/>
              <w:rPr>
                <w:sz w:val="20"/>
                <w:szCs w:val="20"/>
                <w:color w:val="auto"/>
              </w:rPr>
            </w:pPr>
            <w:r>
              <w:rPr>
                <w:rFonts w:ascii="Arial" w:cs="Arial" w:eastAsia="Arial" w:hAnsi="Arial"/>
                <w:sz w:val="12"/>
                <w:szCs w:val="12"/>
                <w:color w:val="auto"/>
              </w:rPr>
              <w:t>Noncurrent liabilities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16,274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17,506</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134,501</w:t>
            </w:r>
          </w:p>
        </w:tc>
        <w:tc>
          <w:tcPr>
            <w:tcW w:w="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121,816</w:t>
            </w:r>
          </w:p>
        </w:tc>
      </w:tr>
      <w:tr>
        <w:trPr>
          <w:trHeight w:val="154"/>
        </w:trPr>
        <w:tc>
          <w:tcPr>
            <w:tcW w:w="8460" w:type="dxa"/>
            <w:vAlign w:val="bottom"/>
          </w:tcPr>
          <w:p>
            <w:pPr>
              <w:spacing w:after="0"/>
              <w:rPr>
                <w:sz w:val="20"/>
                <w:szCs w:val="20"/>
                <w:color w:val="auto"/>
              </w:rPr>
            </w:pPr>
            <w:r>
              <w:rPr>
                <w:rFonts w:ascii="Arial" w:cs="Arial" w:eastAsia="Arial" w:hAnsi="Arial"/>
                <w:sz w:val="12"/>
                <w:szCs w:val="12"/>
                <w:color w:val="auto"/>
              </w:rPr>
              <w:t>Total liabilities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2,203,406</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2,306,705</w:t>
            </w:r>
          </w:p>
        </w:tc>
      </w:tr>
      <w:tr>
        <w:trPr>
          <w:trHeight w:val="164"/>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See Commitments and contingencies note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0"/>
        </w:trPr>
        <w:tc>
          <w:tcPr>
            <w:tcW w:w="8460" w:type="dxa"/>
            <w:vAlign w:val="bottom"/>
          </w:tcPr>
          <w:p>
            <w:pPr>
              <w:spacing w:after="0"/>
              <w:rPr>
                <w:sz w:val="20"/>
                <w:szCs w:val="20"/>
                <w:color w:val="auto"/>
              </w:rPr>
            </w:pPr>
            <w:r>
              <w:rPr>
                <w:rFonts w:ascii="Arial" w:cs="Arial" w:eastAsia="Arial" w:hAnsi="Arial"/>
                <w:sz w:val="12"/>
                <w:szCs w:val="12"/>
                <w:color w:val="auto"/>
              </w:rPr>
              <w:t>Equity:</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6"/>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4"/>
              </w:rPr>
              <w:t>Common stock, with $0.01 par value, 1,200,000 shares authorized, respectively; 286,037 and 285,990 shares issued at December 31, 2021 and 2020, respectively</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2,860</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Preferred stock, with $0.01 par value, 120,000 shares authorized, respectively; no shares issued</w:t>
            </w:r>
          </w:p>
        </w:tc>
        <w:tc>
          <w:tcPr>
            <w:tcW w:w="3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Treasury stock, at cost (3,052 and 2,742 shares at December 31, 2021 and 2020, respectively)</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(33,545)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(34,000)</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1,172,593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1,166,412</w:t>
            </w:r>
          </w:p>
        </w:tc>
      </w:tr>
      <w:tr>
        <w:trPr>
          <w:trHeight w:val="188"/>
        </w:trPr>
        <w:tc>
          <w:tcPr>
            <w:tcW w:w="8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Retained deficit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(472,246)</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(589,128)</w:t>
            </w:r>
          </w:p>
        </w:tc>
      </w:tr>
      <w:tr>
        <w:trPr>
          <w:trHeight w:val="181"/>
        </w:trPr>
        <w:tc>
          <w:tcPr>
            <w:tcW w:w="84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Accumulated other comprehensive loss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(83,566)</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(93,842)</w:t>
            </w:r>
          </w:p>
        </w:tc>
      </w:tr>
      <w:tr>
        <w:trPr>
          <w:trHeight w:val="183"/>
        </w:trPr>
        <w:tc>
          <w:tcPr>
            <w:tcW w:w="8460" w:type="dxa"/>
            <w:vAlign w:val="bottom"/>
            <w:shd w:val="clear" w:color="auto" w:fill="CCEEFF"/>
          </w:tcPr>
          <w:p>
            <w:pPr>
              <w:spacing w:after="0"/>
              <w:rPr>
                <w:sz w:val="20"/>
                <w:szCs w:val="20"/>
                <w:color w:val="auto"/>
              </w:rPr>
            </w:pPr>
            <w:r>
              <w:rPr>
                <w:rFonts w:ascii="Arial" w:cs="Arial" w:eastAsia="Arial" w:hAnsi="Arial"/>
                <w:sz w:val="12"/>
                <w:szCs w:val="12"/>
                <w:color w:val="auto"/>
              </w:rPr>
              <w:t>Total equity attributable to Sotera Health Company</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586,096</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452,302</w:t>
            </w:r>
          </w:p>
        </w:tc>
      </w:tr>
      <w:tr>
        <w:trPr>
          <w:trHeight w:val="162"/>
        </w:trPr>
        <w:tc>
          <w:tcPr>
            <w:tcW w:w="8460" w:type="dxa"/>
            <w:vAlign w:val="bottom"/>
          </w:tcPr>
          <w:p>
            <w:pPr>
              <w:ind w:left="280"/>
              <w:spacing w:after="0"/>
              <w:rPr>
                <w:sz w:val="20"/>
                <w:szCs w:val="20"/>
                <w:color w:val="auto"/>
              </w:rPr>
            </w:pPr>
            <w:r>
              <w:rPr>
                <w:rFonts w:ascii="Arial" w:cs="Arial" w:eastAsia="Arial" w:hAnsi="Arial"/>
                <w:sz w:val="12"/>
                <w:szCs w:val="12"/>
                <w:color w:val="auto"/>
              </w:rPr>
              <w:t>Noncontrolling interests</w:t>
            </w:r>
          </w:p>
        </w:tc>
        <w:tc>
          <w:tcPr>
            <w:tcW w:w="3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2,272</w:t>
            </w:r>
          </w:p>
        </w:tc>
      </w:tr>
      <w:tr>
        <w:trPr>
          <w:trHeight w:val="174"/>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equity</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586,096</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454,574</w:t>
            </w:r>
          </w:p>
        </w:tc>
      </w:tr>
      <w:tr>
        <w:trPr>
          <w:trHeight w:val="183"/>
        </w:trPr>
        <w:tc>
          <w:tcPr>
            <w:tcW w:w="8460" w:type="dxa"/>
            <w:vAlign w:val="bottom"/>
          </w:tcPr>
          <w:p>
            <w:pPr>
              <w:spacing w:after="0"/>
              <w:rPr>
                <w:sz w:val="20"/>
                <w:szCs w:val="20"/>
                <w:color w:val="auto"/>
              </w:rPr>
            </w:pPr>
            <w:r>
              <w:rPr>
                <w:rFonts w:ascii="Arial" w:cs="Arial" w:eastAsia="Arial" w:hAnsi="Arial"/>
                <w:sz w:val="12"/>
                <w:szCs w:val="12"/>
                <w:color w:val="auto"/>
              </w:rPr>
              <w:t>Total liabilities and equity</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2,789,502</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2,761,279</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2" w:name="page73"/>
    <w:bookmarkEnd w:id="72"/>
    <w:p>
      <w:pPr>
        <w:ind w:left="4820"/>
        <w:spacing w:after="0"/>
        <w:rPr>
          <w:sz w:val="20"/>
          <w:szCs w:val="20"/>
          <w:color w:val="auto"/>
        </w:rPr>
      </w:pPr>
      <w:r>
        <w:rPr>
          <w:rFonts w:ascii="Arial" w:cs="Arial" w:eastAsia="Arial" w:hAnsi="Arial"/>
          <w:sz w:val="16"/>
          <w:szCs w:val="16"/>
          <w:b w:val="1"/>
          <w:bCs w:val="1"/>
          <w:color w:val="auto"/>
        </w:rPr>
        <w:t>Sotera Health Company</w:t>
      </w:r>
    </w:p>
    <w:p>
      <w:pPr>
        <w:spacing w:after="0" w:line="96"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00" w:type="dxa"/>
            <w:vAlign w:val="bottom"/>
          </w:tcPr>
          <w:p>
            <w:pPr>
              <w:ind w:left="340"/>
              <w:spacing w:after="0"/>
              <w:rPr>
                <w:sz w:val="20"/>
                <w:szCs w:val="20"/>
                <w:color w:val="auto"/>
              </w:rPr>
            </w:pPr>
            <w:r>
              <w:rPr>
                <w:rFonts w:ascii="Arial" w:cs="Arial" w:eastAsia="Arial" w:hAnsi="Arial"/>
                <w:sz w:val="14"/>
                <w:szCs w:val="14"/>
                <w:color w:val="auto"/>
              </w:rPr>
              <w:t>Service</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805,501</w:t>
            </w:r>
          </w:p>
        </w:tc>
        <w:tc>
          <w:tcPr>
            <w:tcW w:w="12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713,520</w:t>
            </w:r>
          </w:p>
        </w:tc>
        <w:tc>
          <w:tcPr>
            <w:tcW w:w="14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673,037</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125,977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104,638</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105,290</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net revenues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931,478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818,158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778,327</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 of revenues: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00" w:type="dxa"/>
            <w:vAlign w:val="bottom"/>
          </w:tcPr>
          <w:p>
            <w:pPr>
              <w:ind w:left="340"/>
              <w:spacing w:after="0"/>
              <w:rPr>
                <w:sz w:val="20"/>
                <w:szCs w:val="20"/>
                <w:color w:val="auto"/>
              </w:rPr>
            </w:pPr>
            <w:r>
              <w:rPr>
                <w:rFonts w:ascii="Arial" w:cs="Arial" w:eastAsia="Arial" w:hAnsi="Arial"/>
                <w:sz w:val="14"/>
                <w:szCs w:val="14"/>
                <w:color w:val="auto"/>
              </w:rPr>
              <w:t>Service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357,205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333,359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333,290</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55,601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41,227</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49,606</w:t>
            </w:r>
          </w:p>
        </w:tc>
        <w:tc>
          <w:tcPr>
            <w:tcW w:w="0" w:type="dxa"/>
            <w:vAlign w:val="bottom"/>
          </w:tcPr>
          <w:p>
            <w:pPr>
              <w:spacing w:after="0"/>
              <w:rPr>
                <w:sz w:val="1"/>
                <w:szCs w:val="1"/>
                <w:color w:val="auto"/>
              </w:rPr>
            </w:pPr>
          </w:p>
        </w:tc>
      </w:tr>
      <w:tr>
        <w:trPr>
          <w:trHeight w:val="176"/>
        </w:trPr>
        <w:tc>
          <w:tcPr>
            <w:tcW w:w="7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cost of revenues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412,806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374,586</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382,896</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518,672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443,572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395,431</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198,158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147,480</w:t>
            </w:r>
          </w:p>
        </w:tc>
        <w:tc>
          <w:tcPr>
            <w:tcW w:w="0" w:type="dxa"/>
            <w:vAlign w:val="bottom"/>
          </w:tcPr>
          <w:p>
            <w:pPr>
              <w:spacing w:after="0"/>
              <w:rPr>
                <w:sz w:val="1"/>
                <w:szCs w:val="1"/>
                <w:color w:val="auto"/>
              </w:rPr>
            </w:pPr>
          </w:p>
        </w:tc>
      </w:tr>
      <w:tr>
        <w:trPr>
          <w:trHeight w:val="185"/>
        </w:trPr>
        <w:tc>
          <w:tcPr>
            <w:tcW w:w="740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63,781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59,029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58,562</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long-lived assets</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261,939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237,554</w:t>
            </w: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211,834</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256,733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206,018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183,597</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74,192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215,259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157,729</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20,681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20"/>
                <w:szCs w:val="20"/>
                <w:color w:val="auto"/>
              </w:rPr>
            </w:pPr>
            <w:r>
              <w:rPr>
                <w:rFonts w:ascii="Arial" w:cs="Arial" w:eastAsia="Arial" w:hAnsi="Arial"/>
                <w:sz w:val="14"/>
                <w:szCs w:val="14"/>
                <w:color w:val="auto"/>
              </w:rPr>
              <w:t>Foreign exchange loss (gain)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(15,201)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(9,413)</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(7,246)</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175,716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(38,860)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58,595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19,509</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117,121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(37,491)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(20,425)</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6"/>
        </w:trPr>
        <w:tc>
          <w:tcPr>
            <w:tcW w:w="7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income (loss) attributable to Sotera Health Company</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116,882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(38,617)</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(20,850)</w:t>
            </w:r>
          </w:p>
        </w:tc>
        <w:tc>
          <w:tcPr>
            <w:tcW w:w="0" w:type="dxa"/>
            <w:vAlign w:val="bottom"/>
          </w:tcPr>
          <w:p>
            <w:pPr>
              <w:spacing w:after="0"/>
              <w:rPr>
                <w:sz w:val="1"/>
                <w:szCs w:val="1"/>
                <w:color w:val="auto"/>
              </w:rPr>
            </w:pPr>
          </w:p>
        </w:tc>
      </w:tr>
      <w:tr>
        <w:trPr>
          <w:trHeight w:val="16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 of tax:</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00" w:type="dxa"/>
            <w:vAlign w:val="bottom"/>
          </w:tcPr>
          <w:p>
            <w:pPr>
              <w:ind w:left="280"/>
              <w:spacing w:after="0"/>
              <w:rPr>
                <w:sz w:val="20"/>
                <w:szCs w:val="20"/>
                <w:color w:val="auto"/>
              </w:rPr>
            </w:pPr>
            <w:r>
              <w:rPr>
                <w:rFonts w:ascii="Arial" w:cs="Arial" w:eastAsia="Arial" w:hAnsi="Arial"/>
                <w:sz w:val="14"/>
                <w:szCs w:val="14"/>
                <w:color w:val="auto"/>
              </w:rPr>
              <w:t>Pension and post-retirement benefits (net of taxes of $8,924, $(5,737) and $(4,085), respectively)</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26,562</w:t>
            </w:r>
          </w:p>
        </w:tc>
        <w:tc>
          <w:tcPr>
            <w:tcW w:w="12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(17,030)</w:t>
            </w:r>
          </w:p>
        </w:tc>
        <w:tc>
          <w:tcPr>
            <w:tcW w:w="14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(12,126)</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rate swaps (net of taxes of $142, $(63) and $63, respectively)</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5"/>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Foreign currency translation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(16,395)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17,458</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27,402</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127,692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w:t>
            </w:r>
          </w:p>
        </w:tc>
        <w:tc>
          <w:tcPr>
            <w:tcW w:w="0" w:type="dxa"/>
            <w:vAlign w:val="bottom"/>
          </w:tcPr>
          <w:p>
            <w:pPr>
              <w:spacing w:after="0"/>
              <w:rPr>
                <w:sz w:val="1"/>
                <w:szCs w:val="1"/>
                <w:color w:val="auto"/>
              </w:rPr>
            </w:pPr>
          </w:p>
        </w:tc>
      </w:tr>
      <w:tr>
        <w:trPr>
          <w:trHeight w:val="185"/>
        </w:trPr>
        <w:tc>
          <w:tcPr>
            <w:tcW w:w="7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comprehensive income attributable to noncontrolling interests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05"/>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attributable to Sotera Health Company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127,158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(38,072)</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Earnings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5"/>
        </w:trPr>
        <w:tc>
          <w:tcPr>
            <w:tcW w:w="7400" w:type="dxa"/>
            <w:vAlign w:val="bottom"/>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outstanding:</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00" w:type="dxa"/>
            <w:vAlign w:val="bottom"/>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279,228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237,696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232,400</w:t>
            </w:r>
          </w:p>
        </w:tc>
        <w:tc>
          <w:tcPr>
            <w:tcW w:w="0" w:type="dxa"/>
            <w:vAlign w:val="bottom"/>
          </w:tcPr>
          <w:p>
            <w:pPr>
              <w:spacing w:after="0"/>
              <w:rPr>
                <w:sz w:val="1"/>
                <w:szCs w:val="1"/>
                <w:color w:val="auto"/>
              </w:rPr>
            </w:pPr>
          </w:p>
        </w:tc>
      </w:tr>
      <w:tr>
        <w:trPr>
          <w:trHeight w:val="188"/>
        </w:trPr>
        <w:tc>
          <w:tcPr>
            <w:tcW w:w="7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279,382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237,696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232,400</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3" w:name="page74"/>
    <w:bookmarkEnd w:id="73"/>
    <w:p>
      <w:pPr>
        <w:ind w:left="4820"/>
        <w:spacing w:after="0"/>
        <w:rPr>
          <w:sz w:val="20"/>
          <w:szCs w:val="20"/>
          <w:color w:val="auto"/>
        </w:rPr>
      </w:pPr>
      <w:r>
        <w:rPr>
          <w:rFonts w:ascii="Arial" w:cs="Arial" w:eastAsia="Arial" w:hAnsi="Arial"/>
          <w:sz w:val="16"/>
          <w:szCs w:val="16"/>
          <w:b w:val="1"/>
          <w:bCs w:val="1"/>
          <w:color w:val="auto"/>
        </w:rPr>
        <w:t>Sotera Health Company</w:t>
      </w:r>
    </w:p>
    <w:p>
      <w:pPr>
        <w:spacing w:after="0" w:line="96"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60" w:type="dxa"/>
            <w:vAlign w:val="bottom"/>
            <w:gridSpan w:val="4"/>
          </w:tcPr>
          <w:p>
            <w:pPr>
              <w:ind w:left="100"/>
              <w:spacing w:after="0"/>
              <w:rPr>
                <w:sz w:val="20"/>
                <w:szCs w:val="20"/>
                <w:color w:val="auto"/>
              </w:rPr>
            </w:pPr>
            <w:r>
              <w:rPr>
                <w:rFonts w:ascii="Arial" w:cs="Arial" w:eastAsia="Arial" w:hAnsi="Arial"/>
                <w:sz w:val="12"/>
                <w:szCs w:val="12"/>
                <w:b w:val="1"/>
                <w:bCs w:val="1"/>
                <w:color w:val="auto"/>
                <w:w w:val="97"/>
              </w:rPr>
              <w:t>Year Ended December 31,</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70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4"/>
        </w:trPr>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658"/>
              <w:spacing w:after="0"/>
              <w:rPr>
                <w:sz w:val="20"/>
                <w:szCs w:val="20"/>
                <w:color w:val="auto"/>
              </w:rPr>
            </w:pPr>
            <w:r>
              <w:rPr>
                <w:rFonts w:ascii="Arial" w:cs="Arial" w:eastAsia="Arial" w:hAnsi="Arial"/>
                <w:sz w:val="12"/>
                <w:szCs w:val="12"/>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117,121</w:t>
            </w: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(37,491)</w:t>
            </w:r>
          </w:p>
        </w:tc>
        <w:tc>
          <w:tcPr>
            <w:tcW w:w="80" w:type="dxa"/>
            <w:vAlign w:val="bottom"/>
          </w:tcPr>
          <w:p>
            <w:pPr>
              <w:spacing w:after="0"/>
              <w:rPr>
                <w:sz w:val="14"/>
                <w:szCs w:val="14"/>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(20,425)</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Depreciation</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64,160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63,309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66,671</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intangible assets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86,742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80,254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80,048</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Impairment of long-lived assets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5,792</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Loss on extinguishment of debt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20,681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30,168</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Deferred income taxes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(3,716)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(23,360)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(18,993)</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Share-based non-cash compensation expense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13,870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6,882</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Accretion of asset retirement obligations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2,252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2,051</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Unrealized foreign exchange (gains) / losses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788</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3,325</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Unrealized gain on embedded derivative instruments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(1,195)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debt issuance costs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6,161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8,291</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Other</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(12,728)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(5,535)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(5,218)</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Changes in operating assets and liabilities: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tcPr>
          <w:p>
            <w:pPr>
              <w:ind w:left="560"/>
              <w:spacing w:after="0"/>
              <w:rPr>
                <w:sz w:val="20"/>
                <w:szCs w:val="20"/>
                <w:color w:val="auto"/>
              </w:rPr>
            </w:pPr>
            <w:r>
              <w:rPr>
                <w:rFonts w:ascii="Arial" w:cs="Arial" w:eastAsia="Arial" w:hAnsi="Arial"/>
                <w:sz w:val="12"/>
                <w:szCs w:val="12"/>
                <w:color w:val="auto"/>
              </w:rPr>
              <w:t>Accounts receivable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(15,509)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11,764</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Inventories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(20,245)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0" w:type="dxa"/>
            <w:vAlign w:val="bottom"/>
          </w:tcPr>
          <w:p>
            <w:pPr>
              <w:spacing w:after="0"/>
              <w:rPr>
                <w:sz w:val="1"/>
                <w:szCs w:val="1"/>
                <w:color w:val="auto"/>
              </w:rPr>
            </w:pPr>
          </w:p>
        </w:tc>
      </w:tr>
      <w:tr>
        <w:trPr>
          <w:trHeight w:val="162"/>
        </w:trPr>
        <w:tc>
          <w:tcPr>
            <w:tcW w:w="7060" w:type="dxa"/>
            <w:vAlign w:val="bottom"/>
          </w:tcPr>
          <w:p>
            <w:pPr>
              <w:ind w:left="560"/>
              <w:spacing w:after="0"/>
              <w:rPr>
                <w:sz w:val="20"/>
                <w:szCs w:val="20"/>
                <w:color w:val="auto"/>
              </w:rPr>
            </w:pPr>
            <w:r>
              <w:rPr>
                <w:rFonts w:ascii="Arial" w:cs="Arial" w:eastAsia="Arial" w:hAnsi="Arial"/>
                <w:sz w:val="12"/>
                <w:szCs w:val="12"/>
                <w:color w:val="auto"/>
              </w:rPr>
              <w:t>Other current assets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(3,552)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(7,770)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15,322</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Accounts payable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19,761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(8,968)</w:t>
            </w:r>
          </w:p>
        </w:tc>
        <w:tc>
          <w:tcPr>
            <w:tcW w:w="0" w:type="dxa"/>
            <w:vAlign w:val="bottom"/>
          </w:tcPr>
          <w:p>
            <w:pPr>
              <w:spacing w:after="0"/>
              <w:rPr>
                <w:sz w:val="1"/>
                <w:szCs w:val="1"/>
                <w:color w:val="auto"/>
              </w:rPr>
            </w:pPr>
          </w:p>
        </w:tc>
      </w:tr>
      <w:tr>
        <w:trPr>
          <w:trHeight w:val="162"/>
        </w:trPr>
        <w:tc>
          <w:tcPr>
            <w:tcW w:w="7060" w:type="dxa"/>
            <w:vAlign w:val="bottom"/>
          </w:tcPr>
          <w:p>
            <w:pPr>
              <w:ind w:left="560"/>
              <w:spacing w:after="0"/>
              <w:rPr>
                <w:sz w:val="20"/>
                <w:szCs w:val="20"/>
                <w:color w:val="auto"/>
              </w:rPr>
            </w:pPr>
            <w:r>
              <w:rPr>
                <w:rFonts w:ascii="Arial" w:cs="Arial" w:eastAsia="Arial" w:hAnsi="Arial"/>
                <w:sz w:val="12"/>
                <w:szCs w:val="12"/>
                <w:color w:val="auto"/>
              </w:rPr>
              <w:t>Accrued liabilities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1,596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3,248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(18,405)</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Income taxes payable / receivable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10,103</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(7,771)</w:t>
            </w:r>
          </w:p>
        </w:tc>
        <w:tc>
          <w:tcPr>
            <w:tcW w:w="0" w:type="dxa"/>
            <w:vAlign w:val="bottom"/>
          </w:tcPr>
          <w:p>
            <w:pPr>
              <w:spacing w:after="0"/>
              <w:rPr>
                <w:sz w:val="1"/>
                <w:szCs w:val="1"/>
                <w:color w:val="auto"/>
              </w:rPr>
            </w:pPr>
          </w:p>
        </w:tc>
      </w:tr>
      <w:tr>
        <w:trPr>
          <w:trHeight w:val="162"/>
        </w:trPr>
        <w:tc>
          <w:tcPr>
            <w:tcW w:w="7060" w:type="dxa"/>
            <w:vAlign w:val="bottom"/>
          </w:tcPr>
          <w:p>
            <w:pPr>
              <w:ind w:left="560"/>
              <w:spacing w:after="0"/>
              <w:rPr>
                <w:sz w:val="20"/>
                <w:szCs w:val="20"/>
                <w:color w:val="auto"/>
              </w:rPr>
            </w:pPr>
            <w:r>
              <w:rPr>
                <w:rFonts w:ascii="Arial" w:cs="Arial" w:eastAsia="Arial" w:hAnsi="Arial"/>
                <w:sz w:val="12"/>
                <w:szCs w:val="12"/>
                <w:color w:val="auto"/>
              </w:rPr>
              <w:t>Other liabilities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(369)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724</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Other long-term assets</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(4,376)</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54"/>
        </w:trPr>
        <w:tc>
          <w:tcPr>
            <w:tcW w:w="7060" w:type="dxa"/>
            <w:vAlign w:val="bottom"/>
          </w:tcPr>
          <w:p>
            <w:pPr>
              <w:spacing w:after="0"/>
              <w:rPr>
                <w:sz w:val="20"/>
                <w:szCs w:val="20"/>
                <w:color w:val="auto"/>
              </w:rPr>
            </w:pPr>
            <w:r>
              <w:rPr>
                <w:rFonts w:ascii="Arial" w:cs="Arial" w:eastAsia="Arial" w:hAnsi="Arial"/>
                <w:sz w:val="12"/>
                <w:szCs w:val="12"/>
                <w:color w:val="auto"/>
              </w:rPr>
              <w:t>Net cash provided by operating activities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281,545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120,585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149,041</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Purchases of property, plant and equipment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(102,162)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(53,507)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(57,257)</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Purchase of Iotron Industries Canada, Inc., net of cash acquired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Purchase of BioScience Laboratories, LLC, net of cash acquired</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(13,530)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Purchase of mandatorily redeemable noncontrolling interest in Nelson Laboratories Fairfield, Inc.</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(12,425)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Purchase of Regulatory Compliance Associates Inc., net of cash acquired</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(31,015)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Other investing activities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70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8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(159,833)</w:t>
            </w: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(158,694)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(57,257)</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Dividends and distributions to shareholders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(691,170)</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Proceeds from revolving credit facility and long-term borrowings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3,144,600</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Proceeds from issuance of common stock, net of underwriting discounts and issuance costs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1,155,961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common shares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Purchase of noncontrolling interests in China subsidiaries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(8,418)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Payments of debt issuance costs and prepayment premium</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(6,792)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(17,034)</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Payments on revolving credit facility and long-term borrowings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(100,000)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(1,177,325)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(2,561,084)</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employee taxes on equity awards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(1,434)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7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financing activities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(642)</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(1,342)</w:t>
            </w:r>
          </w:p>
        </w:tc>
        <w:tc>
          <w:tcPr>
            <w:tcW w:w="0" w:type="dxa"/>
            <w:vAlign w:val="bottom"/>
          </w:tcPr>
          <w:p>
            <w:pPr>
              <w:spacing w:after="0"/>
              <w:rPr>
                <w:sz w:val="1"/>
                <w:szCs w:val="1"/>
                <w:color w:val="auto"/>
              </w:rPr>
            </w:pPr>
          </w:p>
        </w:tc>
      </w:tr>
      <w:tr>
        <w:trPr>
          <w:trHeight w:val="156"/>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 financing activities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(117,286)</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(126,030)</w:t>
            </w:r>
          </w:p>
        </w:tc>
        <w:tc>
          <w:tcPr>
            <w:tcW w:w="0" w:type="dxa"/>
            <w:vAlign w:val="bottom"/>
          </w:tcPr>
          <w:p>
            <w:pPr>
              <w:spacing w:after="0"/>
              <w:rPr>
                <w:sz w:val="1"/>
                <w:szCs w:val="1"/>
                <w:color w:val="auto"/>
              </w:rPr>
            </w:pPr>
          </w:p>
        </w:tc>
      </w:tr>
      <w:tr>
        <w:trPr>
          <w:trHeight w:val="162"/>
        </w:trPr>
        <w:tc>
          <w:tcPr>
            <w:tcW w:w="7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w:t>
            </w:r>
          </w:p>
        </w:tc>
        <w:tc>
          <w:tcPr>
            <w:tcW w:w="0" w:type="dxa"/>
            <w:vAlign w:val="bottom"/>
          </w:tcPr>
          <w:p>
            <w:pPr>
              <w:spacing w:after="0"/>
              <w:rPr>
                <w:sz w:val="1"/>
                <w:szCs w:val="1"/>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 including restricted cash</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4,470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(33,761)</w:t>
            </w:r>
          </w:p>
        </w:tc>
        <w:tc>
          <w:tcPr>
            <w:tcW w:w="0" w:type="dxa"/>
            <w:vAlign w:val="bottom"/>
          </w:tcPr>
          <w:p>
            <w:pPr>
              <w:spacing w:after="0"/>
              <w:rPr>
                <w:sz w:val="1"/>
                <w:szCs w:val="1"/>
                <w:color w:val="auto"/>
              </w:rPr>
            </w:pPr>
          </w:p>
        </w:tc>
      </w:tr>
      <w:tr>
        <w:trPr>
          <w:trHeight w:val="162"/>
        </w:trPr>
        <w:tc>
          <w:tcPr>
            <w:tcW w:w="7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including restricted cash, at beginning of period</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102,454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96,786</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including restricted cash, at end of period</w:t>
            </w: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2"/>
                <w:szCs w:val="12"/>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106,924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102,454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0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Cash paid during the period for interest</w:t>
            </w: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2"/>
                <w:szCs w:val="12"/>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58,772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211,276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151,005</w:t>
            </w:r>
          </w:p>
        </w:tc>
        <w:tc>
          <w:tcPr>
            <w:tcW w:w="0" w:type="dxa"/>
            <w:vAlign w:val="bottom"/>
          </w:tcPr>
          <w:p>
            <w:pPr>
              <w:spacing w:after="0"/>
              <w:rPr>
                <w:sz w:val="1"/>
                <w:szCs w:val="1"/>
                <w:color w:val="auto"/>
              </w:rPr>
            </w:pPr>
          </w:p>
        </w:tc>
      </w:tr>
      <w:tr>
        <w:trPr>
          <w:trHeight w:val="162"/>
        </w:trPr>
        <w:tc>
          <w:tcPr>
            <w:tcW w:w="7060" w:type="dxa"/>
            <w:vAlign w:val="bottom"/>
          </w:tcPr>
          <w:p>
            <w:pPr>
              <w:ind w:left="280"/>
              <w:spacing w:after="0"/>
              <w:rPr>
                <w:sz w:val="20"/>
                <w:szCs w:val="20"/>
                <w:color w:val="auto"/>
              </w:rPr>
            </w:pPr>
            <w:r>
              <w:rPr>
                <w:rFonts w:ascii="Arial" w:cs="Arial" w:eastAsia="Arial" w:hAnsi="Arial"/>
                <w:sz w:val="12"/>
                <w:szCs w:val="12"/>
                <w:color w:val="auto"/>
              </w:rPr>
              <w:t>Cash paid during the period for income taxes, net of tax refunds received</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52,007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23,988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44,614</w:t>
            </w:r>
          </w:p>
        </w:tc>
        <w:tc>
          <w:tcPr>
            <w:tcW w:w="0" w:type="dxa"/>
            <w:vAlign w:val="bottom"/>
          </w:tcPr>
          <w:p>
            <w:pPr>
              <w:spacing w:after="0"/>
              <w:rPr>
                <w:sz w:val="1"/>
                <w:szCs w:val="1"/>
                <w:color w:val="auto"/>
              </w:rPr>
            </w:pPr>
          </w:p>
        </w:tc>
      </w:tr>
      <w:tr>
        <w:trPr>
          <w:trHeight w:val="164"/>
        </w:trPr>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Equipment purchases included in accounts payable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14,524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4" w:name="page75"/>
    <w:bookmarkEnd w:id="74"/>
    <w:p>
      <w:pPr>
        <w:ind w:left="4820"/>
        <w:spacing w:after="0"/>
        <w:rPr>
          <w:sz w:val="20"/>
          <w:szCs w:val="20"/>
          <w:color w:val="auto"/>
        </w:rPr>
      </w:pPr>
      <w:r>
        <w:rPr>
          <w:rFonts w:ascii="Arial" w:cs="Arial" w:eastAsia="Arial" w:hAnsi="Arial"/>
          <w:sz w:val="16"/>
          <w:szCs w:val="16"/>
          <w:b w:val="1"/>
          <w:bCs w:val="1"/>
          <w:color w:val="auto"/>
        </w:rPr>
        <w:t>Sotera Health Company</w:t>
      </w:r>
    </w:p>
    <w:p>
      <w:pPr>
        <w:spacing w:after="0" w:line="96"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Shares</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Retained</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Accumulated</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9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jc w:val="center"/>
              <w:ind w:right="280"/>
              <w:spacing w:after="0" w:line="93" w:lineRule="exact"/>
              <w:rPr>
                <w:sz w:val="20"/>
                <w:szCs w:val="20"/>
                <w:color w:val="auto"/>
              </w:rPr>
            </w:pPr>
            <w:r>
              <w:rPr>
                <w:rFonts w:ascii="Arial" w:cs="Arial" w:eastAsia="Arial" w:hAnsi="Arial"/>
                <w:sz w:val="10"/>
                <w:szCs w:val="10"/>
                <w:b w:val="1"/>
                <w:bCs w:val="1"/>
                <w:color w:val="auto"/>
                <w:w w:val="93"/>
              </w:rPr>
              <w:t>Additional</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3" w:lineRule="exact"/>
              <w:rPr>
                <w:sz w:val="20"/>
                <w:szCs w:val="20"/>
                <w:color w:val="auto"/>
              </w:rPr>
            </w:pPr>
            <w:r>
              <w:rPr>
                <w:rFonts w:ascii="Arial" w:cs="Arial" w:eastAsia="Arial" w:hAnsi="Arial"/>
                <w:sz w:val="10"/>
                <w:szCs w:val="10"/>
                <w:b w:val="1"/>
                <w:bCs w:val="1"/>
                <w:color w:val="auto"/>
                <w:w w:val="90"/>
              </w:rPr>
              <w:t>Earnings /</w:t>
            </w:r>
          </w:p>
        </w:tc>
        <w:tc>
          <w:tcPr>
            <w:tcW w:w="160" w:type="dxa"/>
            <w:vAlign w:val="bottom"/>
          </w:tcPr>
          <w:p>
            <w:pPr>
              <w:spacing w:after="0"/>
              <w:rPr>
                <w:sz w:val="4"/>
                <w:szCs w:val="4"/>
                <w:color w:val="auto"/>
              </w:rPr>
            </w:pPr>
          </w:p>
        </w:tc>
        <w:tc>
          <w:tcPr>
            <w:tcW w:w="110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center"/>
              <w:ind w:right="139"/>
              <w:spacing w:after="0" w:line="93"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Common</w:t>
            </w:r>
          </w:p>
        </w:tc>
        <w:tc>
          <w:tcPr>
            <w:tcW w:w="140" w:type="dxa"/>
            <w:vAlign w:val="bottom"/>
          </w:tcPr>
          <w:p>
            <w:pPr>
              <w:spacing w:after="0"/>
              <w:rPr>
                <w:sz w:val="2"/>
                <w:szCs w:val="2"/>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2"/>
              </w:rPr>
              <w:t>Common</w:t>
            </w:r>
          </w:p>
        </w:tc>
        <w:tc>
          <w:tcPr>
            <w:tcW w:w="140" w:type="dxa"/>
            <w:vAlign w:val="bottom"/>
          </w:tcPr>
          <w:p>
            <w:pPr>
              <w:spacing w:after="0"/>
              <w:rPr>
                <w:sz w:val="2"/>
                <w:szCs w:val="2"/>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4"/>
              </w:rPr>
              <w:t>Treasury</w:t>
            </w:r>
          </w:p>
        </w:tc>
        <w:tc>
          <w:tcPr>
            <w:tcW w:w="1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9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w w:val="95"/>
              </w:rPr>
              <w:t>Paid-In</w:t>
            </w:r>
          </w:p>
        </w:tc>
        <w:tc>
          <w:tcPr>
            <w:tcW w:w="140" w:type="dxa"/>
            <w:vAlign w:val="bottom"/>
          </w:tcPr>
          <w:p>
            <w:pPr>
              <w:spacing w:after="0"/>
              <w:rPr>
                <w:sz w:val="8"/>
                <w:szCs w:val="8"/>
                <w:color w:val="auto"/>
              </w:rPr>
            </w:pPr>
          </w:p>
        </w:tc>
        <w:tc>
          <w:tcPr>
            <w:tcW w:w="1000" w:type="dxa"/>
            <w:vAlign w:val="bottom"/>
            <w:gridSpan w:val="2"/>
          </w:tcPr>
          <w:p>
            <w:pPr>
              <w:jc w:val="center"/>
              <w:ind w:right="240"/>
              <w:spacing w:after="0" w:line="93" w:lineRule="exact"/>
              <w:rPr>
                <w:sz w:val="20"/>
                <w:szCs w:val="20"/>
                <w:color w:val="auto"/>
              </w:rPr>
            </w:pPr>
            <w:r>
              <w:rPr>
                <w:rFonts w:ascii="Arial" w:cs="Arial" w:eastAsia="Arial" w:hAnsi="Arial"/>
                <w:sz w:val="10"/>
                <w:szCs w:val="10"/>
                <w:b w:val="1"/>
                <w:bCs w:val="1"/>
                <w:color w:val="auto"/>
                <w:w w:val="90"/>
              </w:rPr>
              <w:t>(Accumulated</w:t>
            </w: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w w:val="90"/>
              </w:rPr>
              <w:t>Comprehensive</w:t>
            </w: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center"/>
              <w:ind w:right="99"/>
              <w:spacing w:after="0" w:line="93"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8"/>
        </w:trPr>
        <w:tc>
          <w:tcPr>
            <w:tcW w:w="29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87"/>
              </w:rPr>
              <w:t>Stock</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4"/>
              </w:rPr>
              <w:t>Deficit)</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88"/>
              </w:rPr>
              <w:t>(Loss) Income</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Interests</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1"/>
              </w:rPr>
              <w:t>(Deficit)</w:t>
            </w:r>
          </w:p>
        </w:tc>
        <w:tc>
          <w:tcPr>
            <w:tcW w:w="0" w:type="dxa"/>
            <w:vAlign w:val="bottom"/>
          </w:tcPr>
          <w:p>
            <w:pPr>
              <w:spacing w:after="0"/>
              <w:rPr>
                <w:sz w:val="1"/>
                <w:szCs w:val="1"/>
                <w:color w:val="auto"/>
              </w:rPr>
            </w:pP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2019</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232,400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162,409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(10,417)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(109,957)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45,491</w:t>
            </w:r>
          </w:p>
        </w:tc>
        <w:tc>
          <w:tcPr>
            <w:tcW w:w="0" w:type="dxa"/>
            <w:vAlign w:val="bottom"/>
          </w:tcPr>
          <w:p>
            <w:pPr>
              <w:spacing w:after="0"/>
              <w:rPr>
                <w:sz w:val="1"/>
                <w:szCs w:val="1"/>
                <w:color w:val="auto"/>
              </w:rPr>
            </w:pPr>
          </w:p>
        </w:tc>
      </w:tr>
      <w:tr>
        <w:trPr>
          <w:trHeight w:val="117"/>
        </w:trPr>
        <w:tc>
          <w:tcPr>
            <w:tcW w:w="2980" w:type="dxa"/>
            <w:vAlign w:val="bottom"/>
          </w:tcPr>
          <w:p>
            <w:pPr>
              <w:spacing w:after="0" w:line="117" w:lineRule="exact"/>
              <w:rPr>
                <w:sz w:val="20"/>
                <w:szCs w:val="20"/>
                <w:color w:val="auto"/>
              </w:rPr>
            </w:pPr>
            <w:r>
              <w:rPr>
                <w:rFonts w:ascii="Arial" w:cs="Arial" w:eastAsia="Arial" w:hAnsi="Arial"/>
                <w:sz w:val="12"/>
                <w:szCs w:val="12"/>
                <w:color w:val="auto"/>
                <w:w w:val="95"/>
              </w:rPr>
              <w:t>Cumulative-effect adjustment upon adoption of ASU 2014-</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2,635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2,635</w:t>
            </w:r>
          </w:p>
        </w:tc>
        <w:tc>
          <w:tcPr>
            <w:tcW w:w="0" w:type="dxa"/>
            <w:vAlign w:val="bottom"/>
          </w:tcPr>
          <w:p>
            <w:pPr>
              <w:spacing w:after="0"/>
              <w:rPr>
                <w:sz w:val="1"/>
                <w:szCs w:val="1"/>
                <w:color w:val="auto"/>
              </w:rPr>
            </w:pPr>
          </w:p>
        </w:tc>
      </w:tr>
      <w:tr>
        <w:trPr>
          <w:trHeight w:val="160"/>
        </w:trPr>
        <w:tc>
          <w:tcPr>
            <w:tcW w:w="2980" w:type="dxa"/>
            <w:vAlign w:val="bottom"/>
          </w:tcPr>
          <w:p>
            <w:pPr>
              <w:ind w:left="140"/>
              <w:spacing w:after="0"/>
              <w:rPr>
                <w:sz w:val="20"/>
                <w:szCs w:val="20"/>
                <w:color w:val="auto"/>
              </w:rPr>
            </w:pPr>
            <w:r>
              <w:rPr>
                <w:rFonts w:ascii="Arial" w:cs="Arial" w:eastAsia="Arial" w:hAnsi="Arial"/>
                <w:sz w:val="12"/>
                <w:szCs w:val="12"/>
                <w:color w:val="auto"/>
              </w:rPr>
              <w:t>09 (Note 1)</w:t>
            </w: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Dividends and distributions to shareholders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(521,879)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(691,170)</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2"/>
                <w:szCs w:val="12"/>
                <w:color w:val="auto"/>
              </w:rPr>
              <w:t>Share-based compensation plans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6,882</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income (loss):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rPr>
                <w:sz w:val="20"/>
                <w:szCs w:val="20"/>
                <w:color w:val="auto"/>
              </w:rPr>
            </w:pPr>
            <w:r>
              <w:rPr>
                <w:rFonts w:ascii="Arial" w:cs="Arial" w:eastAsia="Arial" w:hAnsi="Arial"/>
                <w:sz w:val="12"/>
                <w:szCs w:val="12"/>
                <w:color w:val="auto"/>
                <w:w w:val="93"/>
              </w:rPr>
              <w:t>Pension and post-retirement plan adjustments, net of tax</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(12,126)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(12,126)</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Foreign currency translation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27,402</w:t>
            </w: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rPr>
                <w:sz w:val="20"/>
                <w:szCs w:val="20"/>
                <w:color w:val="auto"/>
              </w:rPr>
            </w:pPr>
            <w:r>
              <w:rPr>
                <w:rFonts w:ascii="Arial" w:cs="Arial" w:eastAsia="Arial" w:hAnsi="Arial"/>
                <w:sz w:val="12"/>
                <w:szCs w:val="12"/>
                <w:color w:val="auto"/>
              </w:rPr>
              <w:t>Interest rate swaps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179</w:t>
            </w: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(20,425)</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20"/>
                <w:szCs w:val="20"/>
                <w:color w:val="auto"/>
              </w:rPr>
            </w:pPr>
            <w:r>
              <w:rPr>
                <w:rFonts w:ascii="Arial" w:cs="Arial" w:eastAsia="Arial" w:hAnsi="Arial"/>
                <w:sz w:val="12"/>
                <w:szCs w:val="12"/>
                <w:b w:val="1"/>
                <w:bCs w:val="1"/>
                <w:color w:val="auto"/>
              </w:rPr>
              <w:t>Balance at December 31, 2019</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232,400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(550,511)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(94,387)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1,442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(641,132)</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Issuance of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1,155,425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1,155,961</w:t>
            </w:r>
          </w:p>
        </w:tc>
        <w:tc>
          <w:tcPr>
            <w:tcW w:w="0" w:type="dxa"/>
            <w:vAlign w:val="bottom"/>
          </w:tcPr>
          <w:p>
            <w:pPr>
              <w:spacing w:after="0"/>
              <w:rPr>
                <w:sz w:val="1"/>
                <w:szCs w:val="1"/>
                <w:color w:val="auto"/>
              </w:rPr>
            </w:pPr>
          </w:p>
        </w:tc>
      </w:tr>
      <w:tr>
        <w:trPr>
          <w:trHeight w:val="181"/>
        </w:trPr>
        <w:tc>
          <w:tcPr>
            <w:tcW w:w="2980" w:type="dxa"/>
            <w:vAlign w:val="bottom"/>
          </w:tcPr>
          <w:p>
            <w:pPr>
              <w:spacing w:after="0"/>
              <w:rPr>
                <w:sz w:val="20"/>
                <w:szCs w:val="20"/>
                <w:color w:val="auto"/>
              </w:rPr>
            </w:pPr>
            <w:r>
              <w:rPr>
                <w:rFonts w:ascii="Arial" w:cs="Arial" w:eastAsia="Arial" w:hAnsi="Arial"/>
                <w:sz w:val="12"/>
                <w:szCs w:val="12"/>
                <w:color w:val="auto"/>
              </w:rPr>
              <w:t>Repurchase of shares</w:t>
            </w:r>
          </w:p>
        </w:tc>
        <w:tc>
          <w:tcPr>
            <w:tcW w:w="840" w:type="dxa"/>
            <w:vAlign w:val="bottom"/>
          </w:tcPr>
          <w:p>
            <w:pPr>
              <w:jc w:val="right"/>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(34,000)</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plans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10,987</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3"/>
              </w:rPr>
              <w:t>Pension and post-retirement plan adjustments, net of tax</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(17,030)</w:t>
            </w: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rPr>
                <w:sz w:val="20"/>
                <w:szCs w:val="20"/>
                <w:color w:val="auto"/>
              </w:rPr>
            </w:pPr>
            <w:r>
              <w:rPr>
                <w:rFonts w:ascii="Arial" w:cs="Arial" w:eastAsia="Arial" w:hAnsi="Arial"/>
                <w:sz w:val="12"/>
                <w:szCs w:val="12"/>
                <w:color w:val="auto"/>
              </w:rPr>
              <w:t>Foreign currency translation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17,754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17,458</w:t>
            </w: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rate swaps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(179)</w:t>
            </w:r>
          </w:p>
        </w:tc>
        <w:tc>
          <w:tcPr>
            <w:tcW w:w="0" w:type="dxa"/>
            <w:vAlign w:val="bottom"/>
          </w:tcPr>
          <w:p>
            <w:pPr>
              <w:spacing w:after="0"/>
              <w:rPr>
                <w:sz w:val="1"/>
                <w:szCs w:val="1"/>
                <w:color w:val="auto"/>
              </w:rPr>
            </w:pPr>
          </w:p>
        </w:tc>
      </w:tr>
      <w:tr>
        <w:trPr>
          <w:trHeight w:val="181"/>
        </w:trPr>
        <w:tc>
          <w:tcPr>
            <w:tcW w:w="298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(38,617)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(37,491)</w:t>
            </w:r>
          </w:p>
        </w:tc>
        <w:tc>
          <w:tcPr>
            <w:tcW w:w="0" w:type="dxa"/>
            <w:vAlign w:val="bottom"/>
          </w:tcPr>
          <w:p>
            <w:pPr>
              <w:spacing w:after="0"/>
              <w:rPr>
                <w:sz w:val="1"/>
                <w:szCs w:val="1"/>
                <w:color w:val="auto"/>
              </w:rPr>
            </w:pPr>
          </w:p>
        </w:tc>
      </w:tr>
      <w:tr>
        <w:trPr>
          <w:trHeight w:val="172"/>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283,248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2,860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(34,000)</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1,166,412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(589,128)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(93,842)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2,272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454,574</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2"/>
                <w:szCs w:val="12"/>
                <w:color w:val="auto"/>
              </w:rPr>
              <w:t>Acquisition of noncontrolling interests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(8,578)</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Issuance of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1,080</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2"/>
                <w:szCs w:val="12"/>
                <w:color w:val="auto"/>
              </w:rPr>
              <w:t>Share-based compensation plans</w:t>
            </w:r>
          </w:p>
        </w:tc>
        <w:tc>
          <w:tcPr>
            <w:tcW w:w="840" w:type="dxa"/>
            <w:vAlign w:val="bottom"/>
          </w:tcPr>
          <w:p>
            <w:pPr>
              <w:jc w:val="right"/>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10,873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11,328</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income (loss):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rPr>
                <w:sz w:val="20"/>
                <w:szCs w:val="20"/>
                <w:color w:val="auto"/>
              </w:rPr>
            </w:pPr>
            <w:r>
              <w:rPr>
                <w:rFonts w:ascii="Arial" w:cs="Arial" w:eastAsia="Arial" w:hAnsi="Arial"/>
                <w:sz w:val="12"/>
                <w:szCs w:val="12"/>
                <w:color w:val="auto"/>
                <w:w w:val="93"/>
              </w:rPr>
              <w:t>Pension and post-retirement plan adjustments, net of tax</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26,562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26,562</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Foreign currency translation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(16,395)</w:t>
            </w: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rPr>
                <w:sz w:val="20"/>
                <w:szCs w:val="20"/>
                <w:color w:val="auto"/>
              </w:rPr>
            </w:pPr>
            <w:r>
              <w:rPr>
                <w:rFonts w:ascii="Arial" w:cs="Arial" w:eastAsia="Arial" w:hAnsi="Arial"/>
                <w:sz w:val="12"/>
                <w:szCs w:val="12"/>
                <w:color w:val="auto"/>
              </w:rPr>
              <w:t>Interest rate swaps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404</w:t>
            </w:r>
          </w:p>
        </w:tc>
        <w:tc>
          <w:tcPr>
            <w:tcW w:w="0" w:type="dxa"/>
            <w:vAlign w:val="bottom"/>
          </w:tcPr>
          <w:p>
            <w:pPr>
              <w:spacing w:after="0"/>
              <w:rPr>
                <w:sz w:val="1"/>
                <w:szCs w:val="1"/>
                <w:color w:val="auto"/>
              </w:rPr>
            </w:pPr>
          </w:p>
        </w:tc>
      </w:tr>
      <w:tr>
        <w:trPr>
          <w:trHeight w:val="164"/>
        </w:trPr>
        <w:tc>
          <w:tcPr>
            <w:tcW w:w="2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116,882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117,121</w:t>
            </w:r>
          </w:p>
        </w:tc>
        <w:tc>
          <w:tcPr>
            <w:tcW w:w="0" w:type="dxa"/>
            <w:vAlign w:val="bottom"/>
          </w:tcPr>
          <w:p>
            <w:pPr>
              <w:spacing w:after="0"/>
              <w:rPr>
                <w:sz w:val="1"/>
                <w:szCs w:val="1"/>
                <w:color w:val="auto"/>
              </w:rPr>
            </w:pPr>
          </w:p>
        </w:tc>
      </w:tr>
      <w:tr>
        <w:trPr>
          <w:trHeight w:val="155"/>
        </w:trPr>
        <w:tc>
          <w:tcPr>
            <w:tcW w:w="2980" w:type="dxa"/>
            <w:vAlign w:val="bottom"/>
          </w:tcPr>
          <w:p>
            <w:pPr>
              <w:spacing w:after="0"/>
              <w:rPr>
                <w:sz w:val="20"/>
                <w:szCs w:val="20"/>
                <w:color w:val="auto"/>
              </w:rPr>
            </w:pPr>
            <w:r>
              <w:rPr>
                <w:rFonts w:ascii="Arial" w:cs="Arial" w:eastAsia="Arial" w:hAnsi="Arial"/>
                <w:sz w:val="12"/>
                <w:szCs w:val="12"/>
                <w:b w:val="1"/>
                <w:bCs w:val="1"/>
                <w:color w:val="auto"/>
              </w:rPr>
              <w:t>Balance at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282,985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2,860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(33,545)</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1,172,593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(472,246)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(83,566)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586,096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5" w:name="page76"/>
    <w:bookmarkEnd w:id="75"/>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7" w:hanging="287"/>
        <w:spacing w:after="0"/>
        <w:tabs>
          <w:tab w:leader="none" w:pos="287"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02" w:lineRule="exact"/>
        <w:rPr>
          <w:sz w:val="20"/>
          <w:szCs w:val="20"/>
          <w:color w:val="auto"/>
        </w:rPr>
      </w:pPr>
    </w:p>
    <w:p>
      <w:pPr>
        <w:ind w:left="7" w:right="60"/>
        <w:spacing w:after="0" w:line="259"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Sotera Health Company (also referred to herein as the “Company,” “we,” “our,” “us” or “its”), is a global provider of mission-critical sterilization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lab testing and advisory services to the healthcare industry with operations primarily in the Americas, Europe and Asia.</w:t>
      </w:r>
    </w:p>
    <w:p>
      <w:pPr>
        <w:spacing w:after="0" w:line="162" w:lineRule="exact"/>
        <w:rPr>
          <w:sz w:val="20"/>
          <w:szCs w:val="20"/>
          <w:color w:val="auto"/>
        </w:rPr>
      </w:pPr>
    </w:p>
    <w:p>
      <w:pPr>
        <w:ind w:left="7" w:right="140"/>
        <w:spacing w:after="0" w:line="259" w:lineRule="auto"/>
        <w:rPr>
          <w:sz w:val="20"/>
          <w:szCs w:val="20"/>
          <w:color w:val="auto"/>
        </w:rPr>
      </w:pPr>
      <w:r>
        <w:rPr>
          <w:rFonts w:ascii="Arial" w:cs="Arial" w:eastAsia="Arial" w:hAnsi="Arial"/>
          <w:sz w:val="16"/>
          <w:szCs w:val="16"/>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62" w:lineRule="exact"/>
        <w:rPr>
          <w:sz w:val="20"/>
          <w:szCs w:val="20"/>
          <w:color w:val="auto"/>
        </w:rPr>
      </w:pPr>
    </w:p>
    <w:p>
      <w:pPr>
        <w:ind w:left="7" w:right="400"/>
        <w:spacing w:after="0" w:line="259" w:lineRule="auto"/>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22, “Segment and Geographic Information”. All significant intercompany balances and transactions have been eliminated in consolidation.</w:t>
      </w:r>
    </w:p>
    <w:p>
      <w:pPr>
        <w:spacing w:after="0" w:line="162" w:lineRule="exact"/>
        <w:rPr>
          <w:sz w:val="20"/>
          <w:szCs w:val="20"/>
          <w:color w:val="auto"/>
        </w:rPr>
      </w:pPr>
    </w:p>
    <w:p>
      <w:pPr>
        <w:ind w:left="7" w:right="20"/>
        <w:spacing w:after="0" w:line="295" w:lineRule="auto"/>
        <w:rPr>
          <w:sz w:val="20"/>
          <w:szCs w:val="20"/>
          <w:color w:val="auto"/>
        </w:rPr>
      </w:pPr>
      <w:r>
        <w:rPr>
          <w:rFonts w:ascii="Arial" w:cs="Arial" w:eastAsia="Arial" w:hAnsi="Arial"/>
          <w:sz w:val="14"/>
          <w:szCs w:val="14"/>
          <w:color w:val="auto"/>
        </w:rPr>
        <w:t>Noncontrolling interests represents the noncontrolling stockholders’ proportionate share of the total equity in the Company’s consolidated subsidiaries. In the second quarter of 2021, we purchased the outstanding noncontrolling interests of 15% and 33% in our two China subsidiaries. Refer to Note 4, “Acquisitions” for additional details. Prior to our acquisition of the noncontrolling interests in our two subsidiaries in China, we consolidated the results of operations of these subsidiaries with our results of operations and reflected the noncontrolling interests on our Consolidated Statements of Operations and Comprehensive Income (Loss) as “Net income attributable to noncontrolling interests.”</w:t>
      </w:r>
    </w:p>
    <w:p>
      <w:pPr>
        <w:spacing w:after="0" w:line="164" w:lineRule="exact"/>
        <w:rPr>
          <w:sz w:val="20"/>
          <w:szCs w:val="20"/>
          <w:color w:val="auto"/>
        </w:rPr>
      </w:pPr>
    </w:p>
    <w:p>
      <w:pPr>
        <w:ind w:left="7" w:right="60"/>
        <w:spacing w:after="0" w:line="251" w:lineRule="auto"/>
        <w:rPr>
          <w:sz w:val="20"/>
          <w:szCs w:val="20"/>
          <w:color w:val="auto"/>
        </w:rPr>
      </w:pPr>
      <w:r>
        <w:rPr>
          <w:rFonts w:ascii="Arial" w:cs="Arial" w:eastAsia="Arial" w:hAnsi="Arial"/>
          <w:sz w:val="16"/>
          <w:szCs w:val="16"/>
          <w:color w:val="auto"/>
        </w:rPr>
        <w:t>On March 11, 2021, we purchased the 15% noncontrolling interest that remained from the August 2018 acquisition of Gibraltar Laboratories, Inc. (now known as Nelson Laboratories Fairfield, Inc.). As the purchase of this noncontrolling interest was mandatorily redeemable, no earnings were allocated to this noncontrolling interest. Refer to Note 4, “Acquisitions” for additional details.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July 2020, we acquired a 60% equity ownership interest in a joint venture to construct an E-beam facility in Alberta, Canada in connection with our acquisition of Iotron. Refer to</w:t>
      </w:r>
    </w:p>
    <w:p>
      <w:pPr>
        <w:spacing w:after="0" w:line="61" w:lineRule="exact"/>
        <w:rPr>
          <w:sz w:val="20"/>
          <w:szCs w:val="20"/>
          <w:color w:val="auto"/>
        </w:rPr>
      </w:pPr>
    </w:p>
    <w:p>
      <w:pPr>
        <w:ind w:left="7" w:right="20"/>
        <w:spacing w:after="0" w:line="285" w:lineRule="auto"/>
        <w:rPr>
          <w:sz w:val="20"/>
          <w:szCs w:val="20"/>
          <w:color w:val="auto"/>
        </w:rPr>
      </w:pPr>
      <w:r>
        <w:rPr>
          <w:rFonts w:ascii="Arial" w:cs="Arial" w:eastAsia="Arial" w:hAnsi="Arial"/>
          <w:sz w:val="14"/>
          <w:szCs w:val="14"/>
          <w:color w:val="auto"/>
        </w:rPr>
        <w:t>Note 4, “Acquisitions”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w:t>
      </w:r>
    </w:p>
    <w:p>
      <w:pPr>
        <w:spacing w:after="0" w:line="1" w:lineRule="exact"/>
        <w:rPr>
          <w:sz w:val="20"/>
          <w:szCs w:val="20"/>
          <w:color w:val="auto"/>
        </w:rPr>
      </w:pPr>
    </w:p>
    <w:p>
      <w:pPr>
        <w:ind w:left="7"/>
        <w:spacing w:after="0"/>
        <w:rPr>
          <w:sz w:val="20"/>
          <w:szCs w:val="20"/>
          <w:color w:val="auto"/>
        </w:rPr>
      </w:pPr>
      <w:r>
        <w:rPr>
          <w:rFonts w:ascii="Arial" w:cs="Arial" w:eastAsia="Arial" w:hAnsi="Arial"/>
          <w:sz w:val="16"/>
          <w:szCs w:val="16"/>
          <w:color w:val="auto"/>
        </w:rPr>
        <w:t>“Investment in unconsolidated affiliates” on the Consolidated Balance Sheets</w:t>
      </w:r>
      <w:r>
        <w:rPr>
          <w:rFonts w:ascii="Arial" w:cs="Arial" w:eastAsia="Arial" w:hAnsi="Arial"/>
          <w:sz w:val="18"/>
          <w:szCs w:val="18"/>
          <w:color w:val="auto"/>
        </w:rPr>
        <w:t>.</w:t>
      </w:r>
    </w:p>
    <w:p>
      <w:pPr>
        <w:spacing w:after="0" w:line="191" w:lineRule="exact"/>
        <w:rPr>
          <w:sz w:val="20"/>
          <w:szCs w:val="20"/>
          <w:color w:val="auto"/>
        </w:rPr>
      </w:pPr>
    </w:p>
    <w:p>
      <w:pPr>
        <w:ind w:left="7" w:right="460"/>
        <w:spacing w:after="0" w:line="25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In preparing our consolidated financial statements in conformity with GAAP, we make estimates and assumptions that affect the amounts reported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notes. We regularly evaluate the estimates and assumptions used and revise them as new information becomes available. Actual results may vary from those estimates.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4"/>
          <w:szCs w:val="14"/>
          <w:i w:val="1"/>
          <w:iCs w:val="1"/>
          <w:color w:val="auto"/>
        </w:rPr>
        <w:t xml:space="preserve">Cash and Cash Equivalents </w:t>
      </w:r>
      <w:r>
        <w:rPr>
          <w:rFonts w:ascii="Arial" w:cs="Arial" w:eastAsia="Arial" w:hAnsi="Arial"/>
          <w:sz w:val="14"/>
          <w:szCs w:val="14"/>
          <w:color w:val="auto"/>
        </w:rPr>
        <w:t>– We consider all highly liquid investments purchased with an original maturity of three months or less from the date of purchase to be cash equivalents.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Cash and cash equivalents may include various deposit accounts and money market funds.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A</w:t>
      </w:r>
      <w:r>
        <w:rPr>
          <w:rFonts w:ascii="Arial" w:cs="Arial" w:eastAsia="Arial" w:hAnsi="Arial"/>
          <w:sz w:val="14"/>
          <w:szCs w:val="14"/>
          <w:i w:val="1"/>
          <w:iCs w:val="1"/>
          <w:color w:val="auto"/>
        </w:rPr>
        <w:t>ccounts Receivable -</w:t>
      </w:r>
      <w:r>
        <w:rPr>
          <w:rFonts w:ascii="Arial" w:cs="Arial" w:eastAsia="Arial" w:hAnsi="Arial"/>
          <w:sz w:val="16"/>
          <w:szCs w:val="16"/>
          <w:i w:val="1"/>
          <w:iCs w:val="1"/>
          <w:color w:val="auto"/>
        </w:rPr>
        <w:t xml:space="preserve"> </w:t>
      </w:r>
      <w:r>
        <w:rPr>
          <w:rFonts w:ascii="Arial" w:cs="Arial" w:eastAsia="Arial" w:hAnsi="Arial"/>
          <w:sz w:val="14"/>
          <w:szCs w:val="14"/>
          <w:color w:val="auto"/>
        </w:rPr>
        <w:t>Accounts receivable consists of amounts billed and currently due from customers. The amounts due are stated net of the allowance for uncollectible accounts.</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maintains an allowance for uncollectible receivables to provide for the estimated amount of receivables that will not be collected.</w:t>
      </w:r>
    </w:p>
    <w:p>
      <w:pPr>
        <w:spacing w:after="0" w:line="165" w:lineRule="exact"/>
        <w:rPr>
          <w:sz w:val="20"/>
          <w:szCs w:val="20"/>
          <w:color w:val="auto"/>
        </w:rPr>
      </w:pPr>
    </w:p>
    <w:p>
      <w:pPr>
        <w:ind w:left="7" w:right="60"/>
        <w:spacing w:after="0" w:line="286" w:lineRule="auto"/>
        <w:rPr>
          <w:sz w:val="20"/>
          <w:szCs w:val="20"/>
          <w:color w:val="auto"/>
        </w:rPr>
      </w:pPr>
      <w:r>
        <w:rPr>
          <w:rFonts w:ascii="Arial" w:cs="Arial" w:eastAsia="Arial" w:hAnsi="Arial"/>
          <w:sz w:val="14"/>
          <w:szCs w:val="14"/>
          <w:i w:val="1"/>
          <w:iCs w:val="1"/>
          <w:color w:val="auto"/>
        </w:rPr>
        <w:t xml:space="preserve">Allowance for Uncollectible Accounts Receivable </w:t>
      </w:r>
      <w:r>
        <w:rPr>
          <w:rFonts w:ascii="Arial" w:cs="Arial" w:eastAsia="Arial" w:hAnsi="Arial"/>
          <w:sz w:val="14"/>
          <w:szCs w:val="14"/>
          <w:color w:val="auto"/>
        </w:rPr>
        <w:t>– We maintain an allowance for uncollectible accounts receivable for estimated losses in the collection of amounts owed to us by</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We generally do not charge interest on accounts receivable or require collateral from our customers.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200" w:lineRule="exact"/>
        <w:rPr>
          <w:sz w:val="20"/>
          <w:szCs w:val="20"/>
          <w:color w:val="auto"/>
        </w:rPr>
      </w:pPr>
    </w:p>
    <w:p>
      <w:pPr>
        <w:spacing w:after="0" w:line="264"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i w:val="1"/>
          <w:iCs w:val="1"/>
          <w:color w:val="auto"/>
        </w:rPr>
        <w:t xml:space="preserve">Inventories </w:t>
      </w:r>
      <w:r>
        <w:rPr>
          <w:rFonts w:ascii="Arial" w:cs="Arial" w:eastAsia="Arial" w:hAnsi="Arial"/>
          <w:sz w:val="14"/>
          <w:szCs w:val="14"/>
          <w:color w:val="auto"/>
        </w:rPr>
        <w:t>– Inventories as of December 31, 2021 and 2020 are held at Nordion. Finished goods and work-in-process include the cost of material, labor, and certain manufacturing</w:t>
      </w:r>
      <w:r>
        <w:rPr>
          <w:rFonts w:ascii="Arial" w:cs="Arial" w:eastAsia="Arial" w:hAnsi="Arial"/>
          <w:sz w:val="14"/>
          <w:szCs w:val="14"/>
          <w:i w:val="1"/>
          <w:iCs w:val="1"/>
          <w:color w:val="auto"/>
        </w:rPr>
        <w:t xml:space="preserve"> </w:t>
      </w:r>
      <w:r>
        <w:rPr>
          <w:rFonts w:ascii="Arial" w:cs="Arial" w:eastAsia="Arial" w:hAnsi="Arial"/>
          <w:sz w:val="14"/>
          <w:szCs w:val="14"/>
          <w:color w:val="auto"/>
        </w:rPr>
        <w:t>overhead such as insurance, 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2021 and 2020,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43"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i w:val="1"/>
          <w:iCs w:val="1"/>
          <w:color w:val="auto"/>
        </w:rPr>
        <w:t xml:space="preserve">Property, Plant, and Equipment </w:t>
      </w:r>
      <w:r>
        <w:rPr>
          <w:rFonts w:ascii="Arial" w:cs="Arial" w:eastAsia="Arial" w:hAnsi="Arial"/>
          <w:sz w:val="14"/>
          <w:szCs w:val="14"/>
          <w:color w:val="auto"/>
        </w:rPr>
        <w:t>– Property, plant, and equipment is carried at cost, or initially at fair value if acquired in an acquisition, less accumulated depreciation and</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2021 and 2020, we had undepreciated software costs of $2.8 million and $3.8 million, respectively, included in property, plant, and equipment, net. We recognized $2.6 million, $2.4 million and $3.0 million, of depreciation expense related to software costs for the years ending December 31, 2021, 2020 and 2019,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20"/>
                <w:szCs w:val="20"/>
                <w:color w:val="auto"/>
              </w:rPr>
            </w:pPr>
            <w:r>
              <w:rPr>
                <w:rFonts w:ascii="Arial" w:cs="Arial" w:eastAsia="Arial" w:hAnsi="Arial"/>
                <w:sz w:val="16"/>
                <w:szCs w:val="16"/>
                <w:color w:val="auto"/>
              </w:rPr>
              <w:t>Depreciation is computed using the assets’ estimated useful lives as presented below:</w:t>
            </w:r>
          </w:p>
        </w:tc>
        <w:tc>
          <w:tcPr>
            <w:tcW w:w="3360" w:type="dxa"/>
            <w:vAlign w:val="bottom"/>
          </w:tcPr>
          <w:p>
            <w:pPr>
              <w:spacing w:after="0"/>
              <w:rPr>
                <w:sz w:val="17"/>
                <w:szCs w:val="17"/>
                <w:color w:val="auto"/>
              </w:rPr>
            </w:pPr>
          </w:p>
        </w:tc>
      </w:tr>
      <w:tr>
        <w:trPr>
          <w:trHeight w:val="24"/>
        </w:trPr>
        <w:tc>
          <w:tcPr>
            <w:tcW w:w="79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198"/>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building improvements</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 years</w:t>
            </w:r>
          </w:p>
        </w:tc>
      </w:tr>
      <w:tr>
        <w:trPr>
          <w:trHeight w:val="198"/>
        </w:trPr>
        <w:tc>
          <w:tcPr>
            <w:tcW w:w="790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3360" w:type="dxa"/>
            <w:vAlign w:val="bottom"/>
          </w:tcPr>
          <w:p>
            <w:pPr>
              <w:jc w:val="right"/>
              <w:spacing w:after="0"/>
              <w:rPr>
                <w:sz w:val="20"/>
                <w:szCs w:val="20"/>
                <w:color w:val="auto"/>
              </w:rPr>
            </w:pPr>
            <w:r>
              <w:rPr>
                <w:rFonts w:ascii="Arial" w:cs="Arial" w:eastAsia="Arial" w:hAnsi="Arial"/>
                <w:sz w:val="16"/>
                <w:szCs w:val="16"/>
                <w:color w:val="auto"/>
              </w:rPr>
              <w:t>3–30 years</w:t>
            </w:r>
          </w:p>
        </w:tc>
      </w:tr>
      <w:tr>
        <w:trPr>
          <w:trHeight w:val="198"/>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years</w:t>
            </w:r>
          </w:p>
        </w:tc>
      </w:tr>
      <w:tr>
        <w:trPr>
          <w:trHeight w:val="198"/>
        </w:trPr>
        <w:tc>
          <w:tcPr>
            <w:tcW w:w="79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3360" w:type="dxa"/>
            <w:vAlign w:val="bottom"/>
          </w:tcPr>
          <w:p>
            <w:pPr>
              <w:jc w:val="right"/>
              <w:spacing w:after="0"/>
              <w:rPr>
                <w:sz w:val="20"/>
                <w:szCs w:val="20"/>
                <w:color w:val="auto"/>
              </w:rPr>
            </w:pPr>
            <w:r>
              <w:rPr>
                <w:rFonts w:ascii="Arial" w:cs="Arial" w:eastAsia="Arial" w:hAnsi="Arial"/>
                <w:sz w:val="16"/>
                <w:szCs w:val="16"/>
                <w:color w:val="auto"/>
              </w:rPr>
              <w:t>3–10 years</w:t>
            </w:r>
          </w:p>
        </w:tc>
      </w:tr>
      <w:tr>
        <w:trPr>
          <w:trHeight w:val="198"/>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Computer hardware and software</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years</w:t>
            </w:r>
          </w:p>
        </w:tc>
      </w:tr>
    </w:tbl>
    <w:p>
      <w:pPr>
        <w:spacing w:after="0" w:line="176"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4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Upon sale or retirement of assets, the cost and related accumulated depreciation is removed from the Consolidated Balance Sheets, and the resulting gain or loss is reflected as a component of operating income.</w:t>
      </w:r>
    </w:p>
    <w:p>
      <w:pPr>
        <w:spacing w:after="0" w:line="16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i w:val="1"/>
          <w:iCs w:val="1"/>
          <w:color w:val="auto"/>
        </w:rPr>
        <w:t xml:space="preserve">Long-Lived Assets Other than Goodwill </w:t>
      </w:r>
      <w:r>
        <w:rPr>
          <w:rFonts w:ascii="Arial" w:cs="Arial" w:eastAsia="Arial" w:hAnsi="Arial"/>
          <w:sz w:val="16"/>
          <w:szCs w:val="16"/>
          <w:color w:val="auto"/>
        </w:rPr>
        <w:t>– We review long-lived assets, including finite-lived intangibles for impairment whenever events or circumstances indicate that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ind w:left="4880"/>
              <w:spacing w:after="0"/>
              <w:rPr>
                <w:sz w:val="20"/>
                <w:szCs w:val="20"/>
                <w:color w:val="auto"/>
              </w:rPr>
            </w:pPr>
            <w:r>
              <w:rPr>
                <w:rFonts w:ascii="Arial" w:cs="Arial" w:eastAsia="Arial" w:hAnsi="Arial"/>
                <w:sz w:val="16"/>
                <w:szCs w:val="16"/>
                <w:color w:val="auto"/>
              </w:rPr>
              <w:t>Sotera Health Company</w:t>
            </w:r>
          </w:p>
        </w:tc>
        <w:tc>
          <w:tcPr>
            <w:tcW w:w="2480" w:type="dxa"/>
            <w:vAlign w:val="bottom"/>
          </w:tcPr>
          <w:p>
            <w:pPr>
              <w:spacing w:after="0"/>
              <w:rPr>
                <w:sz w:val="17"/>
                <w:szCs w:val="17"/>
                <w:color w:val="auto"/>
              </w:rPr>
            </w:pPr>
          </w:p>
        </w:tc>
      </w:tr>
      <w:tr>
        <w:trPr>
          <w:trHeight w:val="233"/>
        </w:trPr>
        <w:tc>
          <w:tcPr>
            <w:tcW w:w="8780" w:type="dxa"/>
            <w:vAlign w:val="bottom"/>
          </w:tcPr>
          <w:p>
            <w:pPr>
              <w:ind w:left="4260"/>
              <w:spacing w:after="0"/>
              <w:rPr>
                <w:sz w:val="20"/>
                <w:szCs w:val="20"/>
                <w:color w:val="auto"/>
              </w:rPr>
            </w:pPr>
            <w:r>
              <w:rPr>
                <w:rFonts w:ascii="Arial" w:cs="Arial" w:eastAsia="Arial" w:hAnsi="Arial"/>
                <w:sz w:val="16"/>
                <w:szCs w:val="16"/>
                <w:color w:val="auto"/>
              </w:rPr>
              <w:t>Notes to Consolidated Financial Statements</w:t>
            </w:r>
          </w:p>
        </w:tc>
        <w:tc>
          <w:tcPr>
            <w:tcW w:w="2480" w:type="dxa"/>
            <w:vAlign w:val="bottom"/>
          </w:tcPr>
          <w:p>
            <w:pPr>
              <w:spacing w:after="0"/>
              <w:rPr>
                <w:sz w:val="20"/>
                <w:szCs w:val="20"/>
                <w:color w:val="auto"/>
              </w:rPr>
            </w:pPr>
          </w:p>
        </w:tc>
      </w:tr>
      <w:tr>
        <w:trPr>
          <w:trHeight w:val="851"/>
        </w:trPr>
        <w:tc>
          <w:tcPr>
            <w:tcW w:w="8780" w:type="dxa"/>
            <w:vAlign w:val="bottom"/>
          </w:tcPr>
          <w:p>
            <w:pPr>
              <w:spacing w:after="0"/>
              <w:rPr>
                <w:sz w:val="20"/>
                <w:szCs w:val="20"/>
                <w:color w:val="auto"/>
              </w:rPr>
            </w:pPr>
            <w:r>
              <w:rPr>
                <w:rFonts w:ascii="Arial" w:cs="Arial" w:eastAsia="Arial" w:hAnsi="Arial"/>
                <w:sz w:val="16"/>
                <w:szCs w:val="16"/>
                <w:color w:val="auto"/>
              </w:rPr>
              <w:t>Amortization of intangible assets is computed using the asset’s estimated useful lives as presented below:</w:t>
            </w:r>
          </w:p>
        </w:tc>
        <w:tc>
          <w:tcPr>
            <w:tcW w:w="2480" w:type="dxa"/>
            <w:vAlign w:val="bottom"/>
          </w:tcPr>
          <w:p>
            <w:pPr>
              <w:spacing w:after="0"/>
              <w:rPr>
                <w:sz w:val="24"/>
                <w:szCs w:val="24"/>
                <w:color w:val="auto"/>
              </w:rPr>
            </w:pPr>
          </w:p>
        </w:tc>
      </w:tr>
      <w:tr>
        <w:trPr>
          <w:trHeight w:val="210"/>
        </w:trPr>
        <w:tc>
          <w:tcPr>
            <w:tcW w:w="87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6"/>
                <w:szCs w:val="16"/>
                <w:color w:val="auto"/>
              </w:rPr>
              <w:t>Land-use rights</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years</w:t>
            </w:r>
          </w:p>
        </w:tc>
      </w:tr>
      <w:tr>
        <w:trPr>
          <w:trHeight w:val="198"/>
        </w:trPr>
        <w:tc>
          <w:tcPr>
            <w:tcW w:w="8780" w:type="dxa"/>
            <w:vAlign w:val="bottom"/>
          </w:tcPr>
          <w:p>
            <w:pPr>
              <w:spacing w:after="0"/>
              <w:rPr>
                <w:sz w:val="20"/>
                <w:szCs w:val="20"/>
                <w:color w:val="auto"/>
              </w:rPr>
            </w:pPr>
            <w:r>
              <w:rPr>
                <w:rFonts w:ascii="Arial" w:cs="Arial" w:eastAsia="Arial" w:hAnsi="Arial"/>
                <w:sz w:val="16"/>
                <w:szCs w:val="16"/>
                <w:color w:val="auto"/>
              </w:rPr>
              <w:t>Customer contracts and related relationships</w:t>
            </w:r>
          </w:p>
        </w:tc>
        <w:tc>
          <w:tcPr>
            <w:tcW w:w="2480" w:type="dxa"/>
            <w:vAlign w:val="bottom"/>
          </w:tcPr>
          <w:p>
            <w:pPr>
              <w:jc w:val="right"/>
              <w:spacing w:after="0"/>
              <w:rPr>
                <w:sz w:val="20"/>
                <w:szCs w:val="20"/>
                <w:color w:val="auto"/>
              </w:rPr>
            </w:pPr>
            <w:r>
              <w:rPr>
                <w:rFonts w:ascii="Arial" w:cs="Arial" w:eastAsia="Arial" w:hAnsi="Arial"/>
                <w:sz w:val="16"/>
                <w:szCs w:val="16"/>
                <w:color w:val="auto"/>
              </w:rPr>
              <w:t>7–20 years</w:t>
            </w: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6"/>
                <w:szCs w:val="16"/>
                <w:color w:val="auto"/>
              </w:rPr>
              <w:t>Proprietary technology</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years</w:t>
            </w:r>
          </w:p>
        </w:tc>
      </w:tr>
      <w:tr>
        <w:trPr>
          <w:trHeight w:val="198"/>
        </w:trPr>
        <w:tc>
          <w:tcPr>
            <w:tcW w:w="8780" w:type="dxa"/>
            <w:vAlign w:val="bottom"/>
          </w:tcPr>
          <w:p>
            <w:pPr>
              <w:spacing w:after="0"/>
              <w:rPr>
                <w:sz w:val="20"/>
                <w:szCs w:val="20"/>
                <w:color w:val="auto"/>
              </w:rPr>
            </w:pPr>
            <w:r>
              <w:rPr>
                <w:rFonts w:ascii="Arial" w:cs="Arial" w:eastAsia="Arial" w:hAnsi="Arial"/>
                <w:sz w:val="16"/>
                <w:szCs w:val="16"/>
                <w:color w:val="auto"/>
              </w:rPr>
              <w:t>Trade name/trademark</w:t>
            </w:r>
          </w:p>
        </w:tc>
        <w:tc>
          <w:tcPr>
            <w:tcW w:w="2480" w:type="dxa"/>
            <w:vAlign w:val="bottom"/>
          </w:tcPr>
          <w:p>
            <w:pPr>
              <w:jc w:val="right"/>
              <w:spacing w:after="0"/>
              <w:rPr>
                <w:sz w:val="20"/>
                <w:szCs w:val="20"/>
                <w:color w:val="auto"/>
              </w:rPr>
            </w:pPr>
            <w:r>
              <w:rPr>
                <w:rFonts w:ascii="Arial" w:cs="Arial" w:eastAsia="Arial" w:hAnsi="Arial"/>
                <w:sz w:val="16"/>
                <w:szCs w:val="16"/>
                <w:color w:val="auto"/>
              </w:rPr>
              <w:t>8 years</w:t>
            </w: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6"/>
                <w:szCs w:val="16"/>
                <w:color w:val="auto"/>
              </w:rPr>
              <w:t>Sealed source and supply agreements</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 years</w:t>
            </w:r>
          </w:p>
        </w:tc>
      </w:tr>
    </w:tbl>
    <w:p>
      <w:pPr>
        <w:spacing w:after="0" w:line="25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We determine if an agreement contains a lease and classify our leases as operating or finance at the lease commencement date. Leases with an initial term of twelve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or less are recognized as lease expense on a straight-line basis over the lease term and are not recorded on the Consolidated Balance Sheets. Non-lease components are accounted for separately from the lease components for all asset classes.</w:t>
      </w:r>
    </w:p>
    <w:p>
      <w:pPr>
        <w:spacing w:after="0" w:line="169"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47"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spacing w:after="0" w:line="174"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i w:val="1"/>
          <w:iCs w:val="1"/>
          <w:color w:val="auto"/>
        </w:rPr>
        <w:t xml:space="preserve">Goodwill and Other Indefinite-Lived Intangibles </w:t>
      </w:r>
      <w:r>
        <w:rPr>
          <w:rFonts w:ascii="Arial" w:cs="Arial" w:eastAsia="Arial" w:hAnsi="Arial"/>
          <w:sz w:val="14"/>
          <w:szCs w:val="14"/>
          <w:color w:val="auto"/>
        </w:rPr>
        <w:t>– Goodwill and other indefinite-lived intangible assets, primarily certain regulatory licenses and tradenames, are tested for</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4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performed a quantitative assessment of all reporting units (Sterigenics, Nordion and Nelson Labs) as of October 1, 2021.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50% as of October 1, 2021.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51"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 commodity price risk,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 risk and interest rate risk related to borrowings.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We also have identified embedded derivatives in certain supply and customer contracts. Certain interest rate caps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i w:val="1"/>
          <w:iCs w:val="1"/>
          <w:color w:val="auto"/>
        </w:rPr>
        <w:t xml:space="preserve">Pension, Post-Retirement and Other Post-Employment Benefit Plans – </w:t>
      </w:r>
      <w:r>
        <w:rPr>
          <w:rFonts w:ascii="Arial" w:cs="Arial" w:eastAsia="Arial" w:hAnsi="Arial"/>
          <w:sz w:val="14"/>
          <w:szCs w:val="14"/>
          <w:color w:val="auto"/>
        </w:rPr>
        <w:t>We sponsor a defined-contribution retirement plan that covers substantially all U.S. employees. We also</w:t>
      </w:r>
      <w:r>
        <w:rPr>
          <w:rFonts w:ascii="Arial" w:cs="Arial" w:eastAsia="Arial" w:hAnsi="Arial"/>
          <w:sz w:val="14"/>
          <w:szCs w:val="14"/>
          <w:i w:val="1"/>
          <w:iCs w:val="1"/>
          <w:color w:val="auto"/>
        </w:rPr>
        <w:t xml:space="preserve"> </w:t>
      </w:r>
      <w:r>
        <w:rPr>
          <w:rFonts w:ascii="Arial" w:cs="Arial" w:eastAsia="Arial" w:hAnsi="Arial"/>
          <w:sz w:val="14"/>
          <w:szCs w:val="14"/>
          <w:color w:val="auto"/>
        </w:rPr>
        <w:t>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43"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17" w:lineRule="exact"/>
        <w:rPr>
          <w:sz w:val="20"/>
          <w:szCs w:val="20"/>
          <w:color w:val="auto"/>
        </w:rPr>
      </w:pPr>
    </w:p>
    <w:p>
      <w:pPr>
        <w:ind w:right="100"/>
        <w:spacing w:after="0" w:line="304" w:lineRule="auto"/>
        <w:rPr>
          <w:sz w:val="20"/>
          <w:szCs w:val="20"/>
          <w:color w:val="auto"/>
        </w:rPr>
      </w:pPr>
      <w:r>
        <w:rPr>
          <w:rFonts w:ascii="Arial" w:cs="Arial" w:eastAsia="Arial" w:hAnsi="Arial"/>
          <w:sz w:val="13"/>
          <w:szCs w:val="13"/>
          <w:color w:val="auto"/>
        </w:rPr>
        <w:t>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plans in Note 12, “Employee Benefits”</w:t>
      </w:r>
      <w:r>
        <w:rPr>
          <w:rFonts w:ascii="Arial" w:cs="Arial" w:eastAsia="Arial" w:hAnsi="Arial"/>
          <w:sz w:val="18"/>
          <w:szCs w:val="18"/>
          <w:color w:val="auto"/>
        </w:rPr>
        <w:t>.</w:t>
      </w:r>
    </w:p>
    <w:p>
      <w:pPr>
        <w:spacing w:after="0" w:line="19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i w:val="1"/>
          <w:iCs w:val="1"/>
          <w:color w:val="auto"/>
        </w:rPr>
        <w:t xml:space="preserve">Asset Retirement Obligations (“ARO”) </w:t>
      </w:r>
      <w:r>
        <w:rPr>
          <w:rFonts w:ascii="Arial" w:cs="Arial" w:eastAsia="Arial" w:hAnsi="Arial"/>
          <w:sz w:val="14"/>
          <w:szCs w:val="14"/>
          <w:color w:val="auto"/>
        </w:rPr>
        <w:t>– ARO are legal obligations associated with the retirement of long-lived assets or the exit of a leased facility. We recognize a liability for an</w:t>
      </w:r>
      <w:r>
        <w:rPr>
          <w:rFonts w:ascii="Arial" w:cs="Arial" w:eastAsia="Arial" w:hAnsi="Arial"/>
          <w:sz w:val="14"/>
          <w:szCs w:val="14"/>
          <w:i w:val="1"/>
          <w:iCs w:val="1"/>
          <w:color w:val="auto"/>
        </w:rPr>
        <w:t xml:space="preserve"> </w:t>
      </w:r>
      <w:r>
        <w:rPr>
          <w:rFonts w:ascii="Arial" w:cs="Arial" w:eastAsia="Arial" w:hAnsi="Arial"/>
          <w:sz w:val="14"/>
          <w:szCs w:val="14"/>
          <w:color w:val="auto"/>
        </w:rPr>
        <w:t>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4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i w:val="1"/>
          <w:iCs w:val="1"/>
          <w:color w:val="auto"/>
        </w:rPr>
        <w:t xml:space="preserve">Debt Issuance Costs, Premiums and Discounts </w:t>
      </w:r>
      <w:r>
        <w:rPr>
          <w:rFonts w:ascii="Arial" w:cs="Arial" w:eastAsia="Arial" w:hAnsi="Arial"/>
          <w:sz w:val="16"/>
          <w:szCs w:val="16"/>
          <w:color w:val="auto"/>
        </w:rPr>
        <w:t>– We have incurred costs in connection with obtaining financing as well as premiums and discounts associated with our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Concentration of Credit Risk, Other Risks and Uncertainties </w:t>
      </w:r>
      <w:r>
        <w:rPr>
          <w:rFonts w:ascii="Arial" w:cs="Arial" w:eastAsia="Arial" w:hAnsi="Arial"/>
          <w:sz w:val="16"/>
          <w:szCs w:val="16"/>
          <w:color w:val="auto"/>
        </w:rPr>
        <w:t>– We maintain cash and cash equivalents in the form of demand deposits in accounts with major financial institutions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and in countries where our subsidiaries operate. Deposits in these institutions may exceed amounts of insurance provided on such accounts. We have not experienced any losses on our deposits of cash and cash equivalents.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net revenues and accounts receivable are derived from customers located primarily in North America and Europe.</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No customer accounted for 10% or more of accounts receivable at December 31, 2021 and 2020, or 10% or more of net revenues for the years ended December 31, 2021, 2020 and 2019.</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80"/>
        <w:spacing w:after="0" w:line="295"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–We use the liability method of accounting for income taxes whereby we recognize deferred tax assets and liabilities for the future tax consequences of temporary</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policy is to recognize interest and penalties related to income tax matters as a component of the provision for income taxes in our Consolidated Statements of Operations and Comprehensive Income (Loss).</w:t>
      </w:r>
    </w:p>
    <w:p>
      <w:pPr>
        <w:spacing w:after="0" w:line="162" w:lineRule="exact"/>
        <w:rPr>
          <w:sz w:val="20"/>
          <w:szCs w:val="20"/>
          <w:color w:val="auto"/>
        </w:rPr>
      </w:pPr>
    </w:p>
    <w:p>
      <w:pPr>
        <w:ind w:right="220"/>
        <w:spacing w:after="0" w:line="304" w:lineRule="auto"/>
        <w:rPr>
          <w:sz w:val="20"/>
          <w:szCs w:val="20"/>
          <w:color w:val="auto"/>
        </w:rPr>
      </w:pPr>
      <w:r>
        <w:rPr>
          <w:rFonts w:ascii="Arial" w:cs="Arial" w:eastAsia="Arial" w:hAnsi="Arial"/>
          <w:sz w:val="14"/>
          <w:szCs w:val="14"/>
          <w:i w:val="1"/>
          <w:iCs w:val="1"/>
          <w:color w:val="auto"/>
        </w:rPr>
        <w:t xml:space="preserve">Foreign Currency Translation </w:t>
      </w:r>
      <w:r>
        <w:rPr>
          <w:rFonts w:ascii="Arial" w:cs="Arial" w:eastAsia="Arial" w:hAnsi="Arial"/>
          <w:sz w:val="14"/>
          <w:szCs w:val="14"/>
          <w:color w:val="auto"/>
        </w:rPr>
        <w:t>– The functional currency of our foreign subsidiaries is generally the local currency. Accordingly, assets and liabilities are generally translated into</w:t>
      </w:r>
      <w:r>
        <w:rPr>
          <w:rFonts w:ascii="Arial" w:cs="Arial" w:eastAsia="Arial" w:hAnsi="Arial"/>
          <w:sz w:val="14"/>
          <w:szCs w:val="14"/>
          <w:i w:val="1"/>
          <w:iCs w:val="1"/>
          <w:color w:val="auto"/>
        </w:rPr>
        <w:t xml:space="preserve"> </w:t>
      </w:r>
      <w:r>
        <w:rPr>
          <w:rFonts w:ascii="Arial" w:cs="Arial" w:eastAsia="Arial" w:hAnsi="Arial"/>
          <w:sz w:val="14"/>
          <w:szCs w:val="14"/>
          <w:color w:val="auto"/>
        </w:rPr>
        <w:t>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w:t>
      </w:r>
    </w:p>
    <w:p>
      <w:pPr>
        <w:spacing w:after="0" w:line="134"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Gains or losses arising from foreign currency transactions are recognized in the Consolidated Statements of Operations and Comprehensive Income (Loss) as foreign exchange loss (gain). Beginning in the fourth quarter of 2020, the Company began entering into monthly U.S. dollar-denominated foreign currency forward contracts to manage foreign currency exchange rate risk of our intercompany loans in certain of our international subsidiaries. For the year ended December 31, 2021, foreign exchange loss in our Consolidated Statements of Operations and Comprehensive Income (Loss) related primarily to short-term losses (offset by short-term gains) on sales denominated in currencies other than the functional currency of our operating entities. In the years ended December 31, 2020 and 2019, foreign exchange (gain) loss related primarily to U.S. dollar denominated intercompany indebtedness with certain of our European and Canadian subsidiaries.</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 Revenue is recognized when control of promised goods or services is transferred to customers in an amount that reflects the consideration to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Company expects to be entitled in exchange for those goods or services. Effective January 1, 2019, we adopted Accounting Standards Update (“ASU”) 2014-09, </w:t>
      </w:r>
      <w:r>
        <w:rPr>
          <w:rFonts w:ascii="Arial" w:cs="Arial" w:eastAsia="Arial" w:hAnsi="Arial"/>
          <w:sz w:val="14"/>
          <w:szCs w:val="14"/>
          <w:i w:val="1"/>
          <w:iCs w:val="1"/>
          <w:color w:val="auto"/>
        </w:rPr>
        <w:t>Revenue from</w:t>
      </w:r>
      <w:r>
        <w:rPr>
          <w:rFonts w:ascii="Arial" w:cs="Arial" w:eastAsia="Arial" w:hAnsi="Arial"/>
          <w:sz w:val="14"/>
          <w:szCs w:val="14"/>
          <w:color w:val="auto"/>
        </w:rPr>
        <w:t xml:space="preserve"> </w:t>
      </w:r>
      <w:r>
        <w:rPr>
          <w:rFonts w:ascii="Arial" w:cs="Arial" w:eastAsia="Arial" w:hAnsi="Arial"/>
          <w:sz w:val="14"/>
          <w:szCs w:val="14"/>
          <w:i w:val="1"/>
          <w:iCs w:val="1"/>
          <w:color w:val="auto"/>
        </w:rPr>
        <w:t>Contracts with Customers</w:t>
      </w:r>
      <w:r>
        <w:rPr>
          <w:rFonts w:ascii="Arial" w:cs="Arial" w:eastAsia="Arial" w:hAnsi="Arial"/>
          <w:sz w:val="14"/>
          <w:szCs w:val="14"/>
          <w:color w:val="auto"/>
        </w:rPr>
        <w:t>, and all related amendments. The impact of the adoption of the new revenue requirements resulted in a cumulative-effect adjustment to retained earnings</w:t>
      </w:r>
      <w:r>
        <w:rPr>
          <w:rFonts w:ascii="Arial" w:cs="Arial" w:eastAsia="Arial" w:hAnsi="Arial"/>
          <w:sz w:val="14"/>
          <w:szCs w:val="14"/>
          <w:i w:val="1"/>
          <w:iCs w:val="1"/>
          <w:color w:val="auto"/>
        </w:rPr>
        <w:t xml:space="preserve"> </w:t>
      </w:r>
      <w:r>
        <w:rPr>
          <w:rFonts w:ascii="Arial" w:cs="Arial" w:eastAsia="Arial" w:hAnsi="Arial"/>
          <w:sz w:val="14"/>
          <w:szCs w:val="14"/>
          <w:color w:val="auto"/>
        </w:rPr>
        <w:t>of $2.6 million upon adoption on January 1, 2019. The majority of our sales agreements contain performance obligations satisfied at a point-in-time when control of promised 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Refunds, returns, warranties and other related obligations are not material to any of our segments, nor do we incur material incremental costs to secure customer contracts.</w:t>
      </w:r>
    </w:p>
    <w:p>
      <w:pPr>
        <w:spacing w:after="0" w:line="212"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2"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do not capitalize sales commissions as substantially all of our sales commission programs have an amortization period of one year or less. Furthermore, costs to fulfill a contract are not material.</w:t>
      </w:r>
    </w:p>
    <w:p>
      <w:pPr>
        <w:spacing w:after="0" w:line="16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72"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4"/>
          <w:szCs w:val="14"/>
          <w:i w:val="1"/>
          <w:iCs w:val="1"/>
          <w:color w:val="auto"/>
        </w:rPr>
        <w:t xml:space="preserve">Share-Based Compensation </w:t>
      </w:r>
      <w:r>
        <w:rPr>
          <w:rFonts w:ascii="Arial" w:cs="Arial" w:eastAsia="Arial" w:hAnsi="Arial"/>
          <w:sz w:val="14"/>
          <w:szCs w:val="14"/>
          <w:color w:val="auto"/>
        </w:rPr>
        <w:t>– Equity-based awards issued to employees under the Sotera Health Company 2020 Omnibus Incentive Plan (“2020 Plan”) include restricted stock units</w:t>
      </w:r>
      <w:r>
        <w:rPr>
          <w:rFonts w:ascii="Arial" w:cs="Arial" w:eastAsia="Arial" w:hAnsi="Arial"/>
          <w:sz w:val="14"/>
          <w:szCs w:val="14"/>
          <w:i w:val="1"/>
          <w:iCs w:val="1"/>
          <w:color w:val="auto"/>
        </w:rPr>
        <w:t xml:space="preserve"> </w:t>
      </w:r>
      <w:r>
        <w:rPr>
          <w:rFonts w:ascii="Arial" w:cs="Arial" w:eastAsia="Arial" w:hAnsi="Arial"/>
          <w:sz w:val="14"/>
          <w:szCs w:val="14"/>
          <w:color w:val="auto"/>
        </w:rPr>
        <w:t>(“RSUs”) and stock options, which vest over time. Prior to our initial public offering (the “IPO” as described in Note 15, “Stockholders' Equity”), equity-based awards were issued to service providers (including employees and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15, “Stockholders' Equity”. The restricted shares of our common stock distributed in respect of pre-IPO time vesting awards vest through June 2025; expense related to these unvested awards will be recognized over the remaining vesting period. Expense attributable to the performance awards was recognized in its entirety in the year ended December 31, 2020 as the related performance conditions were considered probable of achievement and the implied service condition was met. Share-based compensation expense is recognized in the Consolidated Statements of Operations and Comprehensive Income (Loss), primarily within “Selling, general and administrative expenses” at the grant date fair value over the requisite service period (typically four years for awards granted under the 2020 Plan and five years for time vesting pre-IPO awards on a straight-line basis).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post-IPO stock options using certain valuation assumptions. Share-based compensation expense for all awards recognizes forfeitures as they occur.</w:t>
      </w:r>
    </w:p>
    <w:p>
      <w:pPr>
        <w:spacing w:after="0" w:line="152"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i w:val="1"/>
          <w:iCs w:val="1"/>
          <w:color w:val="auto"/>
        </w:rPr>
        <w:t xml:space="preserve">Earnings (Loss) Per Share </w:t>
      </w:r>
      <w:r>
        <w:rPr>
          <w:rFonts w:ascii="Arial" w:cs="Arial" w:eastAsia="Arial" w:hAnsi="Arial"/>
          <w:sz w:val="16"/>
          <w:szCs w:val="16"/>
          <w:color w:val="auto"/>
        </w:rPr>
        <w:t>– In periods in which the Company has net income, earnings per share information is determined using the two-class method, which includes the</w:t>
      </w:r>
      <w:r>
        <w:rPr>
          <w:rFonts w:ascii="Arial" w:cs="Arial" w:eastAsia="Arial" w:hAnsi="Arial"/>
          <w:sz w:val="16"/>
          <w:szCs w:val="16"/>
          <w:i w:val="1"/>
          <w:iCs w:val="1"/>
          <w:color w:val="auto"/>
        </w:rPr>
        <w:t xml:space="preserve"> </w:t>
      </w:r>
      <w:r>
        <w:rPr>
          <w:rFonts w:ascii="Arial" w:cs="Arial" w:eastAsia="Arial" w:hAnsi="Arial"/>
          <w:sz w:val="16"/>
          <w:szCs w:val="16"/>
          <w:color w:val="auto"/>
        </w:rPr>
        <w:t>weighted-average number of common shares outstanding during the period and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1" w:name="page82"/>
    <w:bookmarkEnd w:id="81"/>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right="80"/>
        <w:spacing w:after="0" w:line="286" w:lineRule="auto"/>
        <w:rPr>
          <w:sz w:val="20"/>
          <w:szCs w:val="20"/>
          <w:color w:val="auto"/>
        </w:rPr>
      </w:pPr>
      <w:r>
        <w:rPr>
          <w:rFonts w:ascii="Arial" w:cs="Arial" w:eastAsia="Arial" w:hAnsi="Arial"/>
          <w:sz w:val="14"/>
          <w:szCs w:val="14"/>
          <w:color w:val="auto"/>
        </w:rPr>
        <w:t>securities that participate in dividends (“participating securities”). Our unvested restricted common stock distributed in respect of pre-IPO Class B-1 and B-2 awards have the right to receive non-forfeitable dividends or dividend equivalents if the Company were to declare dividends on its common stock. Under the two-class method, earnings are allocated to both common stock shares and participating securities based on their respective weighted-average shares outstanding for the period. Diluted earnings (loss)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earnings per share until the period in which the vesting condition is satisfied. In periods in which the Company has a net loss, the two-class method is not applicable because the pre-IPO Class B-1 and B-2 restricted stock awards do not participate in losses. Refer to Note 17, “Earnings (Loss) Per Share” for additional information.</w:t>
      </w:r>
    </w:p>
    <w:p>
      <w:pPr>
        <w:spacing w:after="0" w:line="149" w:lineRule="exact"/>
        <w:rPr>
          <w:sz w:val="20"/>
          <w:szCs w:val="20"/>
          <w:color w:val="auto"/>
        </w:rPr>
      </w:pPr>
    </w:p>
    <w:p>
      <w:pPr>
        <w:ind w:left="7" w:right="80"/>
        <w:spacing w:after="0" w:line="251" w:lineRule="auto"/>
        <w:rPr>
          <w:sz w:val="20"/>
          <w:szCs w:val="20"/>
          <w:color w:val="auto"/>
        </w:rPr>
      </w:pPr>
      <w:r>
        <w:rPr>
          <w:rFonts w:ascii="Arial" w:cs="Arial" w:eastAsia="Arial" w:hAnsi="Arial"/>
          <w:sz w:val="16"/>
          <w:szCs w:val="16"/>
          <w:i w:val="1"/>
          <w:iCs w:val="1"/>
          <w:color w:val="auto"/>
        </w:rPr>
        <w:t xml:space="preserve">Treasury Stock </w:t>
      </w:r>
      <w:r>
        <w:rPr>
          <w:rFonts w:ascii="Arial" w:cs="Arial" w:eastAsia="Arial" w:hAnsi="Arial"/>
          <w:sz w:val="16"/>
          <w:szCs w:val="16"/>
          <w:color w:val="auto"/>
        </w:rPr>
        <w:t>– The Company records repurchases of its own common stock at cost. Repurchased common stock is presented as a reduction of equity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The difference between the repurchase and reissue price of the Company’s own stock is added to or deducted from additional paid-in capital. The cost of Treasury Stock reissued is calculated using a weighted average cost method.</w:t>
      </w:r>
    </w:p>
    <w:p>
      <w:pPr>
        <w:spacing w:after="0" w:line="169" w:lineRule="exact"/>
        <w:rPr>
          <w:sz w:val="20"/>
          <w:szCs w:val="20"/>
          <w:color w:val="auto"/>
        </w:rPr>
      </w:pPr>
    </w:p>
    <w:p>
      <w:pPr>
        <w:ind w:left="7" w:right="40"/>
        <w:spacing w:after="0" w:line="291" w:lineRule="auto"/>
        <w:rPr>
          <w:sz w:val="20"/>
          <w:szCs w:val="20"/>
          <w:color w:val="auto"/>
        </w:rPr>
      </w:pPr>
      <w:r>
        <w:rPr>
          <w:rFonts w:ascii="Arial" w:cs="Arial" w:eastAsia="Arial" w:hAnsi="Arial"/>
          <w:sz w:val="14"/>
          <w:szCs w:val="14"/>
          <w:i w:val="1"/>
          <w:iCs w:val="1"/>
          <w:color w:val="auto"/>
        </w:rPr>
        <w:t xml:space="preserve">Commitments and Contingencies </w:t>
      </w:r>
      <w:r>
        <w:rPr>
          <w:rFonts w:ascii="Arial" w:cs="Arial" w:eastAsia="Arial" w:hAnsi="Arial"/>
          <w:sz w:val="14"/>
          <w:szCs w:val="14"/>
          <w:color w:val="auto"/>
        </w:rPr>
        <w:t>– Certain conditions may exist as of the date of the consolidated financial statements which may result in a loss to the Company but will only be</w:t>
      </w:r>
      <w:r>
        <w:rPr>
          <w:rFonts w:ascii="Arial" w:cs="Arial" w:eastAsia="Arial" w:hAnsi="Arial"/>
          <w:sz w:val="14"/>
          <w:szCs w:val="14"/>
          <w:i w:val="1"/>
          <w:iCs w:val="1"/>
          <w:color w:val="auto"/>
        </w:rPr>
        <w:t xml:space="preserve"> </w:t>
      </w:r>
      <w:r>
        <w:rPr>
          <w:rFonts w:ascii="Arial" w:cs="Arial" w:eastAsia="Arial" w:hAnsi="Arial"/>
          <w:sz w:val="14"/>
          <w:szCs w:val="14"/>
          <w:color w:val="auto"/>
        </w:rPr>
        <w:t>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30" w:lineRule="exact"/>
        <w:rPr>
          <w:sz w:val="20"/>
          <w:szCs w:val="20"/>
          <w:color w:val="auto"/>
        </w:rPr>
      </w:pPr>
    </w:p>
    <w:p>
      <w:pPr>
        <w:ind w:left="287" w:hanging="287"/>
        <w:spacing w:after="0"/>
        <w:tabs>
          <w:tab w:leader="none" w:pos="28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Standards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ASU’s Issued But Not Yet Adopted</w:t>
      </w:r>
    </w:p>
    <w:p>
      <w:pPr>
        <w:spacing w:after="0" w:line="189"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 xml:space="preserve">In June 2016, the Financial Accounting Standards Board (“FASB”) issued </w:t>
      </w:r>
      <w:r>
        <w:rPr>
          <w:rFonts w:ascii="Arial" w:cs="Arial" w:eastAsia="Arial" w:hAnsi="Arial"/>
          <w:sz w:val="14"/>
          <w:szCs w:val="14"/>
          <w:i w:val="1"/>
          <w:iCs w:val="1"/>
          <w:color w:val="auto"/>
        </w:rPr>
        <w:t>ASU 2016-13, Financial Instruments – Credit Losses</w:t>
      </w:r>
      <w:r>
        <w:rPr>
          <w:rFonts w:ascii="Arial" w:cs="Arial" w:eastAsia="Arial" w:hAnsi="Arial"/>
          <w:sz w:val="14"/>
          <w:szCs w:val="14"/>
          <w:color w:val="auto"/>
        </w:rPr>
        <w:t xml:space="preserve"> (“ASU 2016-13”): </w:t>
      </w:r>
      <w:r>
        <w:rPr>
          <w:rFonts w:ascii="Arial" w:cs="Arial" w:eastAsia="Arial" w:hAnsi="Arial"/>
          <w:sz w:val="14"/>
          <w:szCs w:val="14"/>
          <w:i w:val="1"/>
          <w:iCs w:val="1"/>
          <w:color w:val="auto"/>
        </w:rPr>
        <w:t>Measurement of Credit Losses 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Instruments, </w:t>
      </w:r>
      <w:r>
        <w:rPr>
          <w:rFonts w:ascii="Arial" w:cs="Arial" w:eastAsia="Arial" w:hAnsi="Arial"/>
          <w:sz w:val="14"/>
          <w:szCs w:val="14"/>
          <w:color w:val="auto"/>
        </w:rPr>
        <w:t>and subsequently issued additional guidance that modified ASU 2016-13. The standard requires an entity to change its accounting approach in determining</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As our emerging growth company status ended as of December 31, 2021, the standard will be effective for the Company as of January 1, 2022. The adoption of this standard is not expected to have a material impact on our consolidated financial statements and disclosures. We will adopt this standard as required on January 1, 2022.</w:t>
      </w:r>
    </w:p>
    <w:p>
      <w:pPr>
        <w:spacing w:after="0" w:line="147" w:lineRule="exact"/>
        <w:rPr>
          <w:sz w:val="20"/>
          <w:szCs w:val="20"/>
          <w:color w:val="auto"/>
        </w:rPr>
      </w:pPr>
    </w:p>
    <w:p>
      <w:pPr>
        <w:ind w:left="7" w:right="300"/>
        <w:spacing w:after="0" w:line="295" w:lineRule="auto"/>
        <w:rPr>
          <w:sz w:val="20"/>
          <w:szCs w:val="20"/>
          <w:color w:val="auto"/>
        </w:rPr>
      </w:pPr>
      <w:r>
        <w:rPr>
          <w:rFonts w:ascii="Arial" w:cs="Arial" w:eastAsia="Arial" w:hAnsi="Arial"/>
          <w:sz w:val="14"/>
          <w:szCs w:val="14"/>
          <w:color w:val="auto"/>
        </w:rPr>
        <w:t xml:space="preserve">In December 2020, the FASB issued </w:t>
      </w:r>
      <w:r>
        <w:rPr>
          <w:rFonts w:ascii="Arial" w:cs="Arial" w:eastAsia="Arial" w:hAnsi="Arial"/>
          <w:sz w:val="14"/>
          <w:szCs w:val="14"/>
          <w:i w:val="1"/>
          <w:iCs w:val="1"/>
          <w:color w:val="auto"/>
        </w:rPr>
        <w:t>ASU 2019-12 - Income Taxes (Topic 740): Simplifying the Accounting for Income Taxes</w:t>
      </w:r>
      <w:r>
        <w:rPr>
          <w:rFonts w:ascii="Arial" w:cs="Arial" w:eastAsia="Arial" w:hAnsi="Arial"/>
          <w:sz w:val="14"/>
          <w:szCs w:val="14"/>
          <w:color w:val="auto"/>
        </w:rPr>
        <w:t>. The standard simplifies the accounting for income taxes and makes a number of changes meant to add or clarify guidance on accounting for income taxes. This update is effective for the Company’s annual financial statement periods beginning after December 15, 2021 and interim periods beginning after December 15, 2022, with early adoption permitted in any interim period for which financial statements have not yet been filed. The adoption of this standard is not expected to have a material impact on our consolidated financial statements and disclosures.</w:t>
      </w:r>
    </w:p>
    <w:p>
      <w:pPr>
        <w:spacing w:after="0" w:line="141" w:lineRule="exact"/>
        <w:rPr>
          <w:sz w:val="20"/>
          <w:szCs w:val="20"/>
          <w:color w:val="auto"/>
        </w:rPr>
      </w:pPr>
    </w:p>
    <w:p>
      <w:pPr>
        <w:ind w:left="7" w:right="100"/>
        <w:spacing w:after="0" w:line="288" w:lineRule="auto"/>
        <w:rPr>
          <w:sz w:val="20"/>
          <w:szCs w:val="20"/>
          <w:color w:val="auto"/>
        </w:rPr>
      </w:pPr>
      <w:r>
        <w:rPr>
          <w:rFonts w:ascii="Arial" w:cs="Arial" w:eastAsia="Arial" w:hAnsi="Arial"/>
          <w:sz w:val="14"/>
          <w:szCs w:val="14"/>
          <w:color w:val="auto"/>
        </w:rPr>
        <w:t xml:space="preserve">In October 2021, the FASB issued </w:t>
      </w:r>
      <w:r>
        <w:rPr>
          <w:rFonts w:ascii="Arial" w:cs="Arial" w:eastAsia="Arial" w:hAnsi="Arial"/>
          <w:sz w:val="14"/>
          <w:szCs w:val="14"/>
          <w:i w:val="1"/>
          <w:iCs w:val="1"/>
          <w:color w:val="auto"/>
        </w:rPr>
        <w:t>ASU 2021-08 - Business Combinations (Topic 805): Accounting for Contract Assets and Contract Liabilities from Contracts with Customers</w:t>
      </w:r>
      <w:r>
        <w:rPr>
          <w:rFonts w:ascii="Arial" w:cs="Arial" w:eastAsia="Arial" w:hAnsi="Arial"/>
          <w:sz w:val="14"/>
          <w:szCs w:val="14"/>
          <w:color w:val="auto"/>
        </w:rPr>
        <w:t xml:space="preserve"> (“ASU 2021-08”). The amendments in ASU 2021-08 require that an acquiring entity recognize and measure contract assets and contract liabilities acquired in a business combination in accordance with Accounting Standards (“ASC”) Topic 606, Revenue from Contract with Customers (“ASC Topic 606”). At the acquisition date, an acquirer should account for the related revenue contracts in accordance with ASC Topic 606 as if it had originated the contracts. For public business entities, these amendments are effective for fiscal years beginning after December 15, 2022, including interim periods within those fiscal years. We are currently assessing the effect that ASU 2021-08 will have on our financial position, results of operations, and disclosures.</w:t>
      </w: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82" w:name="page83"/>
    <w:bookmarkEnd w:id="82"/>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7" w:hanging="287"/>
        <w:spacing w:after="0"/>
        <w:tabs>
          <w:tab w:leader="none" w:pos="28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102" w:lineRule="exact"/>
        <w:rPr>
          <w:sz w:val="20"/>
          <w:szCs w:val="20"/>
          <w:color w:val="auto"/>
        </w:rPr>
      </w:pPr>
    </w:p>
    <w:p>
      <w:pPr>
        <w:ind w:left="7" w:right="200"/>
        <w:spacing w:after="0" w:line="259" w:lineRule="auto"/>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years ended December 31, 2021, 2020 and 2019:</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b w:val="1"/>
                <w:bCs w:val="1"/>
                <w:color w:val="auto"/>
              </w:rPr>
              <w:t>Year Ended December 31, 2021</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9"/>
        </w:trPr>
        <w:tc>
          <w:tcPr>
            <w:tcW w:w="5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Sterigenics</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Nordion</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Nelson Labs</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Consolidated</w:t>
            </w: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Point in time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571,829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710,964</w:t>
            </w:r>
          </w:p>
        </w:tc>
      </w:tr>
      <w:tr>
        <w:trPr>
          <w:trHeight w:val="198"/>
        </w:trPr>
        <w:tc>
          <w:tcPr>
            <w:tcW w:w="5540" w:type="dxa"/>
            <w:vAlign w:val="bottom"/>
          </w:tcPr>
          <w:p>
            <w:pPr>
              <w:spacing w:after="0"/>
              <w:rPr>
                <w:sz w:val="20"/>
                <w:szCs w:val="20"/>
                <w:color w:val="auto"/>
              </w:rPr>
            </w:pPr>
            <w:r>
              <w:rPr>
                <w:rFonts w:ascii="Arial" w:cs="Arial" w:eastAsia="Arial" w:hAnsi="Arial"/>
                <w:sz w:val="16"/>
                <w:szCs w:val="16"/>
                <w:b w:val="1"/>
                <w:bCs w:val="1"/>
                <w:color w:val="auto"/>
              </w:rPr>
              <w:t>Over time</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219,142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220,514</w:t>
            </w:r>
          </w:p>
        </w:tc>
      </w:tr>
      <w:tr>
        <w:trPr>
          <w:trHeight w:val="215"/>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571,829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140,507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219,142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931,478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5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b w:val="1"/>
                <w:bCs w:val="1"/>
                <w:color w:val="auto"/>
              </w:rPr>
              <w:t>Year Ended December 31, 2020</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9"/>
        </w:trPr>
        <w:tc>
          <w:tcPr>
            <w:tcW w:w="5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Sterigenics</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Nordion</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Nelson Labs</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Consolidated</w:t>
            </w: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Point in time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498,773</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114,745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613,518</w:t>
            </w:r>
          </w:p>
        </w:tc>
      </w:tr>
      <w:tr>
        <w:trPr>
          <w:trHeight w:val="198"/>
        </w:trPr>
        <w:tc>
          <w:tcPr>
            <w:tcW w:w="5540" w:type="dxa"/>
            <w:vAlign w:val="bottom"/>
          </w:tcPr>
          <w:p>
            <w:pPr>
              <w:spacing w:after="0"/>
              <w:rPr>
                <w:sz w:val="20"/>
                <w:szCs w:val="20"/>
                <w:color w:val="auto"/>
              </w:rPr>
            </w:pPr>
            <w:r>
              <w:rPr>
                <w:rFonts w:ascii="Arial" w:cs="Arial" w:eastAsia="Arial" w:hAnsi="Arial"/>
                <w:sz w:val="16"/>
                <w:szCs w:val="16"/>
                <w:b w:val="1"/>
                <w:bCs w:val="1"/>
                <w:color w:val="auto"/>
              </w:rPr>
              <w:t>Over time</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204,640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204,640</w:t>
            </w:r>
          </w:p>
        </w:tc>
      </w:tr>
      <w:tr>
        <w:trPr>
          <w:trHeight w:val="215"/>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498,773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204,640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818,158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04"/>
        </w:trPr>
        <w:tc>
          <w:tcPr>
            <w:tcW w:w="5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b w:val="1"/>
                <w:bCs w:val="1"/>
                <w:color w:val="auto"/>
              </w:rPr>
              <w:t>Year Ended December 31, 2019</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9"/>
        </w:trPr>
        <w:tc>
          <w:tcPr>
            <w:tcW w:w="5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Sterigenics</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Nordion</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Nelson Labs</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Consolidated</w:t>
            </w: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Point in time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471,708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116,165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587,873</w:t>
            </w:r>
          </w:p>
        </w:tc>
      </w:tr>
      <w:tr>
        <w:trPr>
          <w:trHeight w:val="198"/>
        </w:trPr>
        <w:tc>
          <w:tcPr>
            <w:tcW w:w="5540" w:type="dxa"/>
            <w:vAlign w:val="bottom"/>
          </w:tcPr>
          <w:p>
            <w:pPr>
              <w:spacing w:after="0"/>
              <w:rPr>
                <w:sz w:val="20"/>
                <w:szCs w:val="20"/>
                <w:color w:val="auto"/>
              </w:rPr>
            </w:pPr>
            <w:r>
              <w:rPr>
                <w:rFonts w:ascii="Arial" w:cs="Arial" w:eastAsia="Arial" w:hAnsi="Arial"/>
                <w:sz w:val="16"/>
                <w:szCs w:val="16"/>
                <w:b w:val="1"/>
                <w:bCs w:val="1"/>
                <w:color w:val="auto"/>
              </w:rPr>
              <w:t>Over time</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190,454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190,454</w:t>
            </w:r>
          </w:p>
        </w:tc>
      </w:tr>
      <w:tr>
        <w:trPr>
          <w:trHeight w:val="215"/>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471,708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116,165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190,454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778,327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Contract Balances</w:t>
      </w:r>
    </w:p>
    <w:p>
      <w:pPr>
        <w:spacing w:after="0" w:line="96" w:lineRule="exact"/>
        <w:rPr>
          <w:sz w:val="20"/>
          <w:szCs w:val="20"/>
          <w:color w:val="auto"/>
        </w:rPr>
      </w:pPr>
    </w:p>
    <w:p>
      <w:pPr>
        <w:ind w:left="7" w:right="200"/>
        <w:spacing w:after="0" w:line="259" w:lineRule="auto"/>
        <w:rPr>
          <w:sz w:val="20"/>
          <w:szCs w:val="20"/>
          <w:color w:val="auto"/>
        </w:rPr>
      </w:pPr>
      <w:r>
        <w:rPr>
          <w:rFonts w:ascii="Arial" w:cs="Arial" w:eastAsia="Arial" w:hAnsi="Arial"/>
          <w:sz w:val="16"/>
          <w:szCs w:val="16"/>
          <w:color w:val="auto"/>
        </w:rPr>
        <w:t>As of December 31, 2021 and 2020, contract assets included in prepaid expenses and other current assets on the Consolidated Balance Sheets totaled approximately $15.6 million and $12.7 million, respectively, resulting from revenue recognized over time in excess of the amount billed to the customer.</w:t>
      </w:r>
    </w:p>
    <w:p>
      <w:pPr>
        <w:spacing w:after="0" w:line="162" w:lineRule="exact"/>
        <w:rPr>
          <w:sz w:val="20"/>
          <w:szCs w:val="20"/>
          <w:color w:val="auto"/>
        </w:rPr>
      </w:pPr>
    </w:p>
    <w:p>
      <w:pPr>
        <w:jc w:val="both"/>
        <w:ind w:left="7" w:right="160"/>
        <w:spacing w:after="0" w:line="25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$8.7 million and $6.1 million at December 31, 2021 and 2020, respectively. We recognize deferred revenue after we have transferred control of the goods or services to the customer and all revenue recognition criteria are met.</w:t>
      </w:r>
    </w:p>
    <w:p>
      <w:pPr>
        <w:spacing w:after="0" w:line="256" w:lineRule="exact"/>
        <w:rPr>
          <w:sz w:val="20"/>
          <w:szCs w:val="20"/>
          <w:color w:val="auto"/>
        </w:rPr>
      </w:pPr>
    </w:p>
    <w:p>
      <w:pPr>
        <w:ind w:left="287" w:hanging="287"/>
        <w:spacing w:after="0"/>
        <w:tabs>
          <w:tab w:leader="none" w:pos="28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Acquisition of Regulatory Compliance Associates Inc.</w:t>
      </w:r>
    </w:p>
    <w:p>
      <w:pPr>
        <w:spacing w:after="0" w:line="189" w:lineRule="exact"/>
        <w:rPr>
          <w:sz w:val="20"/>
          <w:szCs w:val="20"/>
          <w:color w:val="auto"/>
        </w:rPr>
      </w:pPr>
    </w:p>
    <w:p>
      <w:pPr>
        <w:ind w:left="7" w:right="40"/>
        <w:spacing w:after="0" w:line="304" w:lineRule="auto"/>
        <w:rPr>
          <w:sz w:val="20"/>
          <w:szCs w:val="20"/>
          <w:color w:val="auto"/>
        </w:rPr>
      </w:pPr>
      <w:r>
        <w:rPr>
          <w:rFonts w:ascii="Arial" w:cs="Arial" w:eastAsia="Arial" w:hAnsi="Arial"/>
          <w:sz w:val="14"/>
          <w:szCs w:val="14"/>
          <w:color w:val="auto"/>
        </w:rPr>
        <w:t>On November 4, 2021, we acquired Regulatory Compliance Associates Inc. (“RCA”) for approximately $31.0 million, net of $0.5 million of cash acquired. RCA is an industry leader in providing life sciences consulting focused on quality, regulatory, and technical advisory services for the pharmaceutical, medical device and combination device industries. Headquartered in Pleasant Prairie, Wisconsin, RCA will expand and further strengthen the technical consulting and expert advisory capabilities of our Nelson Labs segment.</w:t>
      </w:r>
    </w:p>
    <w:p>
      <w:pPr>
        <w:spacing w:after="0" w:line="134" w:lineRule="exact"/>
        <w:rPr>
          <w:sz w:val="20"/>
          <w:szCs w:val="20"/>
          <w:color w:val="auto"/>
        </w:rPr>
      </w:pPr>
    </w:p>
    <w:p>
      <w:pPr>
        <w:ind w:left="7" w:right="140"/>
        <w:spacing w:after="0" w:line="288" w:lineRule="auto"/>
        <w:rPr>
          <w:sz w:val="20"/>
          <w:szCs w:val="20"/>
          <w:color w:val="auto"/>
        </w:rPr>
      </w:pPr>
      <w:r>
        <w:rPr>
          <w:rFonts w:ascii="Arial" w:cs="Arial" w:eastAsia="Arial" w:hAnsi="Arial"/>
          <w:sz w:val="14"/>
          <w:szCs w:val="14"/>
          <w:color w:val="auto"/>
        </w:rPr>
        <w:t>The purchase price of RCA was allocated to the underlying assets acquired and liabilities assumed based upon management's estimated fair values at the date of acquisition. Changes to the allocation of the purchase price may occur as these measurements are completed. As of December 31, 2021, approximately $20.6 million of goodwill was recorded related to the RCA acquisition, representing the excess of the purchase price over preliminary estimated fair values of all the assets acquired and liabilities assumed. Based on our preliminary estimates, we also recorded $12.5 million of finite-lived intangible assets, primarily related to customer relationships. The purchase price allocation will be finalized within a measurement period not to exceed one year from closing. We funded this acquisition using available cash. The acquisition price and the results of operations for this acquired entity are not material in relation to our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Noncontrolling Interests in China Subsidiaries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On May 18, 2021, we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We paid 90% of the cash consideration on the acquisition date. The remaining amounts were partially settled in post-closing payments in the third quarter of 2021; $0.2 million of the post-closing payment remains outstanding as of December 31, 2021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BioScience Laboratories, LLC</w:t>
      </w:r>
    </w:p>
    <w:p>
      <w:pPr>
        <w:spacing w:after="0" w:line="96"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On March 8, 2021, we acquired BioScience Laboratories, LLC (“BioScience Labs”) for approximately $13.5 million, net of $0.2 million of cash acquired plus the contemporaneous repayment of BioScience Labs’ outstanding debt of $1.9 million. BioScience Labs is a provider of outsourced topical antimicrobial product testing in the pharmaceutical, medical device, and consumer products industries with one location in Bozeman, Montana. BioScience Labs is included within the Nelson Labs segment.</w:t>
      </w:r>
    </w:p>
    <w:p>
      <w:pPr>
        <w:spacing w:after="0" w:line="134"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The purchase price of BioScience Labs was allocated to the underlying assets acquired and liabilities assumed based upon management's estimated fair values at the date of acquisition. Changes to the allocation of the purchase price may occur as these measurements are completed. Approximately $8.4 million of goodwill was recorded related to the BioScience Labs acquisition, representing the excess of the purchase price over the preliminary estimated fair values of all the assets acquired and liabilities assumed. We funded this acquisition using available cash. The acquisition price and the results of operations for this acquired entity are not material in relation to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Mandatorily Redeemable Noncontrolling Interest - Nelson Labs Fairfield</w:t>
      </w:r>
    </w:p>
    <w:p>
      <w:pPr>
        <w:spacing w:after="0" w:line="9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this acquisition, we initially acquired 85% of the equity interests of Nelson Labs Fairfield in August 2018 and were obligated to acquire the remaining 15% noncontrolling interest within three years from the date of the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Iotron Industries Canada, Inc.</w:t>
      </w:r>
    </w:p>
    <w:p>
      <w:pPr>
        <w:spacing w:after="0" w:line="189" w:lineRule="exact"/>
        <w:rPr>
          <w:sz w:val="20"/>
          <w:szCs w:val="20"/>
          <w:color w:val="auto"/>
        </w:rPr>
      </w:pPr>
    </w:p>
    <w:p>
      <w:pPr>
        <w:jc w:val="both"/>
        <w:ind w:right="400"/>
        <w:spacing w:after="0" w:line="251" w:lineRule="auto"/>
        <w:rPr>
          <w:sz w:val="20"/>
          <w:szCs w:val="20"/>
          <w:color w:val="auto"/>
        </w:rPr>
      </w:pPr>
      <w:r>
        <w:rPr>
          <w:rFonts w:ascii="Arial" w:cs="Arial" w:eastAsia="Arial" w:hAnsi="Arial"/>
          <w:sz w:val="16"/>
          <w:szCs w:val="16"/>
          <w:color w:val="auto"/>
        </w:rPr>
        <w:t>On July 31, 2020, we acquired Iotron Industries Canada, Inc. (“Iotron”) for approximately $105.2 million. Iotron is an independent contact sterilizer with two North American locations in Vancouver, Canada, and Columbia City, Indiana. Each location uses proprietary high energy electron beam technology to process products for orthopedic, medical device, plastics, and agricultural businesses.</w:t>
      </w:r>
    </w:p>
    <w:p>
      <w:pPr>
        <w:spacing w:after="0" w:line="169"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As part of this acquisition, we also acquired Iotron’s 60% equity ownership interest in a joint venture to construct an E-beam facility in Alberta, Canada. The acquisition was financed by the issuance of $100.0 million of First Lien Notes due 2026. Refer to Note 10, “Long-Term Debt” for additional details.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estimated fair value of the underlying acquired assets and assumed liabilities of the Iotron acquisition and the measurement period adjustments recognized during the year ended December 31, 2021,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60" w:type="dxa"/>
            <w:vAlign w:val="bottom"/>
          </w:tcPr>
          <w:p>
            <w:pPr>
              <w:spacing w:after="0"/>
              <w:rPr>
                <w:sz w:val="20"/>
                <w:szCs w:val="20"/>
                <w:color w:val="auto"/>
              </w:rPr>
            </w:pPr>
            <w:r>
              <w:rPr>
                <w:rFonts w:ascii="Arial" w:cs="Arial" w:eastAsia="Arial" w:hAnsi="Arial"/>
                <w:sz w:val="12"/>
                <w:szCs w:val="12"/>
                <w:i w:val="1"/>
                <w:iCs w:val="1"/>
                <w:color w:val="auto"/>
              </w:rPr>
              <w:t>(thousands of U.S. dollars)</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27"/>
        </w:trPr>
        <w:tc>
          <w:tcPr>
            <w:tcW w:w="5560" w:type="dxa"/>
            <w:vAlign w:val="bottom"/>
          </w:tcPr>
          <w:p>
            <w:pPr>
              <w:spacing w:after="0" w:line="128" w:lineRule="exact"/>
              <w:rPr>
                <w:sz w:val="20"/>
                <w:szCs w:val="20"/>
                <w:color w:val="auto"/>
              </w:rPr>
            </w:pPr>
            <w:r>
              <w:rPr>
                <w:rFonts w:ascii="Arial" w:cs="Arial" w:eastAsia="Arial" w:hAnsi="Arial"/>
                <w:sz w:val="12"/>
                <w:szCs w:val="12"/>
                <w:b w:val="1"/>
                <w:bCs w:val="1"/>
                <w:color w:val="auto"/>
              </w:rPr>
              <w:t>Allocation of purchase price to the fair value of</w:t>
            </w:r>
          </w:p>
        </w:tc>
        <w:tc>
          <w:tcPr>
            <w:tcW w:w="180" w:type="dxa"/>
            <w:vAlign w:val="bottom"/>
          </w:tcPr>
          <w:p>
            <w:pPr>
              <w:spacing w:after="0"/>
              <w:rPr>
                <w:sz w:val="11"/>
                <w:szCs w:val="11"/>
                <w:color w:val="auto"/>
              </w:rPr>
            </w:pPr>
          </w:p>
        </w:tc>
        <w:tc>
          <w:tcPr>
            <w:tcW w:w="174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0"/>
              </w:rPr>
              <w:t>Amount recognized as of</w:t>
            </w:r>
          </w:p>
        </w:tc>
        <w:tc>
          <w:tcPr>
            <w:tcW w:w="240" w:type="dxa"/>
            <w:vAlign w:val="bottom"/>
          </w:tcPr>
          <w:p>
            <w:pPr>
              <w:spacing w:after="0"/>
              <w:rPr>
                <w:sz w:val="11"/>
                <w:szCs w:val="11"/>
                <w:color w:val="auto"/>
              </w:rPr>
            </w:pPr>
          </w:p>
        </w:tc>
        <w:tc>
          <w:tcPr>
            <w:tcW w:w="17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4"/>
              </w:rPr>
              <w:t>Measurement Period</w:t>
            </w:r>
          </w:p>
        </w:tc>
        <w:tc>
          <w:tcPr>
            <w:tcW w:w="180" w:type="dxa"/>
            <w:vAlign w:val="bottom"/>
          </w:tcPr>
          <w:p>
            <w:pPr>
              <w:spacing w:after="0"/>
              <w:rPr>
                <w:sz w:val="11"/>
                <w:szCs w:val="11"/>
                <w:color w:val="auto"/>
              </w:rPr>
            </w:pPr>
          </w:p>
        </w:tc>
        <w:tc>
          <w:tcPr>
            <w:tcW w:w="1660" w:type="dxa"/>
            <w:vAlign w:val="bottom"/>
          </w:tcPr>
          <w:p>
            <w:pPr>
              <w:jc w:val="right"/>
              <w:ind w:right="185"/>
              <w:spacing w:after="0" w:line="128" w:lineRule="exact"/>
              <w:rPr>
                <w:sz w:val="20"/>
                <w:szCs w:val="20"/>
                <w:color w:val="auto"/>
              </w:rPr>
            </w:pPr>
            <w:r>
              <w:rPr>
                <w:rFonts w:ascii="Arial" w:cs="Arial" w:eastAsia="Arial" w:hAnsi="Arial"/>
                <w:sz w:val="12"/>
                <w:szCs w:val="12"/>
                <w:b w:val="1"/>
                <w:bCs w:val="1"/>
                <w:color w:val="auto"/>
                <w:w w:val="96"/>
              </w:rPr>
              <w:t>Amount recognized as of</w:t>
            </w:r>
          </w:p>
        </w:tc>
      </w:tr>
      <w:tr>
        <w:trPr>
          <w:trHeight w:val="162"/>
        </w:trPr>
        <w:tc>
          <w:tcPr>
            <w:tcW w:w="5560" w:type="dxa"/>
            <w:vAlign w:val="bottom"/>
          </w:tcPr>
          <w:p>
            <w:pPr>
              <w:spacing w:after="0"/>
              <w:rPr>
                <w:sz w:val="20"/>
                <w:szCs w:val="20"/>
                <w:color w:val="auto"/>
              </w:rPr>
            </w:pPr>
            <w:r>
              <w:rPr>
                <w:rFonts w:ascii="Arial" w:cs="Arial" w:eastAsia="Arial" w:hAnsi="Arial"/>
                <w:sz w:val="12"/>
                <w:szCs w:val="12"/>
                <w:b w:val="1"/>
                <w:bCs w:val="1"/>
                <w:color w:val="auto"/>
              </w:rPr>
              <w:t>net assets acquired (net of cash acquired):</w:t>
            </w: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December 31, 2020</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Adjustments</w:t>
            </w:r>
          </w:p>
        </w:tc>
        <w:tc>
          <w:tcPr>
            <w:tcW w:w="180" w:type="dxa"/>
            <w:vAlign w:val="bottom"/>
          </w:tcPr>
          <w:p>
            <w:pPr>
              <w:spacing w:after="0"/>
              <w:rPr>
                <w:sz w:val="14"/>
                <w:szCs w:val="14"/>
                <w:color w:val="auto"/>
              </w:rPr>
            </w:pPr>
          </w:p>
        </w:tc>
        <w:tc>
          <w:tcPr>
            <w:tcW w:w="1660" w:type="dxa"/>
            <w:vAlign w:val="bottom"/>
          </w:tcPr>
          <w:p>
            <w:pPr>
              <w:jc w:val="right"/>
              <w:ind w:right="345"/>
              <w:spacing w:after="0"/>
              <w:rPr>
                <w:sz w:val="20"/>
                <w:szCs w:val="20"/>
                <w:color w:val="auto"/>
              </w:rPr>
            </w:pPr>
            <w:r>
              <w:rPr>
                <w:rFonts w:ascii="Arial" w:cs="Arial" w:eastAsia="Arial" w:hAnsi="Arial"/>
                <w:sz w:val="12"/>
                <w:szCs w:val="12"/>
                <w:b w:val="1"/>
                <w:bCs w:val="1"/>
                <w:color w:val="auto"/>
              </w:rPr>
              <w:t>December 31, 2021</w:t>
            </w:r>
          </w:p>
        </w:tc>
      </w:tr>
      <w:tr>
        <w:trPr>
          <w:trHeight w:val="191"/>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49,599</w:t>
            </w:r>
          </w:p>
        </w:tc>
      </w:tr>
      <w:tr>
        <w:trPr>
          <w:trHeight w:val="198"/>
        </w:trPr>
        <w:tc>
          <w:tcPr>
            <w:tcW w:w="5560" w:type="dxa"/>
            <w:vAlign w:val="bottom"/>
          </w:tcPr>
          <w:p>
            <w:pPr>
              <w:spacing w:after="0"/>
              <w:rPr>
                <w:sz w:val="20"/>
                <w:szCs w:val="20"/>
                <w:color w:val="auto"/>
              </w:rPr>
            </w:pPr>
            <w:r>
              <w:rPr>
                <w:rFonts w:ascii="Arial" w:cs="Arial" w:eastAsia="Arial" w:hAnsi="Arial"/>
                <w:sz w:val="16"/>
                <w:szCs w:val="16"/>
                <w:color w:val="auto"/>
              </w:rPr>
              <w:t>Intangibles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16,427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26,273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42,700</w:t>
            </w:r>
          </w:p>
        </w:tc>
      </w:tr>
      <w:tr>
        <w:trPr>
          <w:trHeight w:val="198"/>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18,158</w:t>
            </w:r>
          </w:p>
        </w:tc>
      </w:tr>
      <w:tr>
        <w:trPr>
          <w:trHeight w:val="198"/>
        </w:trPr>
        <w:tc>
          <w:tcPr>
            <w:tcW w:w="5560" w:type="dxa"/>
            <w:vAlign w:val="bottom"/>
          </w:tcPr>
          <w:p>
            <w:pPr>
              <w:spacing w:after="0"/>
              <w:rPr>
                <w:sz w:val="20"/>
                <w:szCs w:val="20"/>
                <w:color w:val="auto"/>
              </w:rPr>
            </w:pPr>
            <w:r>
              <w:rPr>
                <w:rFonts w:ascii="Arial" w:cs="Arial" w:eastAsia="Arial" w:hAnsi="Arial"/>
                <w:sz w:val="16"/>
                <w:szCs w:val="16"/>
                <w:color w:val="auto"/>
              </w:rPr>
              <w:t>Working capital, net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r>
      <w:tr>
        <w:trPr>
          <w:trHeight w:val="198"/>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8,700</w:t>
            </w:r>
          </w:p>
        </w:tc>
      </w:tr>
      <w:tr>
        <w:trPr>
          <w:trHeight w:val="198"/>
        </w:trPr>
        <w:tc>
          <w:tcPr>
            <w:tcW w:w="5560" w:type="dxa"/>
            <w:vAlign w:val="bottom"/>
          </w:tcPr>
          <w:p>
            <w:pPr>
              <w:spacing w:after="0"/>
              <w:rPr>
                <w:sz w:val="20"/>
                <w:szCs w:val="20"/>
                <w:color w:val="auto"/>
              </w:rPr>
            </w:pPr>
            <w:r>
              <w:rPr>
                <w:rFonts w:ascii="Arial" w:cs="Arial" w:eastAsia="Arial" w:hAnsi="Arial"/>
                <w:sz w:val="16"/>
                <w:szCs w:val="16"/>
                <w:color w:val="auto"/>
              </w:rPr>
              <w:t>Assumed long-term liabilities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(2,248)</w:t>
            </w:r>
          </w:p>
        </w:tc>
      </w:tr>
      <w:tr>
        <w:trPr>
          <w:trHeight w:val="198"/>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Other assets/liabilities, net</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(12,839)</w:t>
            </w:r>
          </w:p>
        </w:tc>
      </w:tr>
      <w:tr>
        <w:trPr>
          <w:trHeight w:val="190"/>
        </w:trPr>
        <w:tc>
          <w:tcPr>
            <w:tcW w:w="5560" w:type="dxa"/>
            <w:vAlign w:val="bottom"/>
          </w:tcPr>
          <w:p>
            <w:pPr>
              <w:spacing w:after="0"/>
              <w:rPr>
                <w:sz w:val="20"/>
                <w:szCs w:val="20"/>
                <w:color w:val="auto"/>
              </w:rPr>
            </w:pPr>
            <w:r>
              <w:rPr>
                <w:rFonts w:ascii="Arial" w:cs="Arial" w:eastAsia="Arial" w:hAnsi="Arial"/>
                <w:sz w:val="16"/>
                <w:szCs w:val="16"/>
                <w:b w:val="1"/>
                <w:bCs w:val="1"/>
                <w:color w:val="auto"/>
              </w:rPr>
              <w:t>Total purchase price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105,187</w:t>
            </w:r>
          </w:p>
        </w:tc>
        <w:tc>
          <w:tcPr>
            <w:tcW w:w="100" w:type="dxa"/>
            <w:vAlign w:val="bottom"/>
          </w:tcPr>
          <w:p>
            <w:pPr>
              <w:spacing w:after="0"/>
              <w:rPr>
                <w:sz w:val="16"/>
                <w:szCs w:val="16"/>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105,187</w:t>
            </w:r>
          </w:p>
        </w:tc>
      </w:tr>
      <w:tr>
        <w:trPr>
          <w:trHeight w:val="20"/>
        </w:trPr>
        <w:tc>
          <w:tcPr>
            <w:tcW w:w="5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Approximately $49.6 million of goodwill was recorded related to the Iotron acquisition, representing the excess of the purchase price over estimated fair values of all the assets acquired and liabilities assumed. The fair value allocated to goodwill and tangible and intangible assets are deductible for tax purposes. The qualitative elements of goodwill primarily represent the expanded future growth opportunities for the combined company and the addition of Iotron’s highly skilled workforce. We recorded $39.1 million, and $3.6 million for intangible assets as part of the acquisition related to customer relationships and employee non-compete agreements, respectively. The estimated useful lives of the identifiable finite-lived intangible assets range from 5 to 15 years.</w:t>
      </w:r>
    </w:p>
    <w:p>
      <w:pPr>
        <w:spacing w:after="0" w:line="172" w:lineRule="exact"/>
        <w:rPr>
          <w:sz w:val="20"/>
          <w:szCs w:val="20"/>
          <w:color w:val="auto"/>
        </w:rPr>
      </w:pPr>
    </w:p>
    <w:p>
      <w:pPr>
        <w:ind w:right="320"/>
        <w:spacing w:after="0" w:line="291" w:lineRule="auto"/>
        <w:rPr>
          <w:sz w:val="20"/>
          <w:szCs w:val="20"/>
          <w:color w:val="auto"/>
        </w:rPr>
      </w:pPr>
      <w:r>
        <w:rPr>
          <w:rFonts w:ascii="Arial" w:cs="Arial" w:eastAsia="Arial" w:hAnsi="Arial"/>
          <w:sz w:val="14"/>
          <w:szCs w:val="14"/>
          <w:color w:val="auto"/>
        </w:rPr>
        <w:t>Iotron’s results of operations are included in our consolidated financial statements from the date of the acquisition within the Sterigenics segment. The unaudited pro forma consolidated results for the year ended December 31,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39"/>
        </w:trPr>
        <w:tc>
          <w:tcPr>
            <w:tcW w:w="846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2"/>
                <w:szCs w:val="12"/>
                <w:color w:val="auto"/>
              </w:rPr>
            </w:pPr>
          </w:p>
        </w:tc>
        <w:tc>
          <w:tcPr>
            <w:tcW w:w="1000" w:type="dxa"/>
            <w:vAlign w:val="bottom"/>
          </w:tcPr>
          <w:p>
            <w:pPr>
              <w:jc w:val="right"/>
              <w:ind w:right="447"/>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7"/>
              <w:spacing w:after="0"/>
              <w:rPr>
                <w:sz w:val="20"/>
                <w:szCs w:val="20"/>
                <w:color w:val="auto"/>
              </w:rPr>
            </w:pPr>
            <w:r>
              <w:rPr>
                <w:rFonts w:ascii="Arial" w:cs="Arial" w:eastAsia="Arial" w:hAnsi="Arial"/>
                <w:sz w:val="12"/>
                <w:szCs w:val="12"/>
                <w:b w:val="1"/>
                <w:bCs w:val="1"/>
                <w:color w:val="auto"/>
              </w:rPr>
              <w:t>2019</w:t>
            </w:r>
          </w:p>
        </w:tc>
      </w:tr>
      <w:tr>
        <w:trPr>
          <w:trHeight w:val="20"/>
        </w:trPr>
        <w:tc>
          <w:tcPr>
            <w:tcW w:w="13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w w:val="93"/>
              </w:rPr>
              <w:t>832,989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798,098</w:t>
            </w:r>
          </w:p>
        </w:tc>
      </w:tr>
      <w:tr>
        <w:trPr>
          <w:trHeight w:val="202"/>
        </w:trPr>
        <w:tc>
          <w:tcPr>
            <w:tcW w:w="84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7"/>
                <w:szCs w:val="17"/>
                <w:color w:val="auto"/>
              </w:rPr>
            </w:pP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w w:val="87"/>
              </w:rPr>
              <w:t>(34,687)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6"/>
                <w:szCs w:val="16"/>
                <w:color w:val="auto"/>
                <w:w w:val="90"/>
              </w:rPr>
              <w:t>(21,963)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net revenues and net income attributable to the Iotron acquisition were $9.9 million and $3.1 million, respectively.</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connection with the Iotron acquisition, we incurred approximately $3.1 million in transaction costs for the year ended December 31, 2020, which were included in selling, general and administrative expenses in the Consolidated Statements of Operations and Comprehensive Income (Loss). Costs incurred related to the Iotron acquisition in the year ended December 31, 2021 were immaterial.</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3"/>
          <w:szCs w:val="13"/>
          <w:b w:val="1"/>
          <w:bCs w:val="1"/>
          <w:color w:val="auto"/>
        </w:rPr>
        <w:t>Inventories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35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Raw materials and supplies</w:t>
            </w:r>
          </w:p>
        </w:tc>
        <w:tc>
          <w:tcPr>
            <w:tcW w:w="35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41,514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29,114</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Work-in-process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3,919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35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8,979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54,412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34,216</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Reserve for excess and obsolete inventory</w:t>
            </w:r>
          </w:p>
        </w:tc>
        <w:tc>
          <w:tcPr>
            <w:tcW w:w="35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0"/>
        </w:trPr>
        <w:tc>
          <w:tcPr>
            <w:tcW w:w="4900" w:type="dxa"/>
            <w:vAlign w:val="bottom"/>
            <w:gridSpan w:val="3"/>
          </w:tcPr>
          <w:p>
            <w:pPr>
              <w:spacing w:after="0"/>
              <w:rPr>
                <w:sz w:val="20"/>
                <w:szCs w:val="20"/>
                <w:color w:val="auto"/>
              </w:rPr>
            </w:pPr>
            <w:r>
              <w:rPr>
                <w:rFonts w:ascii="Arial" w:cs="Arial" w:eastAsia="Arial" w:hAnsi="Arial"/>
                <w:sz w:val="16"/>
                <w:szCs w:val="16"/>
                <w:b w:val="1"/>
                <w:bCs w:val="1"/>
                <w:color w:val="auto"/>
              </w:rPr>
              <w:t>Inventories, net</w:t>
            </w:r>
          </w:p>
        </w:tc>
        <w:tc>
          <w:tcPr>
            <w:tcW w:w="35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54,288</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34,093</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6.  Prepaid Expenses and Other Current Assets</w:t>
            </w:r>
          </w:p>
        </w:tc>
        <w:tc>
          <w:tcPr>
            <w:tcW w:w="3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gridSpan w:val="3"/>
            <w:vMerge w:val="continue"/>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00" w:type="dxa"/>
            <w:vAlign w:val="bottom"/>
            <w:gridSpan w:val="3"/>
          </w:tcPr>
          <w:p>
            <w:pPr>
              <w:spacing w:after="0"/>
              <w:rPr>
                <w:sz w:val="20"/>
                <w:szCs w:val="20"/>
                <w:color w:val="auto"/>
              </w:rPr>
            </w:pPr>
            <w:r>
              <w:rPr>
                <w:rFonts w:ascii="Arial" w:cs="Arial" w:eastAsia="Arial" w:hAnsi="Arial"/>
                <w:sz w:val="16"/>
                <w:szCs w:val="16"/>
                <w:color w:val="auto"/>
                <w:w w:val="99"/>
              </w:rPr>
              <w:t>Prepaid expenses and other current assets consisted of the following:</w:t>
            </w: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35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taxes</w:t>
            </w:r>
          </w:p>
        </w:tc>
        <w:tc>
          <w:tcPr>
            <w:tcW w:w="35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24,937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22,883</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Prepaid business insurance</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10,707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10,403</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rent</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Customer contract assets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15,565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Insurance and indemnification receivables</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Current deposits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623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maintenance contracts</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Value added tax receivable</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2,512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software licensing</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Stock supplies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3,374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Embedded derivative assets</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3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7,311</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8,020</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Prepaid expenses and other current assets</w:t>
            </w:r>
          </w:p>
        </w:tc>
        <w:tc>
          <w:tcPr>
            <w:tcW w:w="3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71,923</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7.  Property, Plant and Equipment</w:t>
            </w:r>
          </w:p>
        </w:tc>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900" w:type="dxa"/>
            <w:vAlign w:val="bottom"/>
            <w:gridSpan w:val="3"/>
            <w:vMerge w:val="continue"/>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00" w:type="dxa"/>
            <w:vAlign w:val="bottom"/>
            <w:gridSpan w:val="3"/>
          </w:tcPr>
          <w:p>
            <w:pPr>
              <w:spacing w:after="0"/>
              <w:rPr>
                <w:sz w:val="20"/>
                <w:szCs w:val="20"/>
                <w:color w:val="auto"/>
              </w:rPr>
            </w:pPr>
            <w:r>
              <w:rPr>
                <w:rFonts w:ascii="Arial" w:cs="Arial" w:eastAsia="Arial" w:hAnsi="Arial"/>
                <w:sz w:val="16"/>
                <w:szCs w:val="16"/>
                <w:color w:val="auto"/>
              </w:rPr>
              <w:t>Property, plant, and equipment, net, consisted of the following:</w:t>
            </w: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35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and buildings</w:t>
            </w:r>
          </w:p>
        </w:tc>
        <w:tc>
          <w:tcPr>
            <w:tcW w:w="35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295,780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289,692</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Leasehold improvements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54,200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51,398</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Machinery, equipment, including Co-60</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506,938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480,276</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Furniture and fixtures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7,489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6,887</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Computer hardware and software</w:t>
            </w:r>
          </w:p>
        </w:tc>
        <w:tc>
          <w:tcPr>
            <w:tcW w:w="3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40,751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40,706</w:t>
            </w:r>
          </w:p>
        </w:tc>
        <w:tc>
          <w:tcPr>
            <w:tcW w:w="0" w:type="dxa"/>
            <w:vAlign w:val="bottom"/>
          </w:tcPr>
          <w:p>
            <w:pPr>
              <w:spacing w:after="0"/>
              <w:rPr>
                <w:sz w:val="1"/>
                <w:szCs w:val="1"/>
                <w:color w:val="auto"/>
              </w:rPr>
            </w:pPr>
          </w:p>
        </w:tc>
      </w:tr>
      <w:tr>
        <w:trPr>
          <w:trHeight w:val="198"/>
        </w:trPr>
        <w:tc>
          <w:tcPr>
            <w:tcW w:w="4900" w:type="dxa"/>
            <w:vAlign w:val="bottom"/>
            <w:gridSpan w:val="3"/>
          </w:tcPr>
          <w:p>
            <w:pPr>
              <w:spacing w:after="0"/>
              <w:rPr>
                <w:sz w:val="20"/>
                <w:szCs w:val="20"/>
                <w:color w:val="auto"/>
              </w:rPr>
            </w:pPr>
            <w:r>
              <w:rPr>
                <w:rFonts w:ascii="Arial" w:cs="Arial" w:eastAsia="Arial" w:hAnsi="Arial"/>
                <w:sz w:val="16"/>
                <w:szCs w:val="16"/>
                <w:color w:val="auto"/>
              </w:rPr>
              <w:t>Asset retirement costs</w:t>
            </w: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4,164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3,914</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Construction-in-progress</w:t>
            </w:r>
          </w:p>
        </w:tc>
        <w:tc>
          <w:tcPr>
            <w:tcW w:w="35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131,869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78,491</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1,041,191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951,364</w:t>
            </w: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5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(390,394)</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(341,550)</w:t>
            </w:r>
          </w:p>
        </w:tc>
        <w:tc>
          <w:tcPr>
            <w:tcW w:w="0" w:type="dxa"/>
            <w:vAlign w:val="bottom"/>
          </w:tcPr>
          <w:p>
            <w:pPr>
              <w:spacing w:after="0"/>
              <w:rPr>
                <w:sz w:val="1"/>
                <w:szCs w:val="1"/>
                <w:color w:val="auto"/>
              </w:rPr>
            </w:pPr>
          </w:p>
        </w:tc>
      </w:tr>
      <w:tr>
        <w:trPr>
          <w:trHeight w:val="190"/>
        </w:trPr>
        <w:tc>
          <w:tcPr>
            <w:tcW w:w="4900" w:type="dxa"/>
            <w:vAlign w:val="bottom"/>
            <w:gridSpan w:val="3"/>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35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650,797</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609,814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vMerge w:val="restart"/>
          </w:tcPr>
          <w:p>
            <w:pPr>
              <w:jc w:val="right"/>
              <w:ind w:right="2682"/>
              <w:spacing w:after="0"/>
              <w:rPr>
                <w:sz w:val="20"/>
                <w:szCs w:val="20"/>
                <w:color w:val="auto"/>
              </w:rPr>
            </w:pPr>
            <w:r>
              <w:rPr>
                <w:rFonts w:ascii="Arial" w:cs="Arial" w:eastAsia="Arial" w:hAnsi="Arial"/>
                <w:sz w:val="16"/>
                <w:szCs w:val="16"/>
                <w:color w:val="auto"/>
              </w:rPr>
              <w:t>86</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6" w:name="page87"/>
    <w:bookmarkEnd w:id="86"/>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right="80"/>
        <w:spacing w:after="0" w:line="304" w:lineRule="auto"/>
        <w:rPr>
          <w:sz w:val="20"/>
          <w:szCs w:val="20"/>
          <w:color w:val="auto"/>
        </w:rPr>
      </w:pPr>
      <w:r>
        <w:rPr>
          <w:rFonts w:ascii="Arial" w:cs="Arial" w:eastAsia="Arial" w:hAnsi="Arial"/>
          <w:sz w:val="14"/>
          <w:szCs w:val="14"/>
          <w:color w:val="auto"/>
        </w:rPr>
        <w:t>Depreciation and amortization expense for property, plant, and equipment, including property under finance leases, was $64.2 million, $63.3 million and $66.7 million for the years ended December 31, 2021, 2020 and 2019, respectively. Capitalized interest totaled $1.1 million, $0.7 million and $0.1 million for the years ended December 31, 2021, 2020 and 2019, respectively, and was recorded as a reduction in “Interest expense, net” in the Consolidated Statements of Operations and Comprehensive Income (Loss).</w:t>
      </w:r>
    </w:p>
    <w:p>
      <w:pPr>
        <w:spacing w:after="0" w:line="134" w:lineRule="exact"/>
        <w:rPr>
          <w:sz w:val="20"/>
          <w:szCs w:val="20"/>
          <w:color w:val="auto"/>
        </w:rPr>
      </w:pPr>
    </w:p>
    <w:p>
      <w:pPr>
        <w:ind w:left="7" w:right="20"/>
        <w:spacing w:after="0" w:line="283" w:lineRule="auto"/>
        <w:rPr>
          <w:sz w:val="20"/>
          <w:szCs w:val="20"/>
          <w:color w:val="auto"/>
        </w:rPr>
      </w:pPr>
      <w:r>
        <w:rPr>
          <w:rFonts w:ascii="Arial" w:cs="Arial" w:eastAsia="Arial" w:hAnsi="Arial"/>
          <w:sz w:val="14"/>
          <w:szCs w:val="14"/>
          <w:color w:val="auto"/>
        </w:rPr>
        <w:t>As discussed in Note 20, “Commitments and Contingencies”, we have been involved in litigation related to our ethylene oxide (“EO”)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assessment of fixed assets that were transferable to other Sterigenics’ facilities, we recorded a fixed asset impairment of approximately $5.8 million as recognized in “Impairment of long-lived assets” in the Consolidated Statements of Operations and Comprehensive Income (Loss) for the year ended December 31, 2019. Further, in conjunction with the decision not to reopen our Willowbrook facilities, we incurred certain restructuring costs consisting of employee termination benefits totaling $1.1 million in the year ended December 31, 2019. These costs represent all termination benefits costs expected to be incurred in connection with the Willowbrook closure, and are included in “Cost of revenues” on the Consolidated Statements of Operations and Comprehensive Income (Loss) and are included in our Sterigenics segment. Decommissioning of one Willowbrook facility was completed in 2021; whereas decommissioning of the second facility is scheduled to be completed prior to the lease termination date of December 31, 2023.</w:t>
      </w:r>
    </w:p>
    <w:p>
      <w:pPr>
        <w:spacing w:after="0" w:line="147" w:lineRule="exact"/>
        <w:rPr>
          <w:sz w:val="20"/>
          <w:szCs w:val="20"/>
          <w:color w:val="auto"/>
        </w:rPr>
      </w:pPr>
    </w:p>
    <w:p>
      <w:pPr>
        <w:ind w:left="287" w:hanging="287"/>
        <w:spacing w:after="0"/>
        <w:tabs>
          <w:tab w:leader="none" w:pos="28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Other Intangible Assets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16"/>
          <w:szCs w:val="16"/>
          <w:color w:val="auto"/>
        </w:rPr>
        <w:t>Changes to goodwill during the years ended December 31, 2021 and 2020 were as follows:</w:t>
      </w:r>
    </w:p>
    <w:p>
      <w:pPr>
        <w:spacing w:after="0" w:line="205"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554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Sterigenics</w:t>
            </w:r>
          </w:p>
        </w:tc>
        <w:tc>
          <w:tcPr>
            <w:tcW w:w="26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auto"/>
              </w:rPr>
              <w:t>Nordion</w:t>
            </w: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Nelson Labs</w:t>
            </w:r>
          </w:p>
        </w:tc>
        <w:tc>
          <w:tcPr>
            <w:tcW w:w="30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Arial" w:cs="Arial" w:eastAsia="Arial" w:hAnsi="Arial"/>
                <w:sz w:val="12"/>
                <w:szCs w:val="12"/>
                <w:b w:val="1"/>
                <w:bCs w:val="1"/>
                <w:color w:val="auto"/>
              </w:rPr>
              <w:t>Total</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5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Goodwill at January 1, 2020</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612,689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281,890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141,286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1,035,865</w:t>
            </w:r>
          </w:p>
        </w:tc>
      </w:tr>
      <w:tr>
        <w:trPr>
          <w:trHeight w:val="233"/>
        </w:trPr>
        <w:tc>
          <w:tcPr>
            <w:tcW w:w="5540" w:type="dxa"/>
            <w:vAlign w:val="bottom"/>
            <w:gridSpan w:val="2"/>
          </w:tcPr>
          <w:p>
            <w:pPr>
              <w:spacing w:after="0"/>
              <w:rPr>
                <w:sz w:val="20"/>
                <w:szCs w:val="20"/>
                <w:color w:val="auto"/>
              </w:rPr>
            </w:pPr>
            <w:r>
              <w:rPr>
                <w:rFonts w:ascii="Arial" w:cs="Arial" w:eastAsia="Arial" w:hAnsi="Arial"/>
                <w:sz w:val="16"/>
                <w:szCs w:val="16"/>
                <w:color w:val="auto"/>
              </w:rPr>
              <w:t>Iotron acquisition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69,046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69,046</w:t>
            </w:r>
          </w:p>
        </w:tc>
      </w:tr>
      <w:tr>
        <w:trPr>
          <w:trHeight w:val="233"/>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due to foreign currency exchange rates</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w:t>
            </w:r>
          </w:p>
        </w:tc>
      </w:tr>
      <w:tr>
        <w:trPr>
          <w:trHeight w:val="190"/>
        </w:trPr>
        <w:tc>
          <w:tcPr>
            <w:tcW w:w="5540" w:type="dxa"/>
            <w:vAlign w:val="bottom"/>
            <w:gridSpan w:val="2"/>
          </w:tcPr>
          <w:p>
            <w:pPr>
              <w:spacing w:after="0" w:line="178" w:lineRule="exact"/>
              <w:rPr>
                <w:sz w:val="20"/>
                <w:szCs w:val="20"/>
                <w:color w:val="auto"/>
              </w:rPr>
            </w:pPr>
            <w:r>
              <w:rPr>
                <w:rFonts w:ascii="Arial" w:cs="Arial" w:eastAsia="Arial" w:hAnsi="Arial"/>
                <w:sz w:val="16"/>
                <w:szCs w:val="16"/>
                <w:color w:val="auto"/>
              </w:rPr>
              <w:t>Goodwill at December 31, 2020</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683,481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287,932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144,523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1,115,936</w:t>
            </w:r>
          </w:p>
        </w:tc>
      </w:tr>
      <w:tr>
        <w:trPr>
          <w:trHeight w:val="198"/>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Iotron acquisition measurement period adjustments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(19,447)</w:t>
            </w:r>
          </w:p>
        </w:tc>
      </w:tr>
      <w:tr>
        <w:trPr>
          <w:trHeight w:val="303"/>
        </w:trPr>
        <w:tc>
          <w:tcPr>
            <w:tcW w:w="5540" w:type="dxa"/>
            <w:vAlign w:val="bottom"/>
            <w:gridSpan w:val="2"/>
          </w:tcPr>
          <w:p>
            <w:pPr>
              <w:spacing w:after="0"/>
              <w:rPr>
                <w:sz w:val="20"/>
                <w:szCs w:val="20"/>
                <w:color w:val="auto"/>
              </w:rPr>
            </w:pPr>
            <w:r>
              <w:rPr>
                <w:rFonts w:ascii="Arial" w:cs="Arial" w:eastAsia="Arial" w:hAnsi="Arial"/>
                <w:sz w:val="16"/>
                <w:szCs w:val="16"/>
                <w:color w:val="auto"/>
              </w:rPr>
              <w:t>BioScience Labs acquisition</w:t>
            </w:r>
          </w:p>
        </w:tc>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8,354</w:t>
            </w:r>
          </w:p>
        </w:tc>
      </w:tr>
      <w:tr>
        <w:trPr>
          <w:trHeight w:val="233"/>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RCA acquisition</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20,638</w:t>
            </w:r>
          </w:p>
        </w:tc>
      </w:tr>
      <w:tr>
        <w:trPr>
          <w:trHeight w:val="233"/>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Changes due to foreign currency exchange rates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w:t>
            </w:r>
          </w:p>
        </w:tc>
      </w:tr>
      <w:tr>
        <w:trPr>
          <w:trHeight w:val="215"/>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Goodwill at December 31, 2021</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660,743</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288,905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170,672</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1,120,320</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1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87</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-26670</wp:posOffset>
            </wp:positionV>
            <wp:extent cx="3302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87" w:name="page88"/>
    <w:bookmarkEnd w:id="87"/>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color w:val="auto"/>
        </w:rPr>
        <w:t>Other intangible assets consisted of the following:</w:t>
      </w:r>
    </w:p>
    <w:p>
      <w:pPr>
        <w:spacing w:after="0" w:line="242" w:lineRule="exact"/>
        <w:rPr>
          <w:sz w:val="20"/>
          <w:szCs w:val="20"/>
          <w:color w:val="auto"/>
        </w:rPr>
      </w:pPr>
    </w:p>
    <w:tbl>
      <w:tblPr>
        <w:tblLayout w:type="fixed"/>
        <w:tblInd w:w="7" w:type="dxa"/>
        <w:tblCellMar>
          <w:top w:w="0" w:type="dxa"/>
          <w:left w:w="0" w:type="dxa"/>
          <w:bottom w:w="0" w:type="dxa"/>
          <w:right w:w="0" w:type="dxa"/>
        </w:tblCellMar>
      </w:tblPr>
      <w:tr>
        <w:trPr>
          <w:trHeight w:val="157"/>
        </w:trPr>
        <w:tc>
          <w:tcPr>
            <w:tcW w:w="846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Gross Carrying</w:t>
            </w:r>
          </w:p>
        </w:tc>
        <w:tc>
          <w:tcPr>
            <w:tcW w:w="200" w:type="dxa"/>
            <w:vAlign w:val="bottom"/>
          </w:tcPr>
          <w:p>
            <w:pPr>
              <w:spacing w:after="0"/>
              <w:rPr>
                <w:sz w:val="13"/>
                <w:szCs w:val="13"/>
                <w:color w:val="auto"/>
              </w:rPr>
            </w:pPr>
          </w:p>
        </w:tc>
        <w:tc>
          <w:tcPr>
            <w:tcW w:w="1120" w:type="dxa"/>
            <w:vAlign w:val="bottom"/>
            <w:vMerge w:val="restart"/>
          </w:tcPr>
          <w:p>
            <w:pPr>
              <w:jc w:val="right"/>
              <w:ind w:right="245"/>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34"/>
        </w:trPr>
        <w:tc>
          <w:tcPr>
            <w:tcW w:w="8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 of December 31, 2021</w:t>
            </w: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8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40"/>
              <w:spacing w:after="0" w:line="129"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1"/>
                <w:szCs w:val="11"/>
                <w:color w:val="auto"/>
              </w:rPr>
            </w:pPr>
          </w:p>
        </w:tc>
        <w:tc>
          <w:tcPr>
            <w:tcW w:w="1120" w:type="dxa"/>
            <w:vAlign w:val="bottom"/>
          </w:tcPr>
          <w:p>
            <w:pPr>
              <w:jc w:val="right"/>
              <w:ind w:right="225"/>
              <w:spacing w:after="0" w:line="129"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i w:val="1"/>
                <w:iCs w:val="1"/>
                <w:color w:val="auto"/>
              </w:rPr>
              <w:t>Finite-lived intangible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668,628</w:t>
            </w:r>
          </w:p>
        </w:tc>
        <w:tc>
          <w:tcPr>
            <w:tcW w:w="16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365,935</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Proprietary technology</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88,826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44,866</w:t>
            </w: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Land-use rights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w:t>
            </w: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Sealed source and supply agreements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241,611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109,838</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6,454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2,166</w:t>
            </w:r>
          </w:p>
        </w:tc>
        <w:tc>
          <w:tcPr>
            <w:tcW w:w="0" w:type="dxa"/>
            <w:vAlign w:val="bottom"/>
          </w:tcPr>
          <w:p>
            <w:pPr>
              <w:spacing w:after="0"/>
              <w:rPr>
                <w:sz w:val="1"/>
                <w:szCs w:val="1"/>
                <w:color w:val="auto"/>
              </w:rPr>
            </w:pPr>
          </w:p>
        </w:tc>
      </w:tr>
      <w:tr>
        <w:trPr>
          <w:trHeight w:val="190"/>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Total finite-lived intangible assets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1,015,408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524,507</w:t>
            </w:r>
          </w:p>
        </w:tc>
        <w:tc>
          <w:tcPr>
            <w:tcW w:w="0" w:type="dxa"/>
            <w:vAlign w:val="bottom"/>
          </w:tcPr>
          <w:p>
            <w:pPr>
              <w:spacing w:after="0"/>
              <w:rPr>
                <w:sz w:val="1"/>
                <w:szCs w:val="1"/>
                <w:color w:val="auto"/>
              </w:rPr>
            </w:pPr>
          </w:p>
        </w:tc>
      </w:tr>
      <w:tr>
        <w:trPr>
          <w:trHeight w:val="221"/>
        </w:trPr>
        <w:tc>
          <w:tcPr>
            <w:tcW w:w="13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Indefinite-lived intangible assets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6"/>
                <w:szCs w:val="16"/>
                <w:color w:val="auto"/>
              </w:rPr>
              <w:t>Regulatory licenses and other</w:t>
            </w:r>
            <w:r>
              <w:rPr>
                <w:rFonts w:ascii="Arial" w:cs="Arial" w:eastAsia="Arial" w:hAnsi="Arial"/>
                <w:sz w:val="20"/>
                <w:szCs w:val="20"/>
                <w:color w:val="auto"/>
                <w:vertAlign w:val="superscript"/>
              </w:rPr>
              <w:t>(a)</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82,110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Trade names / trademarks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25,833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indefinite-lived intangible assets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107,943</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1,123,351</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524,507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 of December 31, 2020</w:t>
            </w:r>
          </w:p>
        </w:tc>
        <w:tc>
          <w:tcPr>
            <w:tcW w:w="18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Gross Carrying</w:t>
            </w:r>
          </w:p>
        </w:tc>
        <w:tc>
          <w:tcPr>
            <w:tcW w:w="2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128"/>
        </w:trPr>
        <w:tc>
          <w:tcPr>
            <w:tcW w:w="8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40"/>
              <w:spacing w:after="0" w:line="129"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1"/>
                <w:szCs w:val="11"/>
                <w:color w:val="auto"/>
              </w:rPr>
            </w:pPr>
          </w:p>
        </w:tc>
        <w:tc>
          <w:tcPr>
            <w:tcW w:w="1120" w:type="dxa"/>
            <w:vAlign w:val="bottom"/>
          </w:tcPr>
          <w:p>
            <w:pPr>
              <w:jc w:val="right"/>
              <w:ind w:right="225"/>
              <w:spacing w:after="0" w:line="129"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i w:val="1"/>
                <w:iCs w:val="1"/>
                <w:color w:val="auto"/>
              </w:rPr>
              <w:t>Finite-lived intangible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634,454</w:t>
            </w:r>
          </w:p>
        </w:tc>
        <w:tc>
          <w:tcPr>
            <w:tcW w:w="16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309,428</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Proprietary technology</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90,964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Land-use rights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198"/>
        </w:trPr>
        <w:tc>
          <w:tcPr>
            <w:tcW w:w="8460" w:type="dxa"/>
            <w:vAlign w:val="bottom"/>
            <w:gridSpan w:val="2"/>
          </w:tcPr>
          <w:p>
            <w:pPr>
              <w:ind w:left="380"/>
              <w:spacing w:after="0"/>
              <w:rPr>
                <w:sz w:val="20"/>
                <w:szCs w:val="20"/>
                <w:color w:val="auto"/>
              </w:rPr>
            </w:pPr>
            <w:r>
              <w:rPr>
                <w:rFonts w:ascii="Arial" w:cs="Arial" w:eastAsia="Arial" w:hAnsi="Arial"/>
                <w:sz w:val="16"/>
                <w:szCs w:val="16"/>
                <w:color w:val="auto"/>
              </w:rPr>
              <w:t>Sealed source and supply agreements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240,791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92,953</w:t>
            </w: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90"/>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Total finite-lived intangible assets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977,791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442,391</w:t>
            </w:r>
          </w:p>
        </w:tc>
        <w:tc>
          <w:tcPr>
            <w:tcW w:w="0" w:type="dxa"/>
            <w:vAlign w:val="bottom"/>
          </w:tcPr>
          <w:p>
            <w:pPr>
              <w:spacing w:after="0"/>
              <w:rPr>
                <w:sz w:val="1"/>
                <w:szCs w:val="1"/>
                <w:color w:val="auto"/>
              </w:rPr>
            </w:pPr>
          </w:p>
        </w:tc>
      </w:tr>
      <w:tr>
        <w:trPr>
          <w:trHeight w:val="222"/>
        </w:trPr>
        <w:tc>
          <w:tcPr>
            <w:tcW w:w="846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Indefinite-lived intangible assets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6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6"/>
                <w:szCs w:val="16"/>
                <w:color w:val="auto"/>
              </w:rPr>
              <w:t>Regulatory licenses and other</w:t>
            </w:r>
            <w:r>
              <w:rPr>
                <w:rFonts w:ascii="Arial" w:cs="Arial" w:eastAsia="Arial" w:hAnsi="Arial"/>
                <w:sz w:val="20"/>
                <w:szCs w:val="20"/>
                <w:color w:val="auto"/>
                <w:vertAlign w:val="superscript"/>
              </w:rPr>
              <w:t>(a)</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Trade names / trademarks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indefinite-lived intangible assets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107,966</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1,085,757</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442,391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7" w:right="180" w:hanging="207"/>
        <w:spacing w:after="0" w:line="269" w:lineRule="auto"/>
        <w:tabs>
          <w:tab w:leader="none" w:pos="202"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years license period as Nordion has demonstrated over its 75 years of history.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6"/>
          <w:szCs w:val="16"/>
          <w:color w:val="auto"/>
        </w:rPr>
        <w:t>Amounts include the impact of foreign currency translation. Fully amortized amounts are written off.</w:t>
      </w:r>
    </w:p>
    <w:p>
      <w:pPr>
        <w:spacing w:after="0" w:line="177" w:lineRule="exact"/>
        <w:rPr>
          <w:sz w:val="20"/>
          <w:szCs w:val="20"/>
          <w:color w:val="auto"/>
        </w:rPr>
      </w:pPr>
    </w:p>
    <w:p>
      <w:pPr>
        <w:jc w:val="both"/>
        <w:ind w:left="7" w:right="240"/>
        <w:spacing w:after="0" w:line="304" w:lineRule="auto"/>
        <w:rPr>
          <w:sz w:val="20"/>
          <w:szCs w:val="20"/>
          <w:color w:val="auto"/>
        </w:rPr>
      </w:pPr>
      <w:r>
        <w:rPr>
          <w:rFonts w:ascii="Arial" w:cs="Arial" w:eastAsia="Arial" w:hAnsi="Arial"/>
          <w:sz w:val="14"/>
          <w:szCs w:val="14"/>
          <w:color w:val="auto"/>
        </w:rPr>
        <w:t>Amortization expense for finite-lived intangible assets was $86.8 million, $80.3 million, and $80.0 million for the years ended December 31, 2021, 2020 and 2019, respectively. $63.8 million, $59.0 million, and $58.5 million was included in “Selling, general and administrative expenses” in the Consolidated Statements of Operations and Comprehensive Income (Loss) for the years ended December 31, 2021, 2020 and 2019, whereas the remainder was included in “Cost of revenues.”</w:t>
      </w:r>
    </w:p>
    <w:p>
      <w:pPr>
        <w:spacing w:after="0" w:line="200" w:lineRule="exact"/>
        <w:rPr>
          <w:sz w:val="20"/>
          <w:szCs w:val="20"/>
          <w:color w:val="auto"/>
        </w:rPr>
      </w:pPr>
    </w:p>
    <w:p>
      <w:pPr>
        <w:spacing w:after="0" w:line="2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aggregate amortization expense for finite-lived intangible assets for each of the next five years and thereafter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460" w:type="dxa"/>
            <w:vAlign w:val="bottom"/>
            <w:gridSpan w:val="3"/>
          </w:tcPr>
          <w:p>
            <w:pPr>
              <w:spacing w:after="0"/>
              <w:rPr>
                <w:sz w:val="20"/>
                <w:szCs w:val="20"/>
                <w:color w:val="auto"/>
              </w:rPr>
            </w:pPr>
            <w:r>
              <w:rPr>
                <w:rFonts w:ascii="Arial" w:cs="Arial" w:eastAsia="Arial" w:hAnsi="Arial"/>
                <w:sz w:val="12"/>
                <w:szCs w:val="12"/>
                <w:i w:val="1"/>
                <w:iCs w:val="1"/>
                <w:color w:val="auto"/>
              </w:rPr>
              <w:t>(thousands of U.S. dollars)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320" w:type="dxa"/>
            <w:vAlign w:val="bottom"/>
            <w:tcBorders>
              <w:top w:val="single" w:sz="8" w:color="auto"/>
            </w:tcBorders>
            <w:shd w:val="clear" w:color="auto" w:fill="CCEEFF"/>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81,955</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81,536</w:t>
            </w: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80,759</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43,070</w:t>
            </w: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2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22,973</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180,608</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490,901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w w:val="89"/>
              </w:rPr>
              <w:t>The weighted-average remaining useful life of the finite-lived intangible assets was approximately 9.5 years as of December 31, 2021.</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9.  Accrued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60" w:type="dxa"/>
            <w:vAlign w:val="bottom"/>
            <w:gridSpan w:val="3"/>
          </w:tcPr>
          <w:p>
            <w:pPr>
              <w:spacing w:after="0"/>
              <w:rPr>
                <w:sz w:val="20"/>
                <w:szCs w:val="20"/>
                <w:color w:val="auto"/>
              </w:rPr>
            </w:pPr>
            <w:r>
              <w:rPr>
                <w:rFonts w:ascii="Arial" w:cs="Arial" w:eastAsia="Arial" w:hAnsi="Arial"/>
                <w:sz w:val="16"/>
                <w:szCs w:val="16"/>
                <w:color w:val="auto"/>
              </w:rPr>
              <w:t>Accrued liabilities consisted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employee compensation</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33,334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34,760</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Legal reserves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3,259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interest expense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10,755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Embedded derivatives</w:t>
            </w:r>
          </w:p>
        </w:tc>
        <w:tc>
          <w:tcPr>
            <w:tcW w:w="3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4,314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12,686</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Accrued utilities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1,797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Insurance accrual</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2,209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4,125</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Accrued liabilities</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61,861</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accrued interest expense relates to an adjustment in the timing of our quarterly scheduled Term Loan interest payments. Refer to Note 10, “Long-Term Debt”.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2"/>
                <w:szCs w:val="12"/>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Term loan, due 2026</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1,763,100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1,763,100</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Senior notes, due 2026</w:t>
            </w:r>
          </w:p>
        </w:tc>
        <w:tc>
          <w:tcPr>
            <w:tcW w:w="3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debt</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color w:val="auto"/>
              </w:rPr>
              <w:t>Total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1,763,550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1,863,550</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unamortized debt issuance costs and debt discounts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(20,016)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(38,761)</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long-term debt, less current portion and debt issuance costs and debt discounts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1,743,534</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1,824,789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3"/>
            <w:vMerge w:val="restart"/>
          </w:tcPr>
          <w:p>
            <w:pPr>
              <w:ind w:left="5540"/>
              <w:spacing w:after="0"/>
              <w:rPr>
                <w:sz w:val="20"/>
                <w:szCs w:val="20"/>
                <w:color w:val="auto"/>
              </w:rPr>
            </w:pPr>
            <w:r>
              <w:rPr>
                <w:rFonts w:ascii="Arial" w:cs="Arial" w:eastAsia="Arial" w:hAnsi="Arial"/>
                <w:sz w:val="16"/>
                <w:szCs w:val="16"/>
                <w:color w:val="auto"/>
              </w:rPr>
              <w:t>89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8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96"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the Term Loan mature on June 13, 2026 and December 13, 2026, respectively.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2021 and 2020, total borrowings under the Term Loan were $1,763.1 million in each period, respectively, and there were no borrowings outstanding on the Revolving Credit Facility. The weighted average interest rate on borrowings under the Term Loan for the year ended December 31, 2021 and 2020 was 3.44% and 5.67%, respectively.</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w:t>
      </w:r>
    </w:p>
    <w:p>
      <w:pPr>
        <w:jc w:val="both"/>
        <w:ind w:right="200"/>
        <w:spacing w:after="0" w:line="227" w:lineRule="auto"/>
        <w:rPr>
          <w:sz w:val="20"/>
          <w:szCs w:val="20"/>
          <w:color w:val="auto"/>
        </w:rPr>
      </w:pPr>
      <w:r>
        <w:rPr>
          <w:rFonts w:ascii="Arial" w:cs="Arial" w:eastAsia="Arial" w:hAnsi="Arial"/>
          <w:sz w:val="16"/>
          <w:szCs w:val="16"/>
          <w:color w:val="auto"/>
        </w:rPr>
        <w:t>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alternative base rate “ABR” or (b) a LIBOR rate.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$139.0 million and 40.0% of the aggregate principal amount of the revolving commitments then in effect.</w:t>
      </w:r>
    </w:p>
    <w:p>
      <w:pPr>
        <w:spacing w:after="0" w:line="17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On March 26, 2021, we amended the Revolving Credit Facility, to (i) decrease the Applicable Rate (as defined in the Credit Agreement) related to any Revolving Loans (as defined in the Credit Agreement) from a rate per annum that ranged from an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were unchanged and the amendment did not change the capacity of our Revolving Credit Facility of $347.5 million. No unamortized debt issuance costs associated with the Revolving Credit Facility were written off and direct fees and costs incurred in connection with the amendment were immaterial.</w:t>
      </w:r>
    </w:p>
    <w:p>
      <w:pPr>
        <w:spacing w:after="0" w:line="14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As of December 31, 2021 and 2020, there were no borrowings outstanding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As of December 31, 2021 and 2020 capitalized debt issuance costs totaled $2.7 million and $3.4 million, respectively, and debt discounts totaled $17.3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69"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The Senior Secured Credit Facilities contain additional covenants that, among other things, restrict, subject to certain exceptions, our ability and the ability of our restricted subsidiaries to engage in certain activities, such as incur indebtedness 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80"/>
        <w:spacing w:after="0" w:line="251" w:lineRule="auto"/>
        <w:rPr>
          <w:sz w:val="20"/>
          <w:szCs w:val="20"/>
          <w:color w:val="auto"/>
        </w:rPr>
      </w:pPr>
      <w:r>
        <w:rPr>
          <w:rFonts w:ascii="Arial" w:cs="Arial" w:eastAsia="Arial" w:hAnsi="Arial"/>
          <w:sz w:val="16"/>
          <w:szCs w:val="16"/>
          <w:color w:val="auto"/>
        </w:rPr>
        <w:t>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December 31, 2021, we were in compliance with all the Senior Secured Credit Facilities covenants.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72"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color w:val="auto"/>
        </w:rPr>
        <w:t>Outstanding letters of credit are collateralized by encumbrances against the Revolving Credit Facility and the collateral pledged thereunder, or by cash placed on deposit with the issuing bank. As of December 31, 2021, the Company had $113.8 million of letters of credit issued against the Revolving Credit Facility, resulting in total availability under the Revolving Credit Facility of $233.7 million. Due to the overlap of a letter of credit with a termination date of January 6, 2022 and its replacement letter of credit with a commencement date of December 16, 2021 in similar amount, our availability under the Revolving Credit Facility was abnormally low for a brief period including December 31, 2021 and continuing through January 6, 2022. As of January 6, 2022, our availability under the Revolving credit facility increased to $278.4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Loan Interest Rate Risk Management</w:t>
      </w:r>
    </w:p>
    <w:p>
      <w:pPr>
        <w:spacing w:after="0" w:line="189" w:lineRule="exact"/>
        <w:rPr>
          <w:sz w:val="20"/>
          <w:szCs w:val="20"/>
          <w:color w:val="auto"/>
        </w:rPr>
      </w:pPr>
    </w:p>
    <w:p>
      <w:pPr>
        <w:ind w:right="320"/>
        <w:spacing w:after="0" w:line="330" w:lineRule="auto"/>
        <w:rPr>
          <w:sz w:val="20"/>
          <w:szCs w:val="20"/>
          <w:color w:val="auto"/>
        </w:rPr>
      </w:pPr>
      <w:r>
        <w:rPr>
          <w:rFonts w:ascii="Arial" w:cs="Arial" w:eastAsia="Arial" w:hAnsi="Arial"/>
          <w:sz w:val="14"/>
          <w:szCs w:val="14"/>
          <w:color w:val="auto"/>
        </w:rPr>
        <w:t>The Company utilizes interest rate derivatives to eliminate the variability of cash flows in the interest payments associated with the Term Loan due to changes in LIBOR (or its successor). For additional information on the derivative instruments described above, refer to Note 21, “Financial Instruments and Financial Risk”, “Derivatives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Lien Notes</w:t>
      </w:r>
    </w:p>
    <w:p>
      <w:pPr>
        <w:spacing w:after="0" w:line="18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7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and at December 31, 2020 was 7.00%,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Lien Notes</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13, 2019, SHH issued $770.0 million of Second Lien Senior Secured Notes (the “Second Lien Notes”), which had a maturity date of December 13, 2027. The Second Lien Notes bore interest at a rate equal to LIBOR subject to a 1.00% floor plus 8.00% per annum. On December 14, 2020, SHH redeemed in full all of the $770.0 million aggregate principal amount of the First Lien Notes (as described below in “2020 Debt Repayments”). The weighted average interest rate on the Second Lien Notes through the redemption date of December 14, 2020 was 9.35%.</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Debt Repayments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the “Loss on extinguishment of debt” in our Consolidated Statements of Operations and Comprehensive Income (Loss).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Refinancing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In conjunction with the December 2019 refinancing, the Company redeemed, in full, the previously outstanding $1,659.0 million aggregate Term Loan due 2022, its $450.0 million Senior Notes due 2023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Maturities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Aggregate maturities of the Company’s long-term debt, excluding debt discounts, as of December 31, 2021,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6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8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2023</w:t>
            </w:r>
          </w:p>
        </w:tc>
        <w:tc>
          <w:tcPr>
            <w:tcW w:w="3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450</w:t>
            </w: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8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2025</w:t>
            </w:r>
          </w:p>
        </w:tc>
        <w:tc>
          <w:tcPr>
            <w:tcW w:w="3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8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1,763,100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8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Total</w:t>
            </w:r>
          </w:p>
        </w:tc>
        <w:tc>
          <w:tcPr>
            <w:tcW w:w="1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1,763,550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11. Income Taxes</w:t>
            </w: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200" w:type="dxa"/>
            <w:vAlign w:val="bottom"/>
            <w:gridSpan w:val="2"/>
          </w:tcPr>
          <w:p>
            <w:pPr>
              <w:spacing w:after="0"/>
              <w:rPr>
                <w:sz w:val="20"/>
                <w:szCs w:val="20"/>
                <w:color w:val="auto"/>
              </w:rPr>
            </w:pPr>
            <w:r>
              <w:rPr>
                <w:rFonts w:ascii="Arial" w:cs="Arial" w:eastAsia="Arial" w:hAnsi="Arial"/>
                <w:sz w:val="16"/>
                <w:szCs w:val="16"/>
                <w:color w:val="auto"/>
                <w:w w:val="93"/>
              </w:rPr>
              <w:t>The geographic sources of income (loss) before income taxes were as follows:</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3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6"/>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w:t>
            </w:r>
          </w:p>
        </w:tc>
        <w:tc>
          <w:tcPr>
            <w:tcW w:w="18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5,092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(168,943)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(99,733)</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w:t>
            </w:r>
          </w:p>
        </w:tc>
        <w:tc>
          <w:tcPr>
            <w:tcW w:w="1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170,624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130,083</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98,817</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175,716</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(38,860)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222"/>
              <w:spacing w:after="0"/>
              <w:rPr>
                <w:sz w:val="20"/>
                <w:szCs w:val="20"/>
                <w:color w:val="auto"/>
              </w:rPr>
            </w:pPr>
            <w:r>
              <w:rPr>
                <w:rFonts w:ascii="Arial" w:cs="Arial" w:eastAsia="Arial" w:hAnsi="Arial"/>
                <w:sz w:val="16"/>
                <w:szCs w:val="16"/>
                <w:color w:val="auto"/>
              </w:rPr>
              <w:t>92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1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Provision (benefit) for income taxes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56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Current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Federal U.S.</w:t>
            </w:r>
          </w:p>
        </w:tc>
        <w:tc>
          <w:tcPr>
            <w:tcW w:w="320" w:type="dxa"/>
            <w:vAlign w:val="bottom"/>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13,915</w:t>
            </w:r>
          </w:p>
        </w:tc>
        <w:tc>
          <w:tcPr>
            <w:tcW w:w="14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(10,560)</w:t>
            </w:r>
          </w:p>
        </w:tc>
        <w:tc>
          <w:tcPr>
            <w:tcW w:w="1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State U.S.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45,176</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16,886</w:t>
            </w: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62,311</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21,991</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38,502</w:t>
            </w:r>
          </w:p>
        </w:tc>
        <w:tc>
          <w:tcPr>
            <w:tcW w:w="0" w:type="dxa"/>
            <w:vAlign w:val="bottom"/>
          </w:tcPr>
          <w:p>
            <w:pPr>
              <w:spacing w:after="0"/>
              <w:rPr>
                <w:sz w:val="1"/>
                <w:szCs w:val="1"/>
                <w:color w:val="auto"/>
              </w:rPr>
            </w:pPr>
          </w:p>
        </w:tc>
      </w:tr>
      <w:tr>
        <w:trPr>
          <w:trHeight w:val="178"/>
        </w:trPr>
        <w:tc>
          <w:tcPr>
            <w:tcW w:w="70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Deferred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Federal U.S.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(18,177)</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State U.S.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(5,334)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(5,958)</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(13,690)</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5,142</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Total deferred benefit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(3,716)</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(18,993)</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provision (benefit) for income taxes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58,595</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w w:val="99"/>
              </w:rPr>
              <w:t>The provision (benefit) for income taxes is reconciled with the U.S. federal statutory rate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0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5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00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(benefit) computed at federal statutory rate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36,872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Arial" w:cs="Arial" w:eastAsia="Arial" w:hAnsi="Arial"/>
                <w:sz w:val="16"/>
                <w:szCs w:val="16"/>
                <w:color w:val="auto"/>
              </w:rPr>
              <w:t>Increase (decrease) in taxes as a result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State taxes, net of federal benefit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Valuation allowance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8,455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19,170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Global intangible low-tax income (“GILTI”)</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Nondeductible share-based compensation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Foreign tax rate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Impact of rate changes on deferred tax balances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Tax holiday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Audit settlement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Impact of CARES Act and final 951A regulations</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gridSpan w:val="3"/>
          </w:tcPr>
          <w:p>
            <w:pPr>
              <w:ind w:left="380"/>
              <w:spacing w:after="0"/>
              <w:rPr>
                <w:sz w:val="20"/>
                <w:szCs w:val="20"/>
                <w:color w:val="auto"/>
              </w:rPr>
            </w:pPr>
            <w:r>
              <w:rPr>
                <w:rFonts w:ascii="Arial" w:cs="Arial" w:eastAsia="Arial" w:hAnsi="Arial"/>
                <w:sz w:val="16"/>
                <w:szCs w:val="16"/>
                <w:color w:val="auto"/>
              </w:rPr>
              <w:t>Tax credits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(1,299)</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190"/>
        </w:trPr>
        <w:tc>
          <w:tcPr>
            <w:tcW w:w="7000" w:type="dxa"/>
            <w:vAlign w:val="bottom"/>
            <w:gridSpan w:val="3"/>
          </w:tcPr>
          <w:p>
            <w:pPr>
              <w:spacing w:after="0"/>
              <w:rPr>
                <w:sz w:val="20"/>
                <w:szCs w:val="20"/>
                <w:color w:val="auto"/>
              </w:rPr>
            </w:pPr>
            <w:r>
              <w:rPr>
                <w:rFonts w:ascii="Arial" w:cs="Arial" w:eastAsia="Arial" w:hAnsi="Arial"/>
                <w:sz w:val="16"/>
                <w:szCs w:val="16"/>
                <w:b w:val="1"/>
                <w:bCs w:val="1"/>
                <w:color w:val="auto"/>
              </w:rPr>
              <w:t>Total provision (benefit) for income taxes</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58,595</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19,509</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5540"/>
              <w:spacing w:after="0"/>
              <w:rPr>
                <w:sz w:val="20"/>
                <w:szCs w:val="20"/>
                <w:color w:val="auto"/>
              </w:rPr>
            </w:pPr>
            <w:r>
              <w:rPr>
                <w:rFonts w:ascii="Arial" w:cs="Arial" w:eastAsia="Arial" w:hAnsi="Arial"/>
                <w:sz w:val="16"/>
                <w:szCs w:val="16"/>
                <w:color w:val="auto"/>
              </w:rPr>
              <w:t>93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70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tax effects of temporary differences and carryforwards that gave rise to significant portions of the deferred tax assets and liabilities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3"/>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operating loss carryforwards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11,262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15,076</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Net capital loss carryforwards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4,128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Reserves and accruals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14,968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15,832</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Employee benefits and compensation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5,145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13,094</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Unrealized foreign currency exchange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9,949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10,666</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11,107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12,446</w:t>
            </w:r>
          </w:p>
        </w:tc>
        <w:tc>
          <w:tcPr>
            <w:tcW w:w="0" w:type="dxa"/>
            <w:vAlign w:val="bottom"/>
          </w:tcPr>
          <w:p>
            <w:pPr>
              <w:spacing w:after="0"/>
              <w:rPr>
                <w:sz w:val="1"/>
                <w:szCs w:val="1"/>
                <w:color w:val="auto"/>
              </w:rPr>
            </w:pP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Disallowed interest carryforward</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76,386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68,045</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5,344</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color w:val="auto"/>
              </w:rPr>
              <w:t>Deferred tax assets before valuation allowance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140,044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144,857</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(52,080)</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(43,765)</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Net deferred tax assets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87,964</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101,092</w:t>
            </w:r>
          </w:p>
        </w:tc>
        <w:tc>
          <w:tcPr>
            <w:tcW w:w="0" w:type="dxa"/>
            <w:vAlign w:val="bottom"/>
          </w:tcPr>
          <w:p>
            <w:pPr>
              <w:spacing w:after="0"/>
              <w:rPr>
                <w:sz w:val="1"/>
                <w:szCs w:val="1"/>
                <w:color w:val="auto"/>
              </w:rPr>
            </w:pPr>
          </w:p>
        </w:tc>
      </w:tr>
      <w:tr>
        <w:trPr>
          <w:trHeight w:val="198"/>
        </w:trPr>
        <w:tc>
          <w:tcPr>
            <w:tcW w:w="846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(214,884)</w:t>
            </w: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(214,484)</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(1,696)</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Total deferred tax liabilities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(216,580)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(214,484)</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deferred tax liabilities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(128,616)</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Noncurrent net deferred tax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60" w:type="dxa"/>
            <w:vAlign w:val="bottom"/>
            <w:gridSpan w:val="3"/>
            <w:vMerge w:val="continue"/>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5,885</w:t>
            </w:r>
          </w:p>
        </w:tc>
        <w:tc>
          <w:tcPr>
            <w:tcW w:w="160" w:type="dxa"/>
            <w:vAlign w:val="bottom"/>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Noncurrent net deferred tax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(134,501)</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(121,816)</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Noncurrent net deferred tax liabilities</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(128,616)</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At December 31, 2021 and 2020, the Company had available state net operating loss carryforwards of $46.4 million and $42.7 million, respectively, of which $2.8 million have no expiration date, and foreign net operating loss carryforwards of approximately $31.6 million and $50.9 million, respectively, the majority of which have no expiration date. At December 31, 2021 and 2020, a valuation allowance was established against foreign net operating loss carryforwards for $3.2 million and $2.6 million, respectively. Based on management’s assessment, it is not more likely than not that these deferred tax assets will be realized through future taxable income.</w:t>
      </w:r>
    </w:p>
    <w:p>
      <w:pPr>
        <w:spacing w:after="0" w:line="141"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At December 31, 2021 and 2020,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As of December 31, 2021 and 2020, the gross reserve for uncertain tax positions, excluding accrued interest and penalties, was less than $1.0 million, respectively, as noted in the following reconciliation.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Company’s unrecognized income tax benefits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3000" w:type="dxa"/>
            <w:vAlign w:val="bottom"/>
            <w:gridSpan w:val="2"/>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For the period from January 1 – December 31,</w:t>
            </w: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Gross unrecognized tax benefits, beginning of year</w:t>
            </w:r>
          </w:p>
        </w:tc>
        <w:tc>
          <w:tcPr>
            <w:tcW w:w="4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8"/>
        </w:trPr>
        <w:tc>
          <w:tcPr>
            <w:tcW w:w="4360" w:type="dxa"/>
            <w:vAlign w:val="bottom"/>
            <w:gridSpan w:val="3"/>
          </w:tcPr>
          <w:p>
            <w:pPr>
              <w:spacing w:after="0"/>
              <w:rPr>
                <w:sz w:val="20"/>
                <w:szCs w:val="20"/>
                <w:color w:val="auto"/>
              </w:rPr>
            </w:pPr>
            <w:r>
              <w:rPr>
                <w:rFonts w:ascii="Arial" w:cs="Arial" w:eastAsia="Arial" w:hAnsi="Arial"/>
                <w:sz w:val="16"/>
                <w:szCs w:val="16"/>
                <w:color w:val="auto"/>
              </w:rPr>
              <w:t>Additions related to current year</w:t>
            </w:r>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Settlements</w:t>
            </w:r>
          </w:p>
        </w:tc>
        <w:tc>
          <w:tcPr>
            <w:tcW w:w="4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36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Gross unrecognized tax benefits, end of period</w:t>
            </w:r>
          </w:p>
        </w:tc>
        <w:tc>
          <w:tcPr>
            <w:tcW w:w="41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00" w:type="dxa"/>
            <w:vAlign w:val="bottom"/>
            <w:vMerge w:val="restart"/>
          </w:tcPr>
          <w:p>
            <w:pPr>
              <w:jc w:val="right"/>
              <w:ind w:right="2682"/>
              <w:spacing w:after="0"/>
              <w:rPr>
                <w:sz w:val="20"/>
                <w:szCs w:val="20"/>
                <w:color w:val="auto"/>
              </w:rPr>
            </w:pPr>
            <w:r>
              <w:rPr>
                <w:rFonts w:ascii="Arial" w:cs="Arial" w:eastAsia="Arial" w:hAnsi="Arial"/>
                <w:sz w:val="16"/>
                <w:szCs w:val="16"/>
                <w:color w:val="auto"/>
              </w:rPr>
              <w:t>94</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330" w:lineRule="auto"/>
        <w:rPr>
          <w:sz w:val="20"/>
          <w:szCs w:val="20"/>
          <w:color w:val="auto"/>
        </w:rPr>
      </w:pPr>
      <w:r>
        <w:rPr>
          <w:rFonts w:ascii="Arial" w:cs="Arial" w:eastAsia="Arial" w:hAnsi="Arial"/>
          <w:sz w:val="14"/>
          <w:szCs w:val="14"/>
          <w:color w:val="auto"/>
        </w:rPr>
        <w:t>The Company recognizes interest and penalties as part of the provision for income taxes. For the years ended December 31, 2021, 2020 and 2019 interest and penalties related to uncertain income tax positions that were recognized in the Consolidated Statements of Operations and Comprehensive Income (Loss) were not material.</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2011. Tax years through December 31, 2018 have been audited by the Internal Revenue Service (“IRS”) and are effectively closed for U.S. federal income tax purposes and no other fiscal years are currently under audit. For Nordion’s Canadian tax, all tax years through October 31, 2016 have been closed through audit or statute, and no other fiscal years are currently under audit.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 portion of the Company’s foreign operations benefit from a tax holiday, which is set to expire in 2026. This tax holiday may be terminated early if certain conditions are not met.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tax benefit attributable to this holiday was $0.7 million and $0.6 million for the fiscal years ended December 31, 2021 and 2020,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Employee Benefits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Retirement Benefits in the U.S.</w:t>
      </w:r>
    </w:p>
    <w:p>
      <w:pPr>
        <w:spacing w:after="0" w:line="10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$4.3 million, $4.2 million, and $3.8 million for the years ended December 31, 2021, 2020 and 2019, respectively, and are recorded in the same line as the respective employee’s wages. Administrative expenses related to the plan are paid by the Company and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Retirement Benefits Outside the U.S.</w:t>
      </w:r>
    </w:p>
    <w:p>
      <w:pPr>
        <w:spacing w:after="0" w:line="102" w:lineRule="exact"/>
        <w:rPr>
          <w:sz w:val="20"/>
          <w:szCs w:val="20"/>
          <w:color w:val="auto"/>
        </w:rPr>
      </w:pPr>
    </w:p>
    <w:p>
      <w:pPr>
        <w:jc w:val="both"/>
        <w:ind w:right="160"/>
        <w:spacing w:after="0" w:line="304" w:lineRule="auto"/>
        <w:rPr>
          <w:sz w:val="20"/>
          <w:szCs w:val="20"/>
          <w:color w:val="auto"/>
        </w:rPr>
      </w:pPr>
      <w:r>
        <w:rPr>
          <w:rFonts w:ascii="Arial" w:cs="Arial" w:eastAsia="Arial" w:hAnsi="Arial"/>
          <w:sz w:val="14"/>
          <w:szCs w:val="14"/>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$1.4 million, $1.2 million and $1.1 million for the years ended December 31, 2021, 2020 and 2019,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Plans</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Benefit Pension Plan</w:t>
      </w:r>
    </w:p>
    <w:p>
      <w:pPr>
        <w:spacing w:after="0" w:line="9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interest cost, expected return on plan assets, and amortization of net actuarial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2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 cost</w:t>
            </w:r>
          </w:p>
        </w:tc>
        <w:tc>
          <w:tcPr>
            <w:tcW w:w="3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1,204</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98"/>
        </w:trPr>
        <w:tc>
          <w:tcPr>
            <w:tcW w:w="382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8,034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3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(14,370)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(13,218)</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Amortization of net actuarial loss</w:t>
            </w:r>
          </w:p>
        </w:tc>
        <w:tc>
          <w:tcPr>
            <w:tcW w:w="3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periodic benefit</w:t>
            </w:r>
          </w:p>
        </w:tc>
        <w:tc>
          <w:tcPr>
            <w:tcW w:w="3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(5,571)</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1222"/>
              <w:spacing w:after="0"/>
              <w:rPr>
                <w:sz w:val="20"/>
                <w:szCs w:val="20"/>
                <w:color w:val="auto"/>
              </w:rPr>
            </w:pPr>
            <w:r>
              <w:rPr>
                <w:rFonts w:ascii="Arial" w:cs="Arial" w:eastAsia="Arial" w:hAnsi="Arial"/>
                <w:sz w:val="16"/>
                <w:szCs w:val="16"/>
                <w:color w:val="auto"/>
              </w:rPr>
              <w:t>95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 average assumptions were used in the determination of the projected benefit obligation and the net periodic benefit: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40" w:type="dxa"/>
            <w:vAlign w:val="bottom"/>
            <w:gridSpan w:val="4"/>
          </w:tcPr>
          <w:p>
            <w:pPr>
              <w:spacing w:after="0"/>
              <w:rPr>
                <w:sz w:val="20"/>
                <w:szCs w:val="20"/>
                <w:color w:val="auto"/>
              </w:rPr>
            </w:pPr>
            <w:r>
              <w:rPr>
                <w:rFonts w:ascii="Arial" w:cs="Arial" w:eastAsia="Arial" w:hAnsi="Arial"/>
                <w:sz w:val="12"/>
                <w:szCs w:val="12"/>
                <w:b w:val="1"/>
                <w:bCs w:val="1"/>
                <w:color w:val="auto"/>
              </w:rPr>
              <w:t>Year ended December 31,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52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524"/>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8"/>
        </w:trPr>
        <w:tc>
          <w:tcPr>
            <w:tcW w:w="824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Projected benefit obligation</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8240" w:type="dxa"/>
            <w:vAlign w:val="bottom"/>
            <w:gridSpan w:val="4"/>
          </w:tcPr>
          <w:p>
            <w:pPr>
              <w:spacing w:after="0"/>
              <w:rPr>
                <w:sz w:val="20"/>
                <w:szCs w:val="20"/>
                <w:color w:val="auto"/>
              </w:rPr>
            </w:pPr>
            <w:r>
              <w:rPr>
                <w:rFonts w:ascii="Arial" w:cs="Arial" w:eastAsia="Arial" w:hAnsi="Arial"/>
                <w:sz w:val="16"/>
                <w:szCs w:val="16"/>
                <w:color w:val="auto"/>
              </w:rPr>
              <w:t>Discount rate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3.01 %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198"/>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Rate of compensation increase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3.00 %</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198"/>
        </w:trPr>
        <w:tc>
          <w:tcPr>
            <w:tcW w:w="8240" w:type="dxa"/>
            <w:vAlign w:val="bottom"/>
            <w:gridSpan w:val="4"/>
          </w:tcPr>
          <w:p>
            <w:pPr>
              <w:spacing w:after="0"/>
              <w:rPr>
                <w:sz w:val="20"/>
                <w:szCs w:val="20"/>
                <w:color w:val="auto"/>
              </w:rPr>
            </w:pPr>
            <w:r>
              <w:rPr>
                <w:rFonts w:ascii="Arial" w:cs="Arial" w:eastAsia="Arial" w:hAnsi="Arial"/>
                <w:sz w:val="16"/>
                <w:szCs w:val="16"/>
                <w:b w:val="1"/>
                <w:bCs w:val="1"/>
                <w:color w:val="auto"/>
              </w:rPr>
              <w:t>Periodic benefit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Discount rate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2.53 %</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r>
      <w:tr>
        <w:trPr>
          <w:trHeight w:val="198"/>
        </w:trPr>
        <w:tc>
          <w:tcPr>
            <w:tcW w:w="8240" w:type="dxa"/>
            <w:vAlign w:val="bottom"/>
            <w:gridSpan w:val="4"/>
          </w:tcPr>
          <w:p>
            <w:pPr>
              <w:spacing w:after="0"/>
              <w:rPr>
                <w:sz w:val="20"/>
                <w:szCs w:val="20"/>
                <w:color w:val="auto"/>
              </w:rPr>
            </w:pPr>
            <w:r>
              <w:rPr>
                <w:rFonts w:ascii="Arial" w:cs="Arial" w:eastAsia="Arial" w:hAnsi="Arial"/>
                <w:sz w:val="16"/>
                <w:szCs w:val="16"/>
                <w:color w:val="auto"/>
              </w:rPr>
              <w:t>Expected return on plan 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5.00 %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5.50 %</w:t>
            </w:r>
          </w:p>
        </w:tc>
      </w:tr>
      <w:tr>
        <w:trPr>
          <w:trHeight w:val="198"/>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Rate of compensation increase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3.00 %</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454"/>
        </w:trPr>
        <w:tc>
          <w:tcPr>
            <w:tcW w:w="8240" w:type="dxa"/>
            <w:vAlign w:val="bottom"/>
            <w:gridSpan w:val="4"/>
          </w:tcPr>
          <w:p>
            <w:pPr>
              <w:spacing w:after="0"/>
              <w:rPr>
                <w:sz w:val="20"/>
                <w:szCs w:val="20"/>
                <w:color w:val="auto"/>
              </w:rPr>
            </w:pPr>
            <w:r>
              <w:rPr>
                <w:rFonts w:ascii="Arial" w:cs="Arial" w:eastAsia="Arial" w:hAnsi="Arial"/>
                <w:sz w:val="16"/>
                <w:szCs w:val="16"/>
                <w:color w:val="auto"/>
                <w:w w:val="94"/>
              </w:rPr>
              <w:t>The changes in the projected benefit obligation, fair value of plan assets, and the funded status of the plans are as follows: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68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67"/>
        </w:trPr>
        <w:tc>
          <w:tcPr>
            <w:tcW w:w="8240" w:type="dxa"/>
            <w:vAlign w:val="bottom"/>
            <w:gridSpan w:val="4"/>
          </w:tcPr>
          <w:p>
            <w:pPr>
              <w:spacing w:after="0"/>
              <w:rPr>
                <w:sz w:val="20"/>
                <w:szCs w:val="20"/>
                <w:color w:val="auto"/>
              </w:rPr>
            </w:pPr>
            <w:r>
              <w:rPr>
                <w:rFonts w:ascii="Arial" w:cs="Arial" w:eastAsia="Arial" w:hAnsi="Arial"/>
                <w:sz w:val="12"/>
                <w:szCs w:val="12"/>
                <w:b w:val="1"/>
                <w:bCs w:val="1"/>
                <w:color w:val="auto"/>
              </w:rPr>
              <w:t>As of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4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8"/>
        </w:trPr>
        <w:tc>
          <w:tcPr>
            <w:tcW w:w="824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Change in projected benefit obligation:</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Projected benefit obligation, as of beginning of the year</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323,515</w:t>
            </w:r>
          </w:p>
        </w:tc>
        <w:tc>
          <w:tcPr>
            <w:tcW w:w="6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294,275</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8,034</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(10,729)</w:t>
            </w: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(23,831)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23,155</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1,460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7,494</w:t>
            </w:r>
          </w:p>
        </w:tc>
      </w:tr>
      <w:tr>
        <w:trPr>
          <w:trHeight w:val="38"/>
        </w:trPr>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Projected benefit obligation, end of year</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296,712</w:t>
            </w: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323,515</w:t>
            </w: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Change in fair value of plan assets: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Fair value of plan assets as of the beginning of the year</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288,539</w:t>
            </w:r>
          </w:p>
        </w:tc>
        <w:tc>
          <w:tcPr>
            <w:tcW w:w="6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275,248</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Actual return on plan assets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24,251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16,834</w:t>
            </w: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(12,330)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(10,729)</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Employer contributions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198"/>
        </w:trPr>
        <w:tc>
          <w:tcPr>
            <w:tcW w:w="8240" w:type="dxa"/>
            <w:vAlign w:val="bottom"/>
            <w:gridSpan w:val="4"/>
          </w:tcPr>
          <w:p>
            <w:pPr>
              <w:ind w:left="380"/>
              <w:spacing w:after="0"/>
              <w:rPr>
                <w:sz w:val="20"/>
                <w:szCs w:val="20"/>
                <w:color w:val="auto"/>
              </w:rPr>
            </w:pPr>
            <w:r>
              <w:rPr>
                <w:rFonts w:ascii="Arial" w:cs="Arial" w:eastAsia="Arial" w:hAnsi="Arial"/>
                <w:sz w:val="16"/>
                <w:szCs w:val="16"/>
                <w:color w:val="auto"/>
              </w:rPr>
              <w:t>Employee contributions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198"/>
        </w:trPr>
        <w:tc>
          <w:tcPr>
            <w:tcW w:w="82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r>
      <w:tr>
        <w:trPr>
          <w:trHeight w:val="38"/>
        </w:trPr>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Fair value of plan assets, end of year</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302,190</w:t>
            </w: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288,539</w:t>
            </w: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Funded (underfunded) status at end of year</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5,478</w:t>
            </w:r>
          </w:p>
        </w:tc>
        <w:tc>
          <w:tcPr>
            <w:tcW w:w="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(34,976)</w:t>
            </w: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2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Accumulated benefit obligation, end of year</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291,818</w:t>
            </w:r>
          </w:p>
        </w:tc>
        <w:tc>
          <w:tcPr>
            <w:tcW w:w="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317,141</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All defined benefit pension plans are funded as of December 31, 2021 while they were underfunded at December 31, 2020.</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funded status, measured as the difference between the fair value of the plan assets and the projected benefit obligation, are included in “Post-retirement asset” for over funded plans and “Post-retirement obligations” for underfunded plans in the Consolidated Balance Sheets.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funded status to amounts recognized in the consolidated balance sheets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Projected benefit obligation</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296,712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323,515</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Fair value of plan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302,190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288,539</w:t>
            </w: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Plan assets greater than (less than) projected benefit obligation</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(34,976)</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Unrecognized net actuarial loss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23,779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57,932</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amount recognized at year end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29,257</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Noncurrent assets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60" w:type="dxa"/>
            <w:vAlign w:val="bottom"/>
            <w:gridSpan w:val="3"/>
            <w:vMerge w:val="continue"/>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5,478</w:t>
            </w:r>
          </w:p>
        </w:tc>
        <w:tc>
          <w:tcPr>
            <w:tcW w:w="160" w:type="dxa"/>
            <w:vAlign w:val="bottom"/>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(34,976)</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23,779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57,932</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Net amount recognized at year end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29,257</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the amounts in accumulated other comprehensive (income) loss that have not yet been recognized as components of pension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66"/>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w w:val="98"/>
              </w:rPr>
              <w:t>23,779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89"/>
              </w:rPr>
              <w:t>57,932</w:t>
            </w: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w w:val="90"/>
              </w:rPr>
              <w:t>(6,025)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w w:val="90"/>
              </w:rPr>
              <w:t>(14,603)</w:t>
            </w: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Accumulated other comprehensive loss – net of tax</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8"/>
              </w:rPr>
              <w:t>17,754</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6"/>
                <w:szCs w:val="16"/>
                <w:color w:val="auto"/>
                <w:w w:val="89"/>
              </w:rPr>
              <w:t>43,329</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do not expect to reclassify any of the net actuarial loss in accumulated other comprehensive income to net periodic pension cost in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asset allocation of the Company’s pension plans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00" w:type="dxa"/>
            <w:vAlign w:val="bottom"/>
            <w:gridSpan w:val="2"/>
          </w:tcPr>
          <w:p>
            <w:pPr>
              <w:spacing w:after="0"/>
              <w:rPr>
                <w:sz w:val="20"/>
                <w:szCs w:val="20"/>
                <w:color w:val="auto"/>
              </w:rPr>
            </w:pPr>
            <w:r>
              <w:rPr>
                <w:rFonts w:ascii="Arial" w:cs="Arial" w:eastAsia="Arial" w:hAnsi="Arial"/>
                <w:sz w:val="12"/>
                <w:szCs w:val="12"/>
                <w:b w:val="1"/>
                <w:bCs w:val="1"/>
                <w:color w:val="auto"/>
              </w:rPr>
              <w:t>Asset Category</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Target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505"/>
              <w:spacing w:after="0"/>
              <w:rPr>
                <w:sz w:val="20"/>
                <w:szCs w:val="20"/>
                <w:color w:val="auto"/>
              </w:rPr>
            </w:pPr>
            <w:r>
              <w:rPr>
                <w:rFonts w:ascii="Arial" w:cs="Arial" w:eastAsia="Arial" w:hAnsi="Arial"/>
                <w:sz w:val="12"/>
                <w:szCs w:val="12"/>
                <w:b w:val="1"/>
                <w:bCs w:val="1"/>
                <w:color w:val="auto"/>
              </w:rPr>
              <w:t>2020</w:t>
            </w:r>
          </w:p>
        </w:tc>
      </w:tr>
      <w:tr>
        <w:trPr>
          <w:trHeight w:val="27"/>
        </w:trPr>
        <w:tc>
          <w:tcPr>
            <w:tcW w:w="820" w:type="dxa"/>
            <w:vAlign w:val="bottom"/>
            <w:tcBorders>
              <w:top w:val="single" w:sz="8" w:color="auto"/>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0.9 %</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198"/>
        </w:trPr>
        <w:tc>
          <w:tcPr>
            <w:tcW w:w="6700" w:type="dxa"/>
            <w:vAlign w:val="bottom"/>
            <w:gridSpan w:val="2"/>
          </w:tcPr>
          <w:p>
            <w:pPr>
              <w:spacing w:after="0"/>
              <w:rPr>
                <w:sz w:val="20"/>
                <w:szCs w:val="20"/>
                <w:color w:val="auto"/>
              </w:rPr>
            </w:pPr>
            <w:r>
              <w:rPr>
                <w:rFonts w:ascii="Arial" w:cs="Arial" w:eastAsia="Arial" w:hAnsi="Arial"/>
                <w:sz w:val="16"/>
                <w:szCs w:val="16"/>
                <w:color w:val="auto"/>
              </w:rPr>
              <w:t>Fixed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46.0 %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46.6 %</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42.0 %</w:t>
            </w:r>
          </w:p>
        </w:tc>
      </w:tr>
      <w:tr>
        <w:trPr>
          <w:trHeight w:val="198"/>
        </w:trPr>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Equities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34.2 %</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r>
      <w:tr>
        <w:trPr>
          <w:trHeight w:val="198"/>
        </w:trPr>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Real assets and alternatives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19.0 %</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18.3 %</w:t>
            </w: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19.6 %</w:t>
            </w:r>
          </w:p>
        </w:tc>
      </w:tr>
      <w:tr>
        <w:trPr>
          <w:trHeight w:val="215"/>
        </w:trPr>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100.0 %</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table provides a basis of fair value measurement for plan assets held by the Company’s pension plans that are measured at fair value on a recurring basis. Refer to the discussion of fair value hierarchy in Note 21, “Financial Instruments and Financial Risk”.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 2021</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(thousands of U.S. dollars)</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7"/>
        </w:trPr>
        <w:tc>
          <w:tcPr>
            <w:tcW w:w="1280" w:type="dxa"/>
            <w:vAlign w:val="bottom"/>
            <w:tcBorders>
              <w:top w:val="single" w:sz="8" w:color="auto"/>
              <w:bottom w:val="single" w:sz="8" w:color="CCEEFF"/>
            </w:tcBorders>
          </w:tcPr>
          <w:p>
            <w:pPr>
              <w:spacing w:after="0"/>
              <w:rPr>
                <w:sz w:val="2"/>
                <w:szCs w:val="2"/>
                <w:color w:val="auto"/>
              </w:rPr>
            </w:pPr>
          </w:p>
        </w:tc>
        <w:tc>
          <w:tcPr>
            <w:tcW w:w="100" w:type="dxa"/>
            <w:vAlign w:val="bottom"/>
            <w:tcBorders>
              <w:top w:val="single" w:sz="8" w:color="auto"/>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2,660</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Arial" w:cs="Arial" w:eastAsia="Arial" w:hAnsi="Arial"/>
                <w:sz w:val="16"/>
                <w:szCs w:val="16"/>
                <w:color w:val="auto"/>
              </w:rPr>
              <w:t>Fixed income securities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140,842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140,842</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103,506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103,506</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Arial" w:cs="Arial" w:eastAsia="Arial" w:hAnsi="Arial"/>
                <w:sz w:val="16"/>
                <w:szCs w:val="16"/>
                <w:color w:val="auto"/>
              </w:rPr>
              <w:t>Real assets and alternatives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55,182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55,182</w:t>
            </w:r>
          </w:p>
        </w:tc>
        <w:tc>
          <w:tcPr>
            <w:tcW w:w="0" w:type="dxa"/>
            <w:vAlign w:val="bottom"/>
          </w:tcPr>
          <w:p>
            <w:pPr>
              <w:spacing w:after="0"/>
              <w:rPr>
                <w:sz w:val="1"/>
                <w:szCs w:val="1"/>
                <w:color w:val="auto"/>
              </w:rPr>
            </w:pPr>
          </w:p>
        </w:tc>
      </w:tr>
      <w:tr>
        <w:trPr>
          <w:trHeight w:val="215"/>
        </w:trPr>
        <w:tc>
          <w:tcPr>
            <w:tcW w:w="7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302,190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2"/>
                <w:szCs w:val="12"/>
                <w:color w:val="auto"/>
              </w:rPr>
              <w:t>As of December 31, 2020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ind w:left="640"/>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12"/>
                <w:szCs w:val="12"/>
                <w:color w:val="auto"/>
              </w:rPr>
            </w:pPr>
          </w:p>
        </w:tc>
        <w:tc>
          <w:tcPr>
            <w:tcW w:w="1200" w:type="dxa"/>
            <w:vAlign w:val="bottom"/>
            <w:gridSpan w:val="2"/>
          </w:tcPr>
          <w:p>
            <w:pPr>
              <w:ind w:left="64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7000" w:type="dxa"/>
            <w:vAlign w:val="bottom"/>
            <w:gridSpan w:val="3"/>
            <w:vMerge w:val="restart"/>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3"/>
            <w:vMerge w:val="continue"/>
          </w:tcPr>
          <w:p>
            <w:pPr>
              <w:spacing w:after="0"/>
              <w:rPr>
                <w:sz w:val="16"/>
                <w:szCs w:val="16"/>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3,751</w:t>
            </w:r>
          </w:p>
        </w:tc>
        <w:tc>
          <w:tcPr>
            <w:tcW w:w="140" w:type="dxa"/>
            <w:vAlign w:val="bottom"/>
          </w:tcPr>
          <w:p>
            <w:pPr>
              <w:spacing w:after="0"/>
              <w:rPr>
                <w:sz w:val="16"/>
                <w:szCs w:val="16"/>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121,186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121,186</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107,048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107,048</w:t>
            </w:r>
          </w:p>
        </w:tc>
        <w:tc>
          <w:tcPr>
            <w:tcW w:w="0" w:type="dxa"/>
            <w:vAlign w:val="bottom"/>
          </w:tcPr>
          <w:p>
            <w:pPr>
              <w:spacing w:after="0"/>
              <w:rPr>
                <w:sz w:val="1"/>
                <w:szCs w:val="1"/>
                <w:color w:val="auto"/>
              </w:rPr>
            </w:pPr>
          </w:p>
        </w:tc>
      </w:tr>
      <w:tr>
        <w:trPr>
          <w:trHeight w:val="198"/>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Hedge funds</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56,554</w:t>
            </w:r>
          </w:p>
        </w:tc>
        <w:tc>
          <w:tcPr>
            <w:tcW w:w="0" w:type="dxa"/>
            <w:vAlign w:val="bottom"/>
          </w:tcPr>
          <w:p>
            <w:pPr>
              <w:spacing w:after="0"/>
              <w:rPr>
                <w:sz w:val="1"/>
                <w:szCs w:val="1"/>
                <w:color w:val="auto"/>
              </w:rPr>
            </w:pPr>
          </w:p>
        </w:tc>
      </w:tr>
      <w:tr>
        <w:trPr>
          <w:trHeight w:val="189"/>
        </w:trPr>
        <w:tc>
          <w:tcPr>
            <w:tcW w:w="7000" w:type="dxa"/>
            <w:vAlign w:val="bottom"/>
            <w:gridSpan w:val="3"/>
          </w:tcPr>
          <w:p>
            <w:pPr>
              <w:spacing w:after="0" w:line="178" w:lineRule="exact"/>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3,751</w:t>
            </w: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284,788</w:t>
            </w: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288,539</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6"/>
                <w:szCs w:val="16"/>
                <w:color w:val="auto"/>
              </w:rPr>
              <w:t>Expected future benefit payments from plan assets are as follows: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00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(thousands of U.S. dollars)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14,108</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14,470</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14,852</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15,137</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15,410</w:t>
            </w:r>
          </w:p>
        </w:tc>
        <w:tc>
          <w:tcPr>
            <w:tcW w:w="0" w:type="dxa"/>
            <w:vAlign w:val="bottom"/>
          </w:tcPr>
          <w:p>
            <w:pPr>
              <w:spacing w:after="0"/>
              <w:rPr>
                <w:sz w:val="1"/>
                <w:szCs w:val="1"/>
                <w:color w:val="auto"/>
              </w:rPr>
            </w:pPr>
          </w:p>
        </w:tc>
      </w:tr>
      <w:tr>
        <w:trPr>
          <w:trHeight w:val="198"/>
        </w:trPr>
        <w:tc>
          <w:tcPr>
            <w:tcW w:w="1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2027 - 2031</w:t>
            </w:r>
          </w:p>
        </w:tc>
        <w:tc>
          <w:tcPr>
            <w:tcW w:w="10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79,963</w:t>
            </w:r>
          </w:p>
        </w:tc>
        <w:tc>
          <w:tcPr>
            <w:tcW w:w="0" w:type="dxa"/>
            <w:vAlign w:val="bottom"/>
          </w:tcPr>
          <w:p>
            <w:pPr>
              <w:spacing w:after="0"/>
              <w:rPr>
                <w:sz w:val="1"/>
                <w:szCs w:val="1"/>
                <w:color w:val="auto"/>
              </w:rPr>
            </w:pPr>
          </w:p>
        </w:tc>
      </w:tr>
      <w:tr>
        <w:trPr>
          <w:trHeight w:val="215"/>
        </w:trPr>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153,940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Post Retirement Benefit Plans</w:t>
      </w:r>
    </w:p>
    <w:p>
      <w:pPr>
        <w:spacing w:after="0" w:line="96"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7"/>
        </w:trPr>
        <w:tc>
          <w:tcPr>
            <w:tcW w:w="138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 cost</w:t>
            </w:r>
          </w:p>
        </w:tc>
        <w:tc>
          <w:tcPr>
            <w:tcW w:w="29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net actuarial (gain) loss</w:t>
            </w:r>
          </w:p>
        </w:tc>
        <w:tc>
          <w:tcPr>
            <w:tcW w:w="29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Net periodic benefit cost</w:t>
            </w:r>
          </w:p>
        </w:tc>
        <w:tc>
          <w:tcPr>
            <w:tcW w:w="298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980" w:type="dxa"/>
            <w:vAlign w:val="bottom"/>
            <w:vMerge w:val="restart"/>
          </w:tcPr>
          <w:p>
            <w:pPr>
              <w:jc w:val="right"/>
              <w:ind w:right="1222"/>
              <w:spacing w:after="0"/>
              <w:rPr>
                <w:sz w:val="20"/>
                <w:szCs w:val="20"/>
                <w:color w:val="auto"/>
              </w:rPr>
            </w:pPr>
            <w:r>
              <w:rPr>
                <w:rFonts w:ascii="Arial" w:cs="Arial" w:eastAsia="Arial" w:hAnsi="Arial"/>
                <w:sz w:val="16"/>
                <w:szCs w:val="16"/>
                <w:color w:val="auto"/>
              </w:rPr>
              <w:t>98</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8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determine the projected benefit obligation and net periodic pension cost for these plans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1440" w:type="dxa"/>
            <w:vAlign w:val="bottom"/>
          </w:tcPr>
          <w:p>
            <w:pPr>
              <w:jc w:val="right"/>
              <w:ind w:right="52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1420" w:type="dxa"/>
            <w:vAlign w:val="bottom"/>
          </w:tcPr>
          <w:p>
            <w:pPr>
              <w:jc w:val="right"/>
              <w:ind w:right="524"/>
              <w:spacing w:after="0"/>
              <w:rPr>
                <w:sz w:val="20"/>
                <w:szCs w:val="20"/>
                <w:color w:val="auto"/>
              </w:rPr>
            </w:pPr>
            <w:r>
              <w:rPr>
                <w:rFonts w:ascii="Arial" w:cs="Arial" w:eastAsia="Arial" w:hAnsi="Arial"/>
                <w:sz w:val="12"/>
                <w:szCs w:val="12"/>
                <w:b w:val="1"/>
                <w:bCs w:val="1"/>
                <w:color w:val="auto"/>
              </w:rPr>
              <w:t>2020</w:t>
            </w:r>
          </w:p>
        </w:tc>
      </w:tr>
      <w:tr>
        <w:trPr>
          <w:trHeight w:val="27"/>
        </w:trPr>
        <w:tc>
          <w:tcPr>
            <w:tcW w:w="138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8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Projected benefit obligation:</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Discount rate</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3.01 %</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198"/>
        </w:trPr>
        <w:tc>
          <w:tcPr>
            <w:tcW w:w="8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Rate of compensation increase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3.00 %</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Initial health care cost trend rate</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7.00 %</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7.00 %</w:t>
            </w:r>
          </w:p>
        </w:tc>
      </w:tr>
      <w:tr>
        <w:trPr>
          <w:trHeight w:val="198"/>
        </w:trPr>
        <w:tc>
          <w:tcPr>
            <w:tcW w:w="8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Ultimate health care cost trend rate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4.00 %</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Years until ultimate trend rate is reached</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8"/>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Benefit cost:</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8"/>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Discount rate</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2.53 %</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3.13 %</w:t>
            </w:r>
          </w:p>
        </w:tc>
      </w:tr>
      <w:tr>
        <w:trPr>
          <w:trHeight w:val="198"/>
        </w:trPr>
        <w:tc>
          <w:tcPr>
            <w:tcW w:w="8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Rate of compensation increase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3.00 %</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bl>
    <w:p>
      <w:pPr>
        <w:spacing w:after="0" w:line="25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gridSpan w:val="3"/>
          </w:tcPr>
          <w:p>
            <w:pPr>
              <w:spacing w:after="0"/>
              <w:rPr>
                <w:sz w:val="20"/>
                <w:szCs w:val="20"/>
                <w:color w:val="auto"/>
              </w:rPr>
            </w:pPr>
            <w:r>
              <w:rPr>
                <w:rFonts w:ascii="Arial" w:cs="Arial" w:eastAsia="Arial" w:hAnsi="Arial"/>
                <w:sz w:val="12"/>
                <w:szCs w:val="12"/>
                <w:i w:val="1"/>
                <w:iCs w:val="1"/>
                <w:color w:val="auto"/>
              </w:rPr>
              <w:t>(thousands of U.S. dollars)</w:t>
            </w:r>
          </w:p>
        </w:tc>
        <w:tc>
          <w:tcPr>
            <w:tcW w:w="22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1% Increase</w:t>
            </w:r>
          </w:p>
        </w:tc>
        <w:tc>
          <w:tcPr>
            <w:tcW w:w="200" w:type="dxa"/>
            <w:vAlign w:val="bottom"/>
          </w:tcPr>
          <w:p>
            <w:pPr>
              <w:spacing w:after="0"/>
              <w:rPr>
                <w:sz w:val="12"/>
                <w:szCs w:val="12"/>
                <w:color w:val="auto"/>
              </w:rPr>
            </w:pPr>
          </w:p>
        </w:tc>
        <w:tc>
          <w:tcPr>
            <w:tcW w:w="1120" w:type="dxa"/>
            <w:vAlign w:val="bottom"/>
          </w:tcPr>
          <w:p>
            <w:pPr>
              <w:jc w:val="right"/>
              <w:ind w:right="244"/>
              <w:spacing w:after="0"/>
              <w:rPr>
                <w:sz w:val="20"/>
                <w:szCs w:val="20"/>
                <w:color w:val="auto"/>
              </w:rPr>
            </w:pPr>
            <w:r>
              <w:rPr>
                <w:rFonts w:ascii="Arial" w:cs="Arial" w:eastAsia="Arial" w:hAnsi="Arial"/>
                <w:sz w:val="12"/>
                <w:szCs w:val="12"/>
                <w:b w:val="1"/>
                <w:bCs w:val="1"/>
                <w:color w:val="auto"/>
              </w:rPr>
              <w:t>1% Decrease</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 in net periodic benefit cost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202"/>
        </w:trPr>
        <w:tc>
          <w:tcPr>
            <w:tcW w:w="8460" w:type="dxa"/>
            <w:vAlign w:val="bottom"/>
            <w:gridSpan w:val="3"/>
          </w:tcPr>
          <w:p>
            <w:pPr>
              <w:spacing w:after="0"/>
              <w:rPr>
                <w:sz w:val="20"/>
                <w:szCs w:val="20"/>
                <w:color w:val="auto"/>
              </w:rPr>
            </w:pPr>
            <w:r>
              <w:rPr>
                <w:rFonts w:ascii="Arial" w:cs="Arial" w:eastAsia="Arial" w:hAnsi="Arial"/>
                <w:sz w:val="16"/>
                <w:szCs w:val="16"/>
                <w:color w:val="auto"/>
              </w:rPr>
              <w:t>Change in projected benefit obligation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(681)</w:t>
            </w:r>
          </w:p>
        </w:tc>
      </w:tr>
      <w:tr>
        <w:trPr>
          <w:trHeight w:val="438"/>
        </w:trPr>
        <w:tc>
          <w:tcPr>
            <w:tcW w:w="8460" w:type="dxa"/>
            <w:vAlign w:val="bottom"/>
            <w:gridSpan w:val="3"/>
          </w:tcPr>
          <w:p>
            <w:pPr>
              <w:spacing w:after="0"/>
              <w:rPr>
                <w:sz w:val="20"/>
                <w:szCs w:val="20"/>
                <w:color w:val="auto"/>
              </w:rPr>
            </w:pPr>
            <w:r>
              <w:rPr>
                <w:rFonts w:ascii="Arial" w:cs="Arial" w:eastAsia="Arial" w:hAnsi="Arial"/>
                <w:sz w:val="16"/>
                <w:szCs w:val="16"/>
                <w:color w:val="auto"/>
                <w:w w:val="99"/>
              </w:rPr>
              <w:t>The changes in the projected benefit obligation and the funded status of the other post-retirement plans were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220" w:type="dxa"/>
            <w:vAlign w:val="bottom"/>
          </w:tcPr>
          <w:p>
            <w:pPr>
              <w:spacing w:after="0"/>
              <w:rPr>
                <w:sz w:val="14"/>
                <w:szCs w:val="14"/>
                <w:color w:val="auto"/>
              </w:rPr>
            </w:pPr>
          </w:p>
        </w:tc>
        <w:tc>
          <w:tcPr>
            <w:tcW w:w="11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8"/>
        </w:trPr>
        <w:tc>
          <w:tcPr>
            <w:tcW w:w="84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Change in projected benefit obligation: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8"/>
        </w:trPr>
        <w:tc>
          <w:tcPr>
            <w:tcW w:w="8460" w:type="dxa"/>
            <w:vAlign w:val="bottom"/>
            <w:gridSpan w:val="3"/>
          </w:tcPr>
          <w:p>
            <w:pPr>
              <w:ind w:left="380"/>
              <w:spacing w:after="0"/>
              <w:rPr>
                <w:sz w:val="20"/>
                <w:szCs w:val="20"/>
                <w:color w:val="auto"/>
              </w:rPr>
            </w:pPr>
            <w:r>
              <w:rPr>
                <w:rFonts w:ascii="Arial" w:cs="Arial" w:eastAsia="Arial" w:hAnsi="Arial"/>
                <w:sz w:val="16"/>
                <w:szCs w:val="16"/>
                <w:color w:val="auto"/>
              </w:rPr>
              <w:t>Projected benefit obligation</w:t>
            </w:r>
          </w:p>
        </w:tc>
        <w:tc>
          <w:tcPr>
            <w:tcW w:w="2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13,684</w:t>
            </w:r>
          </w:p>
        </w:tc>
        <w:tc>
          <w:tcPr>
            <w:tcW w:w="16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12,621</w:t>
            </w: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98"/>
        </w:trPr>
        <w:tc>
          <w:tcPr>
            <w:tcW w:w="8460" w:type="dxa"/>
            <w:vAlign w:val="bottom"/>
            <w:gridSpan w:val="3"/>
          </w:tcPr>
          <w:p>
            <w:pPr>
              <w:ind w:left="38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198"/>
        </w:trPr>
        <w:tc>
          <w:tcPr>
            <w:tcW w:w="8460" w:type="dxa"/>
            <w:vAlign w:val="bottom"/>
            <w:gridSpan w:val="3"/>
          </w:tcPr>
          <w:p>
            <w:pPr>
              <w:ind w:left="380"/>
              <w:spacing w:after="0"/>
              <w:rPr>
                <w:sz w:val="20"/>
                <w:szCs w:val="20"/>
                <w:color w:val="auto"/>
              </w:rPr>
            </w:pPr>
            <w:r>
              <w:rPr>
                <w:rFonts w:ascii="Arial" w:cs="Arial" w:eastAsia="Arial" w:hAnsi="Arial"/>
                <w:sz w:val="16"/>
                <w:szCs w:val="16"/>
                <w:color w:val="auto"/>
              </w:rPr>
              <w:t>Actuarial loss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Curtailments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41"/>
        </w:trPr>
        <w:tc>
          <w:tcPr>
            <w:tcW w:w="846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10"/>
        </w:trPr>
        <w:tc>
          <w:tcPr>
            <w:tcW w:w="8460" w:type="dxa"/>
            <w:vAlign w:val="bottom"/>
            <w:tcBorders>
              <w:top w:val="single" w:sz="8" w:color="CCEEFF"/>
            </w:tcBorders>
            <w:gridSpan w:val="3"/>
          </w:tcPr>
          <w:p>
            <w:pPr>
              <w:spacing w:after="0"/>
              <w:rPr>
                <w:sz w:val="20"/>
                <w:szCs w:val="20"/>
                <w:color w:val="auto"/>
              </w:rPr>
            </w:pPr>
            <w:r>
              <w:rPr>
                <w:rFonts w:ascii="Arial" w:cs="Arial" w:eastAsia="Arial" w:hAnsi="Arial"/>
                <w:sz w:val="16"/>
                <w:szCs w:val="16"/>
                <w:b w:val="1"/>
                <w:bCs w:val="1"/>
                <w:color w:val="auto"/>
              </w:rPr>
              <w:t>Projected benefit obligation, end of year</w:t>
            </w:r>
          </w:p>
        </w:tc>
        <w:tc>
          <w:tcPr>
            <w:tcW w:w="220" w:type="dxa"/>
            <w:vAlign w:val="bottom"/>
            <w:tcBorders>
              <w:top w:val="single" w:sz="8" w:color="CCEEFF"/>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11,942</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13,684</w:t>
            </w:r>
          </w:p>
        </w:tc>
      </w:tr>
      <w:tr>
        <w:trPr>
          <w:trHeight w:val="47"/>
        </w:trPr>
        <w:tc>
          <w:tcPr>
            <w:tcW w:w="10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7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8"/>
        </w:trPr>
        <w:tc>
          <w:tcPr>
            <w:tcW w:w="8460" w:type="dxa"/>
            <w:vAlign w:val="bottom"/>
            <w:tcBorders>
              <w:top w:val="single" w:sz="8" w:color="CCEEFF"/>
            </w:tcBorders>
            <w:gridSpan w:val="3"/>
          </w:tcPr>
          <w:p>
            <w:pPr>
              <w:ind w:left="40"/>
              <w:spacing w:after="0"/>
              <w:rPr>
                <w:sz w:val="20"/>
                <w:szCs w:val="20"/>
                <w:color w:val="auto"/>
              </w:rPr>
            </w:pPr>
            <w:r>
              <w:rPr>
                <w:rFonts w:ascii="Arial" w:cs="Arial" w:eastAsia="Arial" w:hAnsi="Arial"/>
                <w:sz w:val="16"/>
                <w:szCs w:val="16"/>
                <w:color w:val="auto"/>
              </w:rPr>
              <w:t>Change in fair value of plan assets:</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Fair value of plan assets as of the beginning of the year</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198"/>
        </w:trPr>
        <w:tc>
          <w:tcPr>
            <w:tcW w:w="8460" w:type="dxa"/>
            <w:vAlign w:val="bottom"/>
            <w:gridSpan w:val="3"/>
          </w:tcPr>
          <w:p>
            <w:pPr>
              <w:ind w:left="38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Employer contributions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198"/>
        </w:trPr>
        <w:tc>
          <w:tcPr>
            <w:tcW w:w="8460" w:type="dxa"/>
            <w:vAlign w:val="bottom"/>
            <w:gridSpan w:val="3"/>
          </w:tcPr>
          <w:p>
            <w:pPr>
              <w:ind w:left="380"/>
              <w:spacing w:after="0"/>
              <w:rPr>
                <w:sz w:val="20"/>
                <w:szCs w:val="20"/>
                <w:color w:val="auto"/>
              </w:rPr>
            </w:pPr>
            <w:r>
              <w:rPr>
                <w:rFonts w:ascii="Arial" w:cs="Arial" w:eastAsia="Arial" w:hAnsi="Arial"/>
                <w:sz w:val="16"/>
                <w:szCs w:val="16"/>
                <w:color w:val="auto"/>
              </w:rPr>
              <w:t>Employee contributions</w:t>
            </w:r>
          </w:p>
        </w:tc>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8"/>
        </w:trPr>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Fair value of plan assets, end of year</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Underfunded status at end of year</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(13,247)</w:t>
            </w:r>
          </w:p>
        </w:tc>
      </w:tr>
      <w:tr>
        <w:trPr>
          <w:trHeight w:val="21"/>
        </w:trPr>
        <w:tc>
          <w:tcPr>
            <w:tcW w:w="104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Accumulated benefit obligation, end of year</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11,900</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13,600</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All other post-retirement benefit pension plans are underfunded as of December 31, 2021 and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funded status to the net plan liabilities recognized in the Consolidated Balance Sheets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Projected benefit obligation</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(11,942)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(13,684)</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Fair value of plan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Plan assets less than projected benefit obligation</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(11,464)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(13,247)</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Unrecognized actuarial gains (losses)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amount recognized at year end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(11,709)</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Noncurrent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60" w:type="dxa"/>
            <w:vAlign w:val="bottom"/>
            <w:gridSpan w:val="3"/>
            <w:vMerge w:val="continue"/>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(11,464)</w:t>
            </w:r>
          </w:p>
        </w:tc>
        <w:tc>
          <w:tcPr>
            <w:tcW w:w="160" w:type="dxa"/>
            <w:vAlign w:val="bottom"/>
          </w:tcPr>
          <w:p>
            <w:pPr>
              <w:spacing w:after="0"/>
              <w:rPr>
                <w:sz w:val="14"/>
                <w:szCs w:val="14"/>
                <w:color w:val="auto"/>
              </w:rPr>
            </w:pPr>
          </w:p>
        </w:tc>
        <w:tc>
          <w:tcPr>
            <w:tcW w:w="320" w:type="dxa"/>
            <w:vAlign w:val="bottom"/>
          </w:tcPr>
          <w:p>
            <w:pPr>
              <w:jc w:val="right"/>
              <w:ind w:right="142"/>
              <w:spacing w:after="0" w:line="165"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(13,247)</w:t>
            </w:r>
          </w:p>
        </w:tc>
        <w:tc>
          <w:tcPr>
            <w:tcW w:w="0" w:type="dxa"/>
            <w:vAlign w:val="bottom"/>
          </w:tcPr>
          <w:p>
            <w:pPr>
              <w:spacing w:after="0"/>
              <w:rPr>
                <w:sz w:val="1"/>
                <w:szCs w:val="1"/>
                <w:color w:val="auto"/>
              </w:rPr>
            </w:pP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Accumulative other comprehensive income (loss)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Net amount recognized at year end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(11,709)</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other benefit plan liabilities are presented on the Consolidated Balance Sheets as post retirement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the amounts in accumulated other comprehensive income (loss) that have not yet been recognized as components of other benefit plan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6"/>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actuarial income (loss)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Accumulated other comprehensive income (loss) – net of tax</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Based on the actuarial assumptions used to develop the Company’s benefit obligations as of December 31, 2021, the following benefit payments are expected to be made to plan participants: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858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2"/>
        </w:trPr>
        <w:tc>
          <w:tcPr>
            <w:tcW w:w="9940" w:type="dxa"/>
            <w:vAlign w:val="bottom"/>
            <w:gridSpan w:val="3"/>
          </w:tcPr>
          <w:p>
            <w:pPr>
              <w:spacing w:after="0"/>
              <w:rPr>
                <w:sz w:val="20"/>
                <w:szCs w:val="20"/>
                <w:color w:val="auto"/>
              </w:rPr>
            </w:pPr>
            <w:r>
              <w:rPr>
                <w:rFonts w:ascii="Arial" w:cs="Arial" w:eastAsia="Arial" w:hAnsi="Arial"/>
                <w:sz w:val="12"/>
                <w:szCs w:val="12"/>
                <w:b w:val="1"/>
                <w:bCs w:val="1"/>
                <w:color w:val="auto"/>
              </w:rPr>
              <w:t>Years ended December 31</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6"/>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20" w:type="dxa"/>
            <w:vAlign w:val="bottom"/>
            <w:tcBorders>
              <w:top w:val="single" w:sz="8" w:color="auto"/>
            </w:tcBorders>
            <w:shd w:val="clear" w:color="auto" w:fill="CCEEFF"/>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756</w:t>
            </w: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655</w:t>
            </w: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CCEEFF"/>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w:t>
            </w: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2025</w:t>
            </w:r>
          </w:p>
        </w:tc>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590</w:t>
            </w: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0" w:type="dxa"/>
            <w:vAlign w:val="bottom"/>
            <w:shd w:val="clear" w:color="auto" w:fill="CCEEFF"/>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591</w:t>
            </w:r>
          </w:p>
        </w:tc>
      </w:tr>
      <w:tr>
        <w:trPr>
          <w:trHeight w:val="198"/>
        </w:trPr>
        <w:tc>
          <w:tcPr>
            <w:tcW w:w="1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2027 - 2031</w:t>
            </w:r>
          </w:p>
        </w:tc>
        <w:tc>
          <w:tcPr>
            <w:tcW w:w="20" w:type="dxa"/>
            <w:vAlign w:val="bottom"/>
            <w:tcBorders>
              <w:bottom w:val="single" w:sz="8" w:color="CCEEFF"/>
            </w:tcBorders>
          </w:tcPr>
          <w:p>
            <w:pPr>
              <w:spacing w:after="0"/>
              <w:rPr>
                <w:sz w:val="17"/>
                <w:szCs w:val="17"/>
                <w:color w:val="auto"/>
              </w:rPr>
            </w:pPr>
          </w:p>
        </w:tc>
        <w:tc>
          <w:tcPr>
            <w:tcW w:w="85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2,764</w:t>
            </w:r>
          </w:p>
        </w:tc>
      </w:tr>
      <w:tr>
        <w:trPr>
          <w:trHeight w:val="215"/>
        </w:trPr>
        <w:tc>
          <w:tcPr>
            <w:tcW w:w="9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5,951</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We currently expect funding requirements of approximately $3.1 million in each of the next five years to fund the regulatory solvency deficit, as defined by Canadian federal regulation, which require solvency testing on defined benefit pension plans.</w:t>
      </w:r>
    </w:p>
    <w:p>
      <w:pPr>
        <w:spacing w:after="0" w:line="162"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The Company may obtain a qualifying letter of credit for solvency payments, up to 15% of the market value of solvency liabilities as determined on the valuation date, instead of paying cash into the pension fund. As of December 31, 2021 and 2020, we had letters of credit outstanding relating to the defined benefit plans totaling $46.2 million and $41.3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0" w:name="page101"/>
    <w:bookmarkEnd w:id="100"/>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13. Related Parties</w:t>
      </w:r>
    </w:p>
    <w:p>
      <w:pPr>
        <w:spacing w:after="0" w:line="102" w:lineRule="exact"/>
        <w:rPr>
          <w:sz w:val="20"/>
          <w:szCs w:val="20"/>
          <w:color w:val="auto"/>
        </w:rPr>
      </w:pPr>
    </w:p>
    <w:p>
      <w:pPr>
        <w:ind w:left="7" w:right="400"/>
        <w:spacing w:after="0" w:line="259" w:lineRule="auto"/>
        <w:rPr>
          <w:sz w:val="20"/>
          <w:szCs w:val="20"/>
          <w:color w:val="auto"/>
        </w:rPr>
      </w:pPr>
      <w:r>
        <w:rPr>
          <w:rFonts w:ascii="Arial" w:cs="Arial" w:eastAsia="Arial" w:hAnsi="Arial"/>
          <w:sz w:val="16"/>
          <w:szCs w:val="16"/>
          <w:color w:val="auto"/>
        </w:rPr>
        <w:t>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14. Other Comprehensive Income (Loss)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16"/>
          <w:szCs w:val="16"/>
          <w:color w:val="auto"/>
        </w:rPr>
        <w:t>Amounts in accumulated other comprehensive income (loss) are presented net of the related tax. Foreign currency translation is not adjusted for income taxes.</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6"/>
          <w:szCs w:val="16"/>
          <w:color w:val="auto"/>
        </w:rPr>
        <w:t>Changes in our accumulated other comprehensive income (loss) balances, net of tax, were as follows: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40"/>
        </w:trPr>
        <w:tc>
          <w:tcPr>
            <w:tcW w:w="1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65"/>
              <w:spacing w:after="0"/>
              <w:rPr>
                <w:sz w:val="20"/>
                <w:szCs w:val="20"/>
                <w:color w:val="auto"/>
              </w:rPr>
            </w:pPr>
            <w:r>
              <w:rPr>
                <w:rFonts w:ascii="Arial" w:cs="Arial" w:eastAsia="Arial" w:hAnsi="Arial"/>
                <w:sz w:val="12"/>
                <w:szCs w:val="12"/>
                <w:b w:val="1"/>
                <w:bCs w:val="1"/>
                <w:color w:val="auto"/>
                <w:w w:val="90"/>
              </w:rPr>
              <w:t>Defined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5"/>
              </w:rPr>
              <w:t>Foreign</w:t>
            </w:r>
          </w:p>
        </w:tc>
        <w:tc>
          <w:tcPr>
            <w:tcW w:w="240" w:type="dxa"/>
            <w:vAlign w:val="bottom"/>
          </w:tcPr>
          <w:p>
            <w:pPr>
              <w:spacing w:after="0"/>
              <w:rPr>
                <w:sz w:val="12"/>
                <w:szCs w:val="12"/>
                <w:color w:val="auto"/>
              </w:rPr>
            </w:pPr>
          </w:p>
        </w:tc>
        <w:tc>
          <w:tcPr>
            <w:tcW w:w="960" w:type="dxa"/>
            <w:vAlign w:val="bottom"/>
          </w:tcPr>
          <w:p>
            <w:pPr>
              <w:jc w:val="center"/>
              <w:ind w:right="165"/>
              <w:spacing w:after="0"/>
              <w:rPr>
                <w:sz w:val="20"/>
                <w:szCs w:val="20"/>
                <w:color w:val="auto"/>
              </w:rPr>
            </w:pPr>
            <w:r>
              <w:rPr>
                <w:rFonts w:ascii="Arial" w:cs="Arial" w:eastAsia="Arial" w:hAnsi="Arial"/>
                <w:sz w:val="12"/>
                <w:szCs w:val="12"/>
                <w:b w:val="1"/>
                <w:bCs w:val="1"/>
                <w:color w:val="auto"/>
                <w:w w:val="92"/>
              </w:rPr>
              <w:t>Interest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0"/>
        </w:trPr>
        <w:tc>
          <w:tcPr>
            <w:tcW w:w="1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45"/>
              <w:spacing w:after="0"/>
              <w:rPr>
                <w:sz w:val="20"/>
                <w:szCs w:val="20"/>
                <w:color w:val="auto"/>
              </w:rPr>
            </w:pPr>
            <w:r>
              <w:rPr>
                <w:rFonts w:ascii="Arial" w:cs="Arial" w:eastAsia="Arial" w:hAnsi="Arial"/>
                <w:sz w:val="12"/>
                <w:szCs w:val="12"/>
                <w:b w:val="1"/>
                <w:bCs w:val="1"/>
                <w:color w:val="auto"/>
                <w:w w:val="93"/>
              </w:rPr>
              <w:t>Benefit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Currency</w:t>
            </w:r>
          </w:p>
        </w:tc>
        <w:tc>
          <w:tcPr>
            <w:tcW w:w="240" w:type="dxa"/>
            <w:vAlign w:val="bottom"/>
          </w:tcPr>
          <w:p>
            <w:pPr>
              <w:spacing w:after="0"/>
              <w:rPr>
                <w:sz w:val="12"/>
                <w:szCs w:val="12"/>
                <w:color w:val="auto"/>
              </w:rPr>
            </w:pPr>
          </w:p>
        </w:tc>
        <w:tc>
          <w:tcPr>
            <w:tcW w:w="960" w:type="dxa"/>
            <w:vAlign w:val="bottom"/>
          </w:tcPr>
          <w:p>
            <w:pPr>
              <w:jc w:val="center"/>
              <w:ind w:right="165"/>
              <w:spacing w:after="0"/>
              <w:rPr>
                <w:sz w:val="20"/>
                <w:szCs w:val="20"/>
                <w:color w:val="auto"/>
              </w:rPr>
            </w:pPr>
            <w:r>
              <w:rPr>
                <w:rFonts w:ascii="Arial" w:cs="Arial" w:eastAsia="Arial" w:hAnsi="Arial"/>
                <w:sz w:val="12"/>
                <w:szCs w:val="12"/>
                <w:b w:val="1"/>
                <w:bCs w:val="1"/>
                <w:color w:val="auto"/>
                <w:w w:val="92"/>
              </w:rPr>
              <w:t>Rate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5740" w:type="dxa"/>
            <w:vAlign w:val="bottom"/>
            <w:gridSpan w:val="2"/>
          </w:tcPr>
          <w:p>
            <w:pPr>
              <w:spacing w:after="0" w:line="137" w:lineRule="exact"/>
              <w:rPr>
                <w:sz w:val="20"/>
                <w:szCs w:val="20"/>
                <w:color w:val="auto"/>
              </w:rPr>
            </w:pPr>
            <w:r>
              <w:rPr>
                <w:rFonts w:ascii="Arial" w:cs="Arial" w:eastAsia="Arial" w:hAnsi="Arial"/>
                <w:sz w:val="12"/>
                <w:szCs w:val="12"/>
                <w:i w:val="1"/>
                <w:iCs w:val="1"/>
                <w:color w:val="auto"/>
              </w:rPr>
              <w:t>(thousands of U.S. dollars)</w:t>
            </w:r>
          </w:p>
        </w:tc>
        <w:tc>
          <w:tcPr>
            <w:tcW w:w="240" w:type="dxa"/>
            <w:vAlign w:val="bottom"/>
          </w:tcPr>
          <w:p>
            <w:pPr>
              <w:spacing w:after="0"/>
              <w:rPr>
                <w:sz w:val="11"/>
                <w:szCs w:val="11"/>
                <w:color w:val="auto"/>
              </w:rPr>
            </w:pPr>
          </w:p>
        </w:tc>
        <w:tc>
          <w:tcPr>
            <w:tcW w:w="960" w:type="dxa"/>
            <w:vAlign w:val="bottom"/>
          </w:tcPr>
          <w:p>
            <w:pPr>
              <w:jc w:val="center"/>
              <w:ind w:right="165"/>
              <w:spacing w:after="0" w:line="137" w:lineRule="exact"/>
              <w:rPr>
                <w:sz w:val="20"/>
                <w:szCs w:val="20"/>
                <w:color w:val="auto"/>
              </w:rPr>
            </w:pPr>
            <w:r>
              <w:rPr>
                <w:rFonts w:ascii="Arial" w:cs="Arial" w:eastAsia="Arial" w:hAnsi="Arial"/>
                <w:sz w:val="12"/>
                <w:szCs w:val="12"/>
                <w:b w:val="1"/>
                <w:bCs w:val="1"/>
                <w:color w:val="auto"/>
                <w:w w:val="87"/>
              </w:rPr>
              <w:t>Plans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40"/>
              <w:spacing w:after="0" w:line="137" w:lineRule="exact"/>
              <w:rPr>
                <w:sz w:val="20"/>
                <w:szCs w:val="20"/>
                <w:color w:val="auto"/>
              </w:rPr>
            </w:pPr>
            <w:r>
              <w:rPr>
                <w:rFonts w:ascii="Arial" w:cs="Arial" w:eastAsia="Arial" w:hAnsi="Arial"/>
                <w:sz w:val="12"/>
                <w:szCs w:val="12"/>
                <w:b w:val="1"/>
                <w:bCs w:val="1"/>
                <w:color w:val="auto"/>
                <w:w w:val="95"/>
              </w:rPr>
              <w:t>Translation</w:t>
            </w:r>
          </w:p>
        </w:tc>
        <w:tc>
          <w:tcPr>
            <w:tcW w:w="240" w:type="dxa"/>
            <w:vAlign w:val="bottom"/>
          </w:tcPr>
          <w:p>
            <w:pPr>
              <w:spacing w:after="0"/>
              <w:rPr>
                <w:sz w:val="11"/>
                <w:szCs w:val="11"/>
                <w:color w:val="auto"/>
              </w:rPr>
            </w:pPr>
          </w:p>
        </w:tc>
        <w:tc>
          <w:tcPr>
            <w:tcW w:w="960" w:type="dxa"/>
            <w:vAlign w:val="bottom"/>
          </w:tcPr>
          <w:p>
            <w:pPr>
              <w:jc w:val="center"/>
              <w:ind w:right="165"/>
              <w:spacing w:after="0" w:line="137" w:lineRule="exact"/>
              <w:rPr>
                <w:sz w:val="20"/>
                <w:szCs w:val="20"/>
                <w:color w:val="auto"/>
              </w:rPr>
            </w:pPr>
            <w:r>
              <w:rPr>
                <w:rFonts w:ascii="Arial" w:cs="Arial" w:eastAsia="Arial" w:hAnsi="Arial"/>
                <w:sz w:val="12"/>
                <w:szCs w:val="12"/>
                <w:b w:val="1"/>
                <w:bCs w:val="1"/>
                <w:color w:val="auto"/>
                <w:w w:val="84"/>
              </w:rPr>
              <w:t>Swaps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343"/>
              <w:spacing w:after="0" w:line="137" w:lineRule="exact"/>
              <w:rPr>
                <w:sz w:val="20"/>
                <w:szCs w:val="20"/>
                <w:color w:val="auto"/>
              </w:rPr>
            </w:pPr>
            <w:r>
              <w:rPr>
                <w:rFonts w:ascii="Arial" w:cs="Arial" w:eastAsia="Arial" w:hAnsi="Arial"/>
                <w:sz w:val="12"/>
                <w:szCs w:val="12"/>
                <w:b w:val="1"/>
                <w:bCs w:val="1"/>
                <w:color w:val="auto"/>
              </w:rPr>
              <w:t>Total</w:t>
            </w:r>
          </w:p>
        </w:tc>
      </w:tr>
      <w:tr>
        <w:trPr>
          <w:trHeight w:val="27"/>
        </w:trPr>
        <w:tc>
          <w:tcPr>
            <w:tcW w:w="136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3"/>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 January 1, 2019</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(14,987)</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(94,970)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(109,957)</w:t>
            </w:r>
          </w:p>
        </w:tc>
      </w:tr>
      <w:tr>
        <w:trPr>
          <w:trHeight w:val="198"/>
        </w:trPr>
        <w:tc>
          <w:tcPr>
            <w:tcW w:w="57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(12,104)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27,517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15,592</w:t>
            </w:r>
          </w:p>
        </w:tc>
      </w:tr>
      <w:tr>
        <w:trPr>
          <w:trHeight w:val="198"/>
        </w:trPr>
        <w:tc>
          <w:tcPr>
            <w:tcW w:w="5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20" w:type="dxa"/>
            <w:vAlign w:val="bottom"/>
            <w:gridSpan w:val="2"/>
            <w:shd w:val="clear" w:color="auto" w:fill="CCEEFF"/>
          </w:tcPr>
          <w:p>
            <w:pPr>
              <w:jc w:val="right"/>
              <w:ind w:right="322"/>
              <w:spacing w:after="0"/>
              <w:rPr>
                <w:sz w:val="20"/>
                <w:szCs w:val="20"/>
                <w:color w:val="auto"/>
              </w:rPr>
            </w:pPr>
            <w:r>
              <w:rPr>
                <w:rFonts w:ascii="Arial" w:cs="Arial" w:eastAsia="Arial" w:hAnsi="Arial"/>
                <w:sz w:val="10"/>
                <w:szCs w:val="10"/>
                <w:color w:val="auto"/>
                <w:w w:val="81"/>
              </w:rPr>
              <w:t>(a)</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(12,126)</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27,517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15,570</w:t>
            </w: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 December 31, 2019</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(27,113)</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(94,387)</w:t>
            </w:r>
          </w:p>
        </w:tc>
      </w:tr>
      <w:tr>
        <w:trPr>
          <w:trHeight w:val="21"/>
        </w:trPr>
        <w:tc>
          <w:tcPr>
            <w:tcW w:w="13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 January 1, 2020</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(27,113)</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(94,387)</w:t>
            </w:r>
          </w:p>
        </w:tc>
      </w:tr>
      <w:tr>
        <w:trPr>
          <w:trHeight w:val="198"/>
        </w:trPr>
        <w:tc>
          <w:tcPr>
            <w:tcW w:w="57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(17,828)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(5,234)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(5,308)</w:t>
            </w:r>
          </w:p>
        </w:tc>
      </w:tr>
      <w:tr>
        <w:trPr>
          <w:trHeight w:val="198"/>
        </w:trPr>
        <w:tc>
          <w:tcPr>
            <w:tcW w:w="5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22"/>
              <w:spacing w:after="0" w:line="199" w:lineRule="exact"/>
              <w:rPr>
                <w:sz w:val="20"/>
                <w:szCs w:val="20"/>
                <w:color w:val="auto"/>
              </w:rPr>
            </w:pPr>
            <w:r>
              <w:rPr>
                <w:rFonts w:ascii="Arial" w:cs="Arial" w:eastAsia="Arial" w:hAnsi="Arial"/>
                <w:sz w:val="16"/>
                <w:szCs w:val="16"/>
                <w:color w:val="auto"/>
              </w:rPr>
              <w:t xml:space="preserve">798 </w:t>
            </w:r>
            <w:r>
              <w:rPr>
                <w:rFonts w:ascii="Arial" w:cs="Arial" w:eastAsia="Arial" w:hAnsi="Arial"/>
                <w:sz w:val="20"/>
                <w:szCs w:val="20"/>
                <w:color w:val="auto"/>
                <w:vertAlign w:val="subscript"/>
              </w:rPr>
              <w:t>(a)</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56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(b)</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5,853</w:t>
            </w:r>
          </w:p>
        </w:tc>
      </w:tr>
      <w:tr>
        <w:trPr>
          <w:trHeight w:val="213"/>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(17,030)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17,754</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545</w:t>
            </w: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 December 31, 2020</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(44,143)</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(93,842)</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5"/>
        </w:trPr>
        <w:tc>
          <w:tcPr>
            <w:tcW w:w="1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3"/>
        </w:trPr>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 January 1, 2021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(44,143)</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(49,699)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(93,842)</w:t>
            </w:r>
          </w:p>
        </w:tc>
      </w:tr>
      <w:tr>
        <w:trPr>
          <w:trHeight w:val="198"/>
        </w:trPr>
        <w:tc>
          <w:tcPr>
            <w:tcW w:w="57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25,517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(16,690)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404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9,231</w:t>
            </w:r>
          </w:p>
        </w:tc>
      </w:tr>
      <w:tr>
        <w:trPr>
          <w:trHeight w:val="198"/>
        </w:trPr>
        <w:tc>
          <w:tcPr>
            <w:tcW w:w="5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02"/>
              <w:spacing w:after="0" w:line="198" w:lineRule="exact"/>
              <w:rPr>
                <w:sz w:val="20"/>
                <w:szCs w:val="20"/>
                <w:color w:val="auto"/>
              </w:rPr>
            </w:pPr>
            <w:r>
              <w:rPr>
                <w:rFonts w:ascii="Arial" w:cs="Arial" w:eastAsia="Arial" w:hAnsi="Arial"/>
                <w:sz w:val="16"/>
                <w:szCs w:val="16"/>
                <w:b w:val="1"/>
                <w:bCs w:val="1"/>
                <w:color w:val="auto"/>
              </w:rPr>
              <w:t xml:space="preserve">1,045 </w:t>
            </w:r>
            <w:r>
              <w:rPr>
                <w:rFonts w:ascii="Arial" w:cs="Arial" w:eastAsia="Arial" w:hAnsi="Arial"/>
                <w:sz w:val="20"/>
                <w:szCs w:val="20"/>
                <w:b w:val="1"/>
                <w:bCs w:val="1"/>
                <w:color w:val="auto"/>
                <w:vertAlign w:val="subscript"/>
              </w:rPr>
              <w:t>(a)</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1,045</w:t>
            </w:r>
          </w:p>
        </w:tc>
      </w:tr>
      <w:tr>
        <w:trPr>
          <w:trHeight w:val="213"/>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26,562</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(16,690)</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10,276</w:t>
            </w:r>
          </w:p>
        </w:tc>
      </w:tr>
      <w:tr>
        <w:trPr>
          <w:trHeight w:val="215"/>
        </w:trPr>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 December 31, 2021</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(17,581)</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(66,389)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404</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(83,566)</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27" w:right="220" w:hanging="427"/>
        <w:spacing w:after="0" w:line="249" w:lineRule="auto"/>
        <w:tabs>
          <w:tab w:leader="none" w:pos="4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defined benefit pension plans, amounts reclassified from accumulated other comprehensive income (loss) are recorded to “Other income, net” within the Consolidated Statements of Operations and Comprehensive Income (Loss).</w:t>
      </w:r>
    </w:p>
    <w:p>
      <w:pPr>
        <w:spacing w:after="0" w:line="1" w:lineRule="exact"/>
        <w:rPr>
          <w:rFonts w:ascii="Arial" w:cs="Arial" w:eastAsia="Arial" w:hAnsi="Arial"/>
          <w:sz w:val="16"/>
          <w:szCs w:val="16"/>
          <w:color w:val="auto"/>
        </w:rPr>
      </w:pPr>
    </w:p>
    <w:p>
      <w:pPr>
        <w:ind w:left="427" w:right="40" w:hanging="427"/>
        <w:spacing w:after="0" w:line="246" w:lineRule="auto"/>
        <w:tabs>
          <w:tab w:leader="none" w:pos="421"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interest rate swaps, amounts reclassified from accumulated other comprehensive income (loss) are recorded to “Interest expense, net” within the Consolidated Statements of Operations and Comprehensive Income (Loss).</w:t>
      </w:r>
    </w:p>
    <w:p>
      <w:pPr>
        <w:spacing w:after="0" w:line="260" w:lineRule="exact"/>
        <w:rPr>
          <w:sz w:val="20"/>
          <w:szCs w:val="20"/>
          <w:color w:val="auto"/>
        </w:rPr>
      </w:pPr>
    </w:p>
    <w:p>
      <w:pPr>
        <w:ind w:left="7" w:right="9560" w:hanging="7"/>
        <w:spacing w:after="0" w:line="560" w:lineRule="auto"/>
        <w:tabs>
          <w:tab w:leader="none" w:pos="283"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 Common Stock</w:t>
      </w:r>
    </w:p>
    <w:p>
      <w:pPr>
        <w:spacing w:after="0" w:line="1" w:lineRule="exact"/>
        <w:rPr>
          <w:sz w:val="20"/>
          <w:szCs w:val="20"/>
          <w:color w:val="auto"/>
        </w:rPr>
      </w:pPr>
    </w:p>
    <w:p>
      <w:pPr>
        <w:ind w:left="7" w:right="240"/>
        <w:spacing w:after="0" w:line="304" w:lineRule="auto"/>
        <w:rPr>
          <w:sz w:val="20"/>
          <w:szCs w:val="20"/>
          <w:color w:val="auto"/>
        </w:rPr>
      </w:pPr>
      <w:r>
        <w:rPr>
          <w:rFonts w:ascii="Arial" w:cs="Arial" w:eastAsia="Arial" w:hAnsi="Arial"/>
          <w:sz w:val="14"/>
          <w:szCs w:val="14"/>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pacing w:after="0" w:line="134" w:lineRule="exact"/>
        <w:rPr>
          <w:sz w:val="20"/>
          <w:szCs w:val="20"/>
          <w:color w:val="auto"/>
        </w:rPr>
      </w:pPr>
    </w:p>
    <w:p>
      <w:pPr>
        <w:ind w:left="7" w:right="60"/>
        <w:spacing w:after="0" w:line="259"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common stock are entitled to one vote for each share held on all matters submitted to a vote of stockholders, subject to certain restrictions described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w:t>
      </w:r>
    </w:p>
    <w:p>
      <w:pPr>
        <w:spacing w:after="0" w:line="162" w:lineRule="exact"/>
        <w:rPr>
          <w:sz w:val="20"/>
          <w:szCs w:val="20"/>
          <w:color w:val="auto"/>
        </w:rPr>
      </w:pPr>
    </w:p>
    <w:p>
      <w:pPr>
        <w:ind w:left="7" w:right="20"/>
        <w:spacing w:after="0" w:line="259"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Subject to preferences that may be applicable to any then outstanding preferred stock, holders of our common stock are entitled to receive ratably those dividends, if any,</w:t>
      </w:r>
      <w:r>
        <w:rPr>
          <w:rFonts w:ascii="Arial" w:cs="Arial" w:eastAsia="Arial" w:hAnsi="Arial"/>
          <w:sz w:val="16"/>
          <w:szCs w:val="16"/>
          <w:i w:val="1"/>
          <w:iCs w:val="1"/>
          <w:color w:val="auto"/>
        </w:rPr>
        <w:t xml:space="preserve"> </w:t>
      </w:r>
      <w:r>
        <w:rPr>
          <w:rFonts w:ascii="Arial" w:cs="Arial" w:eastAsia="Arial" w:hAnsi="Arial"/>
          <w:sz w:val="16"/>
          <w:szCs w:val="16"/>
          <w:color w:val="auto"/>
        </w:rPr>
        <w:t>as may be declared by the board of directors out of legally available funds.</w:t>
      </w: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i w:val="1"/>
          <w:iCs w:val="1"/>
          <w:color w:val="auto"/>
        </w:rPr>
        <w:t>Liquidation, Dissolution, and Winding Up</w:t>
      </w:r>
      <w:r>
        <w:rPr>
          <w:rFonts w:ascii="Arial" w:cs="Arial" w:eastAsia="Arial" w:hAnsi="Arial"/>
          <w:sz w:val="16"/>
          <w:szCs w:val="16"/>
          <w:color w:val="auto"/>
        </w:rPr>
        <w:t>. In the event of liquidation, dissolution or winding up, the holders of the Company’s common stock will be entitled to share equally and</w:t>
      </w:r>
      <w:r>
        <w:rPr>
          <w:rFonts w:ascii="Arial" w:cs="Arial" w:eastAsia="Arial" w:hAnsi="Arial"/>
          <w:sz w:val="16"/>
          <w:szCs w:val="16"/>
          <w:i w:val="1"/>
          <w:iCs w:val="1"/>
          <w:color w:val="auto"/>
        </w:rPr>
        <w:t xml:space="preserve"> </w:t>
      </w:r>
      <w:r>
        <w:rPr>
          <w:rFonts w:ascii="Arial" w:cs="Arial" w:eastAsia="Arial" w:hAnsi="Arial"/>
          <w:sz w:val="16"/>
          <w:szCs w:val="16"/>
          <w:color w:val="auto"/>
        </w:rPr>
        <w:t>ratably in the net assets legally available for distribution to stockholders after the payment of all of debts and other liabilities, subject to the prior rights of any preferred stock then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9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addition, prior to the completion of the IPO, the Company’s amended and restated certificate of incorporation authorized 120,000,000 shares of preferred stock, par value $0.01 per share. The board of directors may issue preferred stock, without stockholder approval, in such series and with such designations, preferences, conversion or other rights, voting powers and qualifications, limitations or restrictions thereof, as the board of directors deems appropriate.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Reorganization prior to the IPO</w:t>
      </w:r>
    </w:p>
    <w:p>
      <w:pPr>
        <w:spacing w:after="0" w:line="195"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Sotera Health Company was incorporated in November 2017 as the parent company for Sterigenics, Nordion and Nelson Labs under the name Sotera Health Topco, Inc. On October 23, 2020, the Company changed its name from Sotera Health Topco, Inc. to Sotera Health Company. Prior to the IPO, the Company was a direct wholly owned subsidiary of Sotera Health Topco Parent, L.P. (“Topco Parent”). Under the terms of the corporate reorganization completed prior to the IPO, Topco Parent distributed the shares of Sotera Health Company common stock to its partners in accordance with the limited partnership agreement of Topco Parent.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Ownership of Topco Parent and Related Distributions</w:t>
      </w:r>
    </w:p>
    <w:p>
      <w:pPr>
        <w:spacing w:after="0" w:line="18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Prior to the IPO, Topco Parent had four outstanding classes of partnership units: (1) Class A Units; (2) Class B-1 Units, which were subject to time-based vesting; (3) Class B-2 Units, which were subject to performance-based vesting; and (4) Class D Units. Each class of units was subject to the terms of the limited partnership agreement of Topco Parent. The Class A Units, Class B Units and Class D Units are referred to collectively as the “Units.”</w:t>
      </w:r>
    </w:p>
    <w:p>
      <w:pPr>
        <w:spacing w:after="0" w:line="169"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Pursuant to the terms of the corporate reorganization, Topco Parent made an in-kind distribution of the 232,400,200 shares of the Company’s common stock then outstanding to its limited partners in accordance with the terms of its limited partnership agreement, net of any previously unrecouped tax distributions. The value of a share of common stock was measured by the initial public offering price. All shares of the Company’s common stock held by Topco Parent were distributed to the holders of the Units.</w:t>
      </w:r>
    </w:p>
    <w:p>
      <w:pPr>
        <w:spacing w:after="0" w:line="1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With respect to shares of common stock distributed in respect of any Class B-1 Units that were unvested as of the distribution and all of the Class B-2 Units (as none of the Class B-2 Units were vested as of the distribution), such shares are subject to the same vesting and forfeiture restrictions that applied to such unvested Class B-1 and Class B-2 Units prior to the distribution as described in Note 16, “Share-Based Compensation”. Following the distribution of the shares of the Company’s common stock, Topco Parent entered into dissolution.</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Following the Corporate reorganization, the Company completed its IPO of 53,590,000 shares of its common stock at a public offering price of $23.00 per share, for proceeds of approximately $1,156.0 million, net of underwriting discounts and issuance costs.</w:t>
      </w:r>
    </w:p>
    <w:p>
      <w:pPr>
        <w:spacing w:after="0" w:line="16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addition, we entered into agreements with certain executive officers to repurchase shares of our common stock beneficially owned by them in private transactions at a purchase price per share equal to the initial public offering price per share of our common stock less the underwriting discounts and commissions payable thereon. The total number of shares repurchased from certain executive officers in the fourth quarter of 2020 was 1,568,445.</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March 22, 2021, we closed an underwritten secondary offering of our common stock, at a price to the public of $27.00 per share, in which all 25,000,000 shares were offered by selling stockholders, including Warburg Pincus and GTCR, as well as certain current and former members of our management. In addition, the selling stockholders granted the underwriters a 30-day option to purchase up to an additional 3,750,000 shares of common stock. The Company did not offer any shares in the offering and did not receive any of the proceeds from the offering.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Pre-IPO Awards</w:t>
      </w:r>
    </w:p>
    <w:p>
      <w:pPr>
        <w:spacing w:after="0" w:line="189"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Prior to our IPO, the Company’s equity-based awards issued to service providers (including directors and employees) included partnership interests in Topco Parent (Class B-1, B-2 or C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former parent made in-kind</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distributions of shares of our common stock to its limited partners as described in Note 15, “Stockholders' Equity”</w:t>
      </w:r>
      <w:r>
        <w:rPr>
          <w:rFonts w:ascii="Arial" w:cs="Arial" w:eastAsia="Arial" w:hAnsi="Arial"/>
          <w:sz w:val="18"/>
          <w:szCs w:val="18"/>
          <w:color w:val="auto"/>
        </w:rPr>
        <w:t>.</w:t>
      </w:r>
      <w:r>
        <w:rPr>
          <w:rFonts w:ascii="Arial" w:cs="Arial" w:eastAsia="Arial" w:hAnsi="Arial"/>
          <w:sz w:val="16"/>
          <w:szCs w:val="16"/>
          <w:color w:val="auto"/>
        </w:rPr>
        <w:t xml:space="preserve"> In connection with this distribution, each recipient of pre-IPO awards was required to execute a restricted stock agreement and acknowledgment which provided that any common stock distributed in respect of any unvested awards shall be subject to the same vesting and forfeiture restrictions that applied to any unvested pre-IPO awards. At the time of the IPO, there were fewer than 60 individuals who received shares in the in-kind distribution and while this represented a modification to the existing awards, there was no change in compensation expense associated with these awards since the fair value of the distributed shares immediately before and after the distribution was the same. Following the distribution, our former parent entered into dissolution and was dissolved in the State of Delaware.</w:t>
      </w:r>
    </w:p>
    <w:p>
      <w:pPr>
        <w:spacing w:after="0" w:line="176"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Restricted stock distributed in respect of pre-IPO Class B-1 time vesting units vests on a daily basis pro rata over the five-year period beginning on the original vesting commencement date of the corresponding Class B-1 time vesting units (20% per year),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Topco Parent and (ii) the Sponsors’ internal rate of return exceeds twenty percent, subject to such grantee’s continued services through such date. Included in share-based compensation expense for the year ended December 31, 2020 was $4.9 million attributed to these awards as related performance conditions were considered probable of achievement and the implied service condition was met.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w:t>
      </w:r>
    </w:p>
    <w:p>
      <w:pPr>
        <w:spacing w:after="0" w:line="149"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Pre-IPO Class C Units were issued in June 2016, they were considered performance and time vesting units, and were accounted for as liability awards. In the third quarter of 2019, all pre-IPO Class C Units vested and $10 million of share-based compensation expense was recognized and paid in cash accordance with the terms for redemption.</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recognized $2.6 million of share-based compensation expense related to pre-IPO Class B-1 Units, $9.7 million ($4.9 million related to pre-IPO Class B-2 Units and $4.8 million related to pre-IPO Class B-1 Units) and $16.9 million ($10 million related to pre-IPO Class C Units and $6.9 million related to pre-IPO Class B-1 Units) for the years ended December 31,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calculate the fair value of the pre-IPO awards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gridSpan w:val="2"/>
          </w:tcPr>
          <w:p>
            <w:pPr>
              <w:ind w:left="7100"/>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(a)</w:t>
            </w:r>
          </w:p>
        </w:tc>
        <w:tc>
          <w:tcPr>
            <w:tcW w:w="940" w:type="dxa"/>
            <w:vAlign w:val="bottom"/>
          </w:tcPr>
          <w:p>
            <w:pPr>
              <w:jc w:val="right"/>
              <w:ind w:right="38"/>
              <w:spacing w:after="0"/>
              <w:rPr>
                <w:sz w:val="20"/>
                <w:szCs w:val="20"/>
                <w:color w:val="auto"/>
              </w:rPr>
            </w:pPr>
            <w:r>
              <w:rPr>
                <w:rFonts w:ascii="Arial" w:cs="Arial" w:eastAsia="Arial" w:hAnsi="Arial"/>
                <w:sz w:val="12"/>
                <w:szCs w:val="12"/>
                <w:b w:val="1"/>
                <w:bCs w:val="1"/>
                <w:color w:val="auto"/>
              </w:rPr>
              <w:t>2020</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485"/>
              <w:spacing w:after="0"/>
              <w:rPr>
                <w:sz w:val="20"/>
                <w:szCs w:val="20"/>
                <w:color w:val="auto"/>
              </w:rPr>
            </w:pPr>
            <w:r>
              <w:rPr>
                <w:rFonts w:ascii="Arial" w:cs="Arial" w:eastAsia="Arial" w:hAnsi="Arial"/>
                <w:sz w:val="12"/>
                <w:szCs w:val="12"/>
                <w:b w:val="1"/>
                <w:bCs w:val="1"/>
                <w:color w:val="auto"/>
              </w:rPr>
              <w:t>2019</w:t>
            </w:r>
          </w:p>
        </w:tc>
      </w:tr>
      <w:tr>
        <w:trPr>
          <w:trHeight w:val="195"/>
        </w:trPr>
        <w:tc>
          <w:tcPr>
            <w:tcW w:w="6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Risk-free interest rate</w:t>
            </w:r>
          </w:p>
        </w:tc>
        <w:tc>
          <w:tcPr>
            <w:tcW w:w="9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94"/>
              </w:rPr>
              <w:t>N/A</w:t>
            </w:r>
          </w:p>
        </w:tc>
        <w:tc>
          <w:tcPr>
            <w:tcW w:w="3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198"/>
        </w:trPr>
        <w:tc>
          <w:tcPr>
            <w:tcW w:w="748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N/A</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50 %</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198"/>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dividends</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N/A</w:t>
            </w:r>
          </w:p>
        </w:tc>
        <w:tc>
          <w:tcPr>
            <w:tcW w:w="9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r>
      <w:tr>
        <w:trPr>
          <w:trHeight w:val="202"/>
        </w:trPr>
        <w:tc>
          <w:tcPr>
            <w:tcW w:w="7480" w:type="dxa"/>
            <w:vAlign w:val="bottom"/>
            <w:gridSpan w:val="2"/>
          </w:tcPr>
          <w:p>
            <w:pPr>
              <w:spacing w:after="0"/>
              <w:rPr>
                <w:sz w:val="20"/>
                <w:szCs w:val="20"/>
                <w:color w:val="auto"/>
              </w:rPr>
            </w:pPr>
            <w:r>
              <w:rPr>
                <w:rFonts w:ascii="Arial" w:cs="Arial" w:eastAsia="Arial" w:hAnsi="Arial"/>
                <w:sz w:val="16"/>
                <w:szCs w:val="16"/>
                <w:color w:val="auto"/>
              </w:rPr>
              <w:t>Expected time until exercise (years)</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N/A</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  N/A - not applicable. These awards are no longer being issued after the IPO in November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3" w:name="page104"/>
    <w:bookmarkEnd w:id="103"/>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spacing w:after="0"/>
        <w:rPr>
          <w:sz w:val="20"/>
          <w:szCs w:val="20"/>
          <w:color w:val="auto"/>
        </w:rPr>
      </w:pPr>
      <w:r>
        <w:rPr>
          <w:rFonts w:ascii="Arial" w:cs="Arial" w:eastAsia="Arial" w:hAnsi="Arial"/>
          <w:sz w:val="14"/>
          <w:szCs w:val="14"/>
          <w:color w:val="auto"/>
        </w:rPr>
        <w:t>A summary of the activity for the years ended December 31, 2021, 2020 and 2019 related to the restricted stock distributed to the Company service providers in respect of the pre-</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IPO awards (Class B-1, B-2 and C Units) is presented below:</w:t>
      </w:r>
    </w:p>
    <w:p>
      <w:pPr>
        <w:spacing w:after="0" w:line="42" w:lineRule="exact"/>
        <w:rPr>
          <w:sz w:val="20"/>
          <w:szCs w:val="20"/>
          <w:color w:val="auto"/>
        </w:rPr>
      </w:pPr>
    </w:p>
    <w:tbl>
      <w:tblPr>
        <w:tblLayout w:type="fixed"/>
        <w:tblInd w:w="7" w:type="dxa"/>
        <w:tblCellMar>
          <w:top w:w="0" w:type="dxa"/>
          <w:left w:w="0" w:type="dxa"/>
          <w:bottom w:w="0" w:type="dxa"/>
          <w:right w:w="0" w:type="dxa"/>
        </w:tblCellMar>
      </w:tblPr>
      <w:tr>
        <w:trPr>
          <w:trHeight w:val="140"/>
        </w:trPr>
        <w:tc>
          <w:tcPr>
            <w:tcW w:w="700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Restricted Stock - Pre-</w:t>
            </w:r>
          </w:p>
        </w:tc>
        <w:tc>
          <w:tcPr>
            <w:tcW w:w="14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Restricted Stock - Pre-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IPO B-1</w:t>
            </w:r>
          </w:p>
        </w:tc>
        <w:tc>
          <w:tcPr>
            <w:tcW w:w="14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IPO B-2</w:t>
            </w:r>
          </w:p>
        </w:tc>
        <w:tc>
          <w:tcPr>
            <w:tcW w:w="1320" w:type="dxa"/>
            <w:vAlign w:val="bottom"/>
          </w:tcPr>
          <w:p>
            <w:pPr>
              <w:jc w:val="right"/>
              <w:ind w:right="143"/>
              <w:spacing w:after="0"/>
              <w:rPr>
                <w:sz w:val="20"/>
                <w:szCs w:val="20"/>
                <w:color w:val="auto"/>
              </w:rPr>
            </w:pPr>
            <w:r>
              <w:rPr>
                <w:rFonts w:ascii="Arial" w:cs="Arial" w:eastAsia="Arial" w:hAnsi="Arial"/>
                <w:sz w:val="12"/>
                <w:szCs w:val="12"/>
                <w:b w:val="1"/>
                <w:bCs w:val="1"/>
                <w:color w:val="auto"/>
              </w:rPr>
              <w:t>Pre-IPO C Units</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32,184,134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16,501,827</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3,387,500</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987,500</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(4,028,843)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(2,478,071)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Vested</w:t>
            </w:r>
          </w:p>
        </w:tc>
        <w:tc>
          <w:tcPr>
            <w:tcW w:w="1320" w:type="dxa"/>
            <w:vAlign w:val="bottom"/>
          </w:tcPr>
          <w:p>
            <w:pPr>
              <w:jc w:val="right"/>
              <w:spacing w:after="0"/>
              <w:rPr>
                <w:sz w:val="20"/>
                <w:szCs w:val="20"/>
                <w:color w:val="auto"/>
              </w:rPr>
            </w:pPr>
            <w:r>
              <w:rPr>
                <w:rFonts w:ascii="Arial" w:cs="Arial" w:eastAsia="Arial" w:hAnsi="Arial"/>
                <w:sz w:val="16"/>
                <w:szCs w:val="16"/>
                <w:color w:val="auto"/>
              </w:rPr>
              <w:t>(17,092,528)</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0"/>
        </w:trPr>
        <w:tc>
          <w:tcPr>
            <w:tcW w:w="7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14,450,263</w:t>
            </w:r>
          </w:p>
        </w:tc>
        <w:tc>
          <w:tcPr>
            <w:tcW w:w="1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15,011,256</w:t>
            </w: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11,450,000</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(84,390)</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(407,381)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Vested</w:t>
            </w:r>
          </w:p>
        </w:tc>
        <w:tc>
          <w:tcPr>
            <w:tcW w:w="1320" w:type="dxa"/>
            <w:vAlign w:val="bottom"/>
          </w:tcPr>
          <w:p>
            <w:pPr>
              <w:jc w:val="right"/>
              <w:spacing w:after="0"/>
              <w:rPr>
                <w:sz w:val="20"/>
                <w:szCs w:val="20"/>
                <w:color w:val="auto"/>
              </w:rPr>
            </w:pPr>
            <w:r>
              <w:rPr>
                <w:rFonts w:ascii="Arial" w:cs="Arial" w:eastAsia="Arial" w:hAnsi="Arial"/>
                <w:sz w:val="16"/>
                <w:szCs w:val="16"/>
                <w:color w:val="auto"/>
              </w:rPr>
              <w:t>(11,049,597)</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700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At IPO November 20,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14,766,276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14,603,875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line="205" w:lineRule="exact"/>
              <w:rPr>
                <w:sz w:val="20"/>
                <w:szCs w:val="20"/>
                <w:color w:val="auto"/>
              </w:rPr>
            </w:pPr>
            <w:r>
              <w:rPr>
                <w:rFonts w:ascii="Arial" w:cs="Arial" w:eastAsia="Arial" w:hAnsi="Arial"/>
                <w:sz w:val="16"/>
                <w:szCs w:val="16"/>
                <w:color w:val="auto"/>
              </w:rPr>
              <w:t xml:space="preserve">Converted at IPO </w:t>
            </w:r>
            <w:r>
              <w:rPr>
                <w:rFonts w:ascii="Arial" w:cs="Arial" w:eastAsia="Arial" w:hAnsi="Arial"/>
                <w:sz w:val="20"/>
                <w:szCs w:val="20"/>
                <w:color w:val="auto"/>
                <w:vertAlign w:val="superscript"/>
              </w:rPr>
              <w:t>(1)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vMerge w:val="continue"/>
          </w:tcPr>
          <w:p>
            <w:pPr>
              <w:spacing w:after="0"/>
              <w:rPr>
                <w:sz w:val="14"/>
                <w:szCs w:val="14"/>
                <w:color w:val="auto"/>
              </w:rPr>
            </w:pPr>
          </w:p>
        </w:tc>
        <w:tc>
          <w:tcPr>
            <w:tcW w:w="1320" w:type="dxa"/>
            <w:vAlign w:val="bottom"/>
          </w:tcPr>
          <w:p>
            <w:pPr>
              <w:jc w:val="right"/>
              <w:spacing w:after="0" w:line="165" w:lineRule="exact"/>
              <w:rPr>
                <w:sz w:val="20"/>
                <w:szCs w:val="20"/>
                <w:color w:val="auto"/>
              </w:rPr>
            </w:pPr>
            <w:r>
              <w:rPr>
                <w:rFonts w:ascii="Arial" w:cs="Arial" w:eastAsia="Arial" w:hAnsi="Arial"/>
                <w:sz w:val="16"/>
                <w:szCs w:val="16"/>
                <w:color w:val="auto"/>
              </w:rPr>
              <w:t>2,309,348</w:t>
            </w:r>
          </w:p>
        </w:tc>
        <w:tc>
          <w:tcPr>
            <w:tcW w:w="140" w:type="dxa"/>
            <w:vAlign w:val="bottom"/>
          </w:tcPr>
          <w:p>
            <w:pPr>
              <w:spacing w:after="0"/>
              <w:rPr>
                <w:sz w:val="14"/>
                <w:szCs w:val="14"/>
                <w:color w:val="auto"/>
              </w:rPr>
            </w:pPr>
          </w:p>
        </w:tc>
        <w:tc>
          <w:tcPr>
            <w:tcW w:w="1320" w:type="dxa"/>
            <w:vAlign w:val="bottom"/>
          </w:tcPr>
          <w:p>
            <w:pPr>
              <w:jc w:val="right"/>
              <w:spacing w:after="0" w:line="165" w:lineRule="exact"/>
              <w:rPr>
                <w:sz w:val="20"/>
                <w:szCs w:val="20"/>
                <w:color w:val="auto"/>
              </w:rPr>
            </w:pPr>
            <w:r>
              <w:rPr>
                <w:rFonts w:ascii="Arial" w:cs="Arial" w:eastAsia="Arial" w:hAnsi="Arial"/>
                <w:sz w:val="16"/>
                <w:szCs w:val="16"/>
                <w:color w:val="auto"/>
              </w:rPr>
              <w:t>3,497,138</w:t>
            </w:r>
          </w:p>
        </w:tc>
        <w:tc>
          <w:tcPr>
            <w:tcW w:w="160" w:type="dxa"/>
            <w:vAlign w:val="bottom"/>
          </w:tcPr>
          <w:p>
            <w:pPr>
              <w:spacing w:after="0"/>
              <w:rPr>
                <w:sz w:val="14"/>
                <w:szCs w:val="14"/>
                <w:color w:val="auto"/>
              </w:rPr>
            </w:pPr>
          </w:p>
        </w:tc>
        <w:tc>
          <w:tcPr>
            <w:tcW w:w="13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(1,173,805)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Vested</w:t>
            </w:r>
          </w:p>
        </w:tc>
        <w:tc>
          <w:tcPr>
            <w:tcW w:w="1320" w:type="dxa"/>
            <w:vAlign w:val="bottom"/>
          </w:tcPr>
          <w:p>
            <w:pPr>
              <w:jc w:val="right"/>
              <w:spacing w:after="0"/>
              <w:rPr>
                <w:sz w:val="20"/>
                <w:szCs w:val="20"/>
                <w:color w:val="auto"/>
              </w:rPr>
            </w:pPr>
            <w:r>
              <w:rPr>
                <w:rFonts w:ascii="Arial" w:cs="Arial" w:eastAsia="Arial" w:hAnsi="Arial"/>
                <w:sz w:val="16"/>
                <w:szCs w:val="16"/>
                <w:color w:val="auto"/>
              </w:rPr>
              <w:t>(108,109)</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0"/>
        </w:trPr>
        <w:tc>
          <w:tcPr>
            <w:tcW w:w="7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2,201,239</w:t>
            </w:r>
          </w:p>
        </w:tc>
        <w:tc>
          <w:tcPr>
            <w:tcW w:w="1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2,323,333</w:t>
            </w: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(72,467)</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(299,374)</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(922,683)</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0"/>
        </w:trPr>
        <w:tc>
          <w:tcPr>
            <w:tcW w:w="7000" w:type="dxa"/>
            <w:vAlign w:val="bottom"/>
          </w:tcPr>
          <w:p>
            <w:pPr>
              <w:spacing w:after="0" w:line="183" w:lineRule="exact"/>
              <w:rPr>
                <w:sz w:val="20"/>
                <w:szCs w:val="20"/>
                <w:color w:val="auto"/>
              </w:rPr>
            </w:pPr>
            <w:r>
              <w:rPr>
                <w:rFonts w:ascii="Arial" w:cs="Arial" w:eastAsia="Arial" w:hAnsi="Arial"/>
                <w:sz w:val="16"/>
                <w:szCs w:val="16"/>
                <w:b w:val="1"/>
                <w:bCs w:val="1"/>
                <w:color w:val="auto"/>
              </w:rPr>
              <w:t>At December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1,206,089</w:t>
            </w:r>
          </w:p>
        </w:tc>
        <w:tc>
          <w:tcPr>
            <w:tcW w:w="1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2,023,959</w:t>
            </w:r>
          </w:p>
        </w:tc>
        <w:tc>
          <w:tcPr>
            <w:tcW w:w="16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207" w:right="260" w:hanging="209"/>
        <w:spacing w:after="0" w:line="219"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 xml:space="preserve"> Holders of pre-IPO awards received a distribution of shares of the Company as further described in Note 15, “Stockholders' Equity”. Thus, the pre-IPO B-1 Units represented 2,309,348 shares of the Company at IPO and the B-2 Units represented 3,497,138 shares of the Company at IPO.</w:t>
      </w:r>
    </w:p>
    <w:p>
      <w:pPr>
        <w:spacing w:after="0" w:line="177" w:lineRule="exact"/>
        <w:rPr>
          <w:sz w:val="20"/>
          <w:szCs w:val="20"/>
          <w:color w:val="auto"/>
        </w:rPr>
      </w:pPr>
    </w:p>
    <w:p>
      <w:pPr>
        <w:ind w:left="7" w:right="80"/>
        <w:spacing w:after="0" w:line="259" w:lineRule="auto"/>
        <w:rPr>
          <w:sz w:val="20"/>
          <w:szCs w:val="20"/>
          <w:color w:val="auto"/>
        </w:rPr>
      </w:pPr>
      <w:r>
        <w:rPr>
          <w:rFonts w:ascii="Arial" w:cs="Arial" w:eastAsia="Arial" w:hAnsi="Arial"/>
          <w:sz w:val="16"/>
          <w:szCs w:val="16"/>
          <w:color w:val="auto"/>
        </w:rPr>
        <w:t>The following table provides a summary of the weighted average unit grant date fair value, weighted average remaining contractual term, total compensation cost and unrecognized compensation cost for the pre-IPO awards:</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December 31, 2021</w:t>
            </w:r>
          </w:p>
        </w:tc>
        <w:tc>
          <w:tcPr>
            <w:tcW w:w="14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Restricted Stock - Pre-</w:t>
            </w:r>
          </w:p>
        </w:tc>
        <w:tc>
          <w:tcPr>
            <w:tcW w:w="14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3"/>
              </w:rPr>
              <w:t>Restricted Stock - Pre-</w:t>
            </w:r>
          </w:p>
        </w:tc>
        <w:tc>
          <w:tcPr>
            <w:tcW w:w="280" w:type="dxa"/>
            <w:vAlign w:val="bottom"/>
          </w:tcPr>
          <w:p>
            <w:pPr>
              <w:spacing w:after="0"/>
              <w:rPr>
                <w:sz w:val="16"/>
                <w:szCs w:val="16"/>
                <w:color w:val="auto"/>
              </w:rPr>
            </w:pPr>
          </w:p>
        </w:tc>
        <w:tc>
          <w:tcPr>
            <w:tcW w:w="1040" w:type="dxa"/>
            <w:vAlign w:val="bottom"/>
          </w:tcPr>
          <w:p>
            <w:pPr>
              <w:jc w:val="right"/>
              <w:ind w:right="507"/>
              <w:spacing w:after="0"/>
              <w:rPr>
                <w:sz w:val="20"/>
                <w:szCs w:val="20"/>
                <w:color w:val="auto"/>
              </w:rPr>
            </w:pPr>
            <w:r>
              <w:rPr>
                <w:rFonts w:ascii="Arial" w:cs="Arial" w:eastAsia="Arial" w:hAnsi="Arial"/>
                <w:sz w:val="12"/>
                <w:szCs w:val="12"/>
                <w:b w:val="1"/>
                <w:bCs w:val="1"/>
                <w:color w:val="auto"/>
              </w:rPr>
              <w:t>All</w:t>
            </w:r>
          </w:p>
        </w:tc>
      </w:tr>
      <w:tr>
        <w:trPr>
          <w:trHeight w:val="136"/>
        </w:trPr>
        <w:tc>
          <w:tcPr>
            <w:tcW w:w="700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dollars in millions, except per award values)</w:t>
            </w:r>
          </w:p>
        </w:tc>
        <w:tc>
          <w:tcPr>
            <w:tcW w:w="260" w:type="dxa"/>
            <w:vAlign w:val="bottom"/>
          </w:tcPr>
          <w:p>
            <w:pPr>
              <w:spacing w:after="0"/>
              <w:rPr>
                <w:sz w:val="11"/>
                <w:szCs w:val="11"/>
                <w:color w:val="auto"/>
              </w:rPr>
            </w:pPr>
          </w:p>
        </w:tc>
        <w:tc>
          <w:tcPr>
            <w:tcW w:w="120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rPr>
              <w:t>IPO B-1</w:t>
            </w:r>
          </w:p>
        </w:tc>
        <w:tc>
          <w:tcPr>
            <w:tcW w:w="280" w:type="dxa"/>
            <w:vAlign w:val="bottom"/>
          </w:tcPr>
          <w:p>
            <w:pPr>
              <w:spacing w:after="0"/>
              <w:rPr>
                <w:sz w:val="11"/>
                <w:szCs w:val="11"/>
                <w:color w:val="auto"/>
              </w:rPr>
            </w:pPr>
          </w:p>
        </w:tc>
        <w:tc>
          <w:tcPr>
            <w:tcW w:w="120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rPr>
              <w:t>IPO B-2</w:t>
            </w:r>
          </w:p>
        </w:tc>
        <w:tc>
          <w:tcPr>
            <w:tcW w:w="280" w:type="dxa"/>
            <w:vAlign w:val="bottom"/>
          </w:tcPr>
          <w:p>
            <w:pPr>
              <w:spacing w:after="0"/>
              <w:rPr>
                <w:sz w:val="11"/>
                <w:szCs w:val="11"/>
                <w:color w:val="auto"/>
              </w:rPr>
            </w:pPr>
          </w:p>
        </w:tc>
        <w:tc>
          <w:tcPr>
            <w:tcW w:w="1040" w:type="dxa"/>
            <w:vAlign w:val="bottom"/>
          </w:tcPr>
          <w:p>
            <w:pPr>
              <w:jc w:val="right"/>
              <w:ind w:right="387"/>
              <w:spacing w:after="0" w:line="137" w:lineRule="exact"/>
              <w:rPr>
                <w:sz w:val="20"/>
                <w:szCs w:val="20"/>
                <w:color w:val="auto"/>
              </w:rPr>
            </w:pPr>
            <w:r>
              <w:rPr>
                <w:rFonts w:ascii="Arial" w:cs="Arial" w:eastAsia="Arial" w:hAnsi="Arial"/>
                <w:sz w:val="12"/>
                <w:szCs w:val="12"/>
                <w:b w:val="1"/>
                <w:bCs w:val="1"/>
                <w:color w:val="auto"/>
              </w:rPr>
              <w:t>Awards</w:t>
            </w:r>
          </w:p>
        </w:tc>
      </w:tr>
      <w:tr>
        <w:trPr>
          <w:trHeight w:val="27"/>
        </w:trPr>
        <w:tc>
          <w:tcPr>
            <w:tcW w:w="2320" w:type="dxa"/>
            <w:vAlign w:val="bottom"/>
            <w:tcBorders>
              <w:top w:val="single" w:sz="8" w:color="auto"/>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gridSpan w:val="2"/>
            <w:shd w:val="clear" w:color="auto" w:fill="CCEEFF"/>
          </w:tcPr>
          <w:p>
            <w:pPr>
              <w:spacing w:after="0" w:line="190" w:lineRule="exact"/>
              <w:rPr>
                <w:sz w:val="20"/>
                <w:szCs w:val="20"/>
                <w:color w:val="auto"/>
              </w:rPr>
            </w:pPr>
            <w:r>
              <w:rPr>
                <w:rFonts w:ascii="Arial" w:cs="Arial" w:eastAsia="Arial" w:hAnsi="Arial"/>
                <w:sz w:val="16"/>
                <w:szCs w:val="16"/>
                <w:color w:val="auto"/>
              </w:rPr>
              <w:t>Weighted average grant date fair value per unit of unvested units</w:t>
            </w:r>
            <w:r>
              <w:rPr>
                <w:rFonts w:ascii="Arial" w:cs="Arial" w:eastAsia="Arial" w:hAnsi="Arial"/>
                <w:sz w:val="20"/>
                <w:szCs w:val="20"/>
                <w:color w:val="auto"/>
                <w:vertAlign w:val="superscript"/>
              </w:rPr>
              <w:t>(a)</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r>
      <w:tr>
        <w:trPr>
          <w:trHeight w:val="198"/>
        </w:trPr>
        <w:tc>
          <w:tcPr>
            <w:tcW w:w="7000" w:type="dxa"/>
            <w:vAlign w:val="bottom"/>
            <w:gridSpan w:val="2"/>
          </w:tcPr>
          <w:p>
            <w:pPr>
              <w:spacing w:after="0"/>
              <w:rPr>
                <w:sz w:val="20"/>
                <w:szCs w:val="20"/>
                <w:color w:val="auto"/>
              </w:rPr>
            </w:pPr>
            <w:r>
              <w:rPr>
                <w:rFonts w:ascii="Arial" w:cs="Arial" w:eastAsia="Arial" w:hAnsi="Arial"/>
                <w:sz w:val="16"/>
                <w:szCs w:val="16"/>
                <w:color w:val="auto"/>
              </w:rPr>
              <w:t>Weighted average remaining contractual term</w:t>
            </w:r>
          </w:p>
        </w:tc>
        <w:tc>
          <w:tcPr>
            <w:tcW w:w="260" w:type="dxa"/>
            <w:vAlign w:val="bottom"/>
          </w:tcPr>
          <w:p>
            <w:pPr>
              <w:spacing w:after="0"/>
              <w:rPr>
                <w:sz w:val="17"/>
                <w:szCs w:val="17"/>
                <w:color w:val="auto"/>
              </w:rPr>
            </w:pPr>
          </w:p>
        </w:tc>
        <w:tc>
          <w:tcPr>
            <w:tcW w:w="1200" w:type="dxa"/>
            <w:vAlign w:val="bottom"/>
            <w:gridSpan w:val="2"/>
          </w:tcPr>
          <w:p>
            <w:pPr>
              <w:ind w:left="460"/>
              <w:spacing w:after="0"/>
              <w:rPr>
                <w:sz w:val="20"/>
                <w:szCs w:val="20"/>
                <w:color w:val="auto"/>
              </w:rPr>
            </w:pPr>
            <w:r>
              <w:rPr>
                <w:rFonts w:ascii="Arial" w:cs="Arial" w:eastAsia="Arial" w:hAnsi="Arial"/>
                <w:sz w:val="16"/>
                <w:szCs w:val="16"/>
                <w:b w:val="1"/>
                <w:bCs w:val="1"/>
                <w:color w:val="auto"/>
              </w:rPr>
              <w:t>3.1 years</w:t>
            </w:r>
          </w:p>
        </w:tc>
        <w:tc>
          <w:tcPr>
            <w:tcW w:w="28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6"/>
                <w:szCs w:val="16"/>
                <w:b w:val="1"/>
                <w:bCs w:val="1"/>
                <w:color w:val="auto"/>
              </w:rPr>
              <w:t>N/A</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N/A</w:t>
            </w:r>
          </w:p>
        </w:tc>
      </w:tr>
      <w:tr>
        <w:trPr>
          <w:trHeight w:val="198"/>
        </w:trPr>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compensation cost recognized during 2021</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r>
      <w:tr>
        <w:trPr>
          <w:trHeight w:val="202"/>
        </w:trPr>
        <w:tc>
          <w:tcPr>
            <w:tcW w:w="7000" w:type="dxa"/>
            <w:vAlign w:val="bottom"/>
            <w:gridSpan w:val="2"/>
          </w:tcPr>
          <w:p>
            <w:pPr>
              <w:spacing w:after="0"/>
              <w:rPr>
                <w:sz w:val="20"/>
                <w:szCs w:val="20"/>
                <w:color w:val="auto"/>
              </w:rPr>
            </w:pPr>
            <w:r>
              <w:rPr>
                <w:rFonts w:ascii="Arial" w:cs="Arial" w:eastAsia="Arial" w:hAnsi="Arial"/>
                <w:sz w:val="16"/>
                <w:szCs w:val="16"/>
                <w:color w:val="auto"/>
              </w:rPr>
              <w:t>Unrecognized compensation expense at December 31, 2021</w:t>
            </w:r>
          </w:p>
        </w:tc>
        <w:tc>
          <w:tcPr>
            <w:tcW w:w="260" w:type="dxa"/>
            <w:vAlign w:val="bottom"/>
          </w:tcPr>
          <w:p>
            <w:pPr>
              <w:jc w:val="right"/>
              <w:ind w:right="86"/>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Pr>
          <w:p>
            <w:pPr>
              <w:spacing w:after="0"/>
              <w:rPr>
                <w:sz w:val="17"/>
                <w:szCs w:val="17"/>
                <w:color w:val="auto"/>
              </w:rPr>
            </w:pPr>
          </w:p>
        </w:tc>
        <w:tc>
          <w:tcPr>
            <w:tcW w:w="280" w:type="dxa"/>
            <w:vAlign w:val="bottom"/>
          </w:tcPr>
          <w:p>
            <w:pPr>
              <w:jc w:val="right"/>
              <w:ind w:right="106"/>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6.6</w:t>
            </w:r>
          </w:p>
        </w:tc>
      </w:tr>
    </w:tbl>
    <w:p>
      <w:pPr>
        <w:spacing w:after="0" w:line="162" w:lineRule="exact"/>
        <w:rPr>
          <w:sz w:val="20"/>
          <w:szCs w:val="20"/>
          <w:color w:val="auto"/>
        </w:rPr>
      </w:pPr>
    </w:p>
    <w:p>
      <w:pPr>
        <w:ind w:left="347" w:right="100" w:hanging="347"/>
        <w:spacing w:after="0" w:line="252" w:lineRule="auto"/>
        <w:tabs>
          <w:tab w:leader="none" w:pos="339"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Due to the in-kind distribution of shares of our common stock in connection with our IPO described above, the weighted average grant date fair value per unit is not comparable to the IPO share price.</w:t>
      </w:r>
    </w:p>
    <w:p>
      <w:pPr>
        <w:ind w:left="7"/>
        <w:spacing w:after="0"/>
        <w:rPr>
          <w:sz w:val="20"/>
          <w:szCs w:val="20"/>
          <w:color w:val="auto"/>
        </w:rPr>
      </w:pPr>
      <w:r>
        <w:rPr>
          <w:rFonts w:ascii="Arial" w:cs="Arial" w:eastAsia="Arial" w:hAnsi="Arial"/>
          <w:sz w:val="14"/>
          <w:szCs w:val="14"/>
          <w:color w:val="auto"/>
        </w:rPr>
        <w:t>N/A – not applicable</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2020 Omnibus Incentive Plan</w:t>
      </w:r>
    </w:p>
    <w:p>
      <w:pPr>
        <w:spacing w:after="0" w:line="189" w:lineRule="exact"/>
        <w:rPr>
          <w:sz w:val="20"/>
          <w:szCs w:val="20"/>
          <w:color w:val="auto"/>
        </w:rPr>
      </w:pPr>
    </w:p>
    <w:p>
      <w:pPr>
        <w:ind w:left="7"/>
        <w:spacing w:after="0" w:line="247" w:lineRule="auto"/>
        <w:rPr>
          <w:sz w:val="20"/>
          <w:szCs w:val="20"/>
          <w:color w:val="auto"/>
        </w:rPr>
      </w:pPr>
      <w:r>
        <w:rPr>
          <w:rFonts w:ascii="Arial" w:cs="Arial" w:eastAsia="Arial" w:hAnsi="Arial"/>
          <w:sz w:val="16"/>
          <w:szCs w:val="16"/>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 The maximum number of shares of our common stock that may be issued under the 2020 Plan is 27.9 million. At December 31, 2021, 24.7 million shares are available for future issuance. The Company plans to issue shares available under the 2020 Plan or shares from treasury to satisfy requirements of awards paid with shares.</w:t>
      </w: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 recognize share-based compensation expense at grant date fair value over the requisite service period (typically four years on a straight-line basis) in our Consolidated Statements of Operations and Comprehensive Income (Loss), in “Selling, general and administrative expenses”. We recognized $11.3 million ($5.1 million for stock options and $6.2 million for RSUs) and $1.2 million ($0.5 million for stock options and $0.7 million for RSUs) of share-based compensation expense for these awards for the years ending December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95"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We use a Black-Scholes option pricing model to estimate the fair value of stock options. Since we are a newly public company, the expected volatility is based on the volatility of similar publicly traded businesses within the same or similar industry as the Company and we used the simplified method to estimate the expected term. The risk-free rate is based on the U.S. Treasury yield in effect at the time of the grant.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grant-date fair values of stock options and the assumptions used in estimating the fair values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20"/>
                <w:szCs w:val="20"/>
                <w:color w:val="auto"/>
              </w:rPr>
            </w:pPr>
            <w:r>
              <w:rPr>
                <w:rFonts w:ascii="Arial" w:cs="Arial" w:eastAsia="Arial" w:hAnsi="Arial"/>
                <w:sz w:val="12"/>
                <w:szCs w:val="12"/>
                <w:b w:val="1"/>
                <w:bCs w:val="1"/>
                <w:color w:val="auto"/>
              </w:rPr>
              <w:t>For the year ended December 31,</w:t>
            </w:r>
          </w:p>
        </w:tc>
        <w:tc>
          <w:tcPr>
            <w:tcW w:w="2820" w:type="dxa"/>
            <w:vAlign w:val="bottom"/>
          </w:tcPr>
          <w:p>
            <w:pPr>
              <w:spacing w:after="0"/>
              <w:rPr>
                <w:sz w:val="13"/>
                <w:szCs w:val="13"/>
                <w:color w:val="auto"/>
              </w:rPr>
            </w:pPr>
          </w:p>
        </w:tc>
        <w:tc>
          <w:tcPr>
            <w:tcW w:w="1300" w:type="dxa"/>
            <w:vAlign w:val="bottom"/>
          </w:tcPr>
          <w:p>
            <w:pPr>
              <w:jc w:val="right"/>
              <w:ind w:right="665"/>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3"/>
                <w:szCs w:val="13"/>
                <w:color w:val="auto"/>
              </w:rPr>
            </w:pPr>
          </w:p>
        </w:tc>
        <w:tc>
          <w:tcPr>
            <w:tcW w:w="1300" w:type="dxa"/>
            <w:vAlign w:val="bottom"/>
          </w:tcPr>
          <w:p>
            <w:pPr>
              <w:jc w:val="right"/>
              <w:ind w:right="665"/>
              <w:spacing w:after="0"/>
              <w:rPr>
                <w:sz w:val="20"/>
                <w:szCs w:val="20"/>
                <w:color w:val="auto"/>
              </w:rPr>
            </w:pPr>
            <w:r>
              <w:rPr>
                <w:rFonts w:ascii="Arial" w:cs="Arial" w:eastAsia="Arial" w:hAnsi="Arial"/>
                <w:sz w:val="12"/>
                <w:szCs w:val="12"/>
                <w:b w:val="1"/>
                <w:bCs w:val="1"/>
                <w:color w:val="auto"/>
              </w:rPr>
              <w:t>2020</w:t>
            </w: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grant date fair value per share</w:t>
            </w:r>
          </w:p>
        </w:tc>
        <w:tc>
          <w:tcPr>
            <w:tcW w:w="28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9.08</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8.54</w:t>
            </w:r>
          </w:p>
        </w:tc>
      </w:tr>
      <w:tr>
        <w:trPr>
          <w:trHeight w:val="198"/>
        </w:trPr>
        <w:tc>
          <w:tcPr>
            <w:tcW w:w="5440" w:type="dxa"/>
            <w:vAlign w:val="bottom"/>
          </w:tcPr>
          <w:p>
            <w:pPr>
              <w:spacing w:after="0"/>
              <w:rPr>
                <w:sz w:val="20"/>
                <w:szCs w:val="20"/>
                <w:color w:val="auto"/>
              </w:rPr>
            </w:pPr>
            <w:r>
              <w:rPr>
                <w:rFonts w:ascii="Arial" w:cs="Arial" w:eastAsia="Arial" w:hAnsi="Arial"/>
                <w:sz w:val="16"/>
                <w:szCs w:val="16"/>
                <w:color w:val="auto"/>
              </w:rPr>
              <w:t>Expected term (years)</w:t>
            </w:r>
          </w:p>
        </w:tc>
        <w:tc>
          <w:tcPr>
            <w:tcW w:w="28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 years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 years</w:t>
            </w:r>
          </w:p>
        </w:tc>
      </w:tr>
      <w:tr>
        <w:trPr>
          <w:trHeight w:val="198"/>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8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198"/>
        </w:trPr>
        <w:tc>
          <w:tcPr>
            <w:tcW w:w="5440" w:type="dxa"/>
            <w:vAlign w:val="bottom"/>
          </w:tcPr>
          <w:p>
            <w:pPr>
              <w:spacing w:after="0"/>
              <w:rPr>
                <w:sz w:val="20"/>
                <w:szCs w:val="20"/>
                <w:color w:val="auto"/>
              </w:rPr>
            </w:pPr>
            <w:r>
              <w:rPr>
                <w:rFonts w:ascii="Arial" w:cs="Arial" w:eastAsia="Arial" w:hAnsi="Arial"/>
                <w:sz w:val="16"/>
                <w:szCs w:val="16"/>
                <w:color w:val="auto"/>
              </w:rPr>
              <w:t>Expected volatility</w:t>
            </w:r>
          </w:p>
        </w:tc>
        <w:tc>
          <w:tcPr>
            <w:tcW w:w="28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37.5 %</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37.5 %</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Stock options have a four-year vesting period, an exercise price equal to the fair market value of a share of common stock on the date of grant, and a contractual term of 10 years.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stock option activity: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1"/>
              <w:spacing w:after="0"/>
              <w:rPr>
                <w:sz w:val="20"/>
                <w:szCs w:val="20"/>
                <w:color w:val="auto"/>
              </w:rPr>
            </w:pPr>
            <w:r>
              <w:rPr>
                <w:rFonts w:ascii="Arial" w:cs="Arial" w:eastAsia="Arial" w:hAnsi="Arial"/>
                <w:sz w:val="12"/>
                <w:szCs w:val="12"/>
                <w:b w:val="1"/>
                <w:bCs w:val="1"/>
                <w:color w:val="auto"/>
                <w:w w:val="95"/>
              </w:rPr>
              <w:t>Aggregate Intrinsic</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2"/>
              </w:rPr>
              <w:t>Weighted-average</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Remaining Contractual</w:t>
            </w:r>
          </w:p>
        </w:tc>
        <w:tc>
          <w:tcPr>
            <w:tcW w:w="100" w:type="dxa"/>
            <w:vAlign w:val="bottom"/>
          </w:tcPr>
          <w:p>
            <w:pPr>
              <w:spacing w:after="0"/>
              <w:rPr>
                <w:sz w:val="12"/>
                <w:szCs w:val="12"/>
                <w:color w:val="auto"/>
              </w:rPr>
            </w:pPr>
          </w:p>
        </w:tc>
        <w:tc>
          <w:tcPr>
            <w:tcW w:w="1140" w:type="dxa"/>
            <w:vAlign w:val="bottom"/>
          </w:tcPr>
          <w:p>
            <w:pPr>
              <w:jc w:val="center"/>
              <w:ind w:right="51"/>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36"/>
        </w:trPr>
        <w:tc>
          <w:tcPr>
            <w:tcW w:w="56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11"/>
              <w:spacing w:after="0" w:line="136" w:lineRule="exact"/>
              <w:rPr>
                <w:sz w:val="20"/>
                <w:szCs w:val="20"/>
                <w:color w:val="auto"/>
              </w:rPr>
            </w:pPr>
            <w:r>
              <w:rPr>
                <w:rFonts w:ascii="Arial" w:cs="Arial" w:eastAsia="Arial" w:hAnsi="Arial"/>
                <w:sz w:val="12"/>
                <w:szCs w:val="12"/>
                <w:color w:val="auto"/>
                <w:w w:val="97"/>
              </w:rPr>
              <w:t>(m</w:t>
            </w:r>
            <w:r>
              <w:rPr>
                <w:rFonts w:ascii="Arial" w:cs="Arial" w:eastAsia="Arial" w:hAnsi="Arial"/>
                <w:sz w:val="12"/>
                <w:szCs w:val="12"/>
                <w:i w:val="1"/>
                <w:iCs w:val="1"/>
                <w:color w:val="auto"/>
                <w:w w:val="97"/>
              </w:rPr>
              <w:t>illions of U.S.</w:t>
            </w: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 Shares</w:t>
            </w:r>
          </w:p>
        </w:tc>
        <w:tc>
          <w:tcPr>
            <w:tcW w:w="1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Exercise Price</w:t>
            </w:r>
          </w:p>
        </w:tc>
        <w:tc>
          <w:tcPr>
            <w:tcW w:w="14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Life</w:t>
            </w:r>
          </w:p>
        </w:tc>
        <w:tc>
          <w:tcPr>
            <w:tcW w:w="100" w:type="dxa"/>
            <w:vAlign w:val="bottom"/>
          </w:tcPr>
          <w:p>
            <w:pPr>
              <w:spacing w:after="0"/>
              <w:rPr>
                <w:sz w:val="13"/>
                <w:szCs w:val="13"/>
                <w:color w:val="auto"/>
              </w:rPr>
            </w:pPr>
          </w:p>
        </w:tc>
        <w:tc>
          <w:tcPr>
            <w:tcW w:w="1140" w:type="dxa"/>
            <w:vAlign w:val="bottom"/>
          </w:tcPr>
          <w:p>
            <w:pPr>
              <w:jc w:val="center"/>
              <w:ind w:right="31"/>
              <w:spacing w:after="0"/>
              <w:rPr>
                <w:sz w:val="20"/>
                <w:szCs w:val="20"/>
                <w:color w:val="auto"/>
              </w:rPr>
            </w:pPr>
            <w:r>
              <w:rPr>
                <w:rFonts w:ascii="Arial" w:cs="Arial" w:eastAsia="Arial" w:hAnsi="Arial"/>
                <w:sz w:val="12"/>
                <w:szCs w:val="12"/>
                <w:i w:val="1"/>
                <w:iCs w:val="1"/>
                <w:color w:val="auto"/>
              </w:rPr>
              <w:t>dollars</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Outstanding at the beginning of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2,389,258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23.00</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82,208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23.65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23.06</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Exercised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23.57</w:t>
            </w: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Outstanding at the end of the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2,423,256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23.02</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5"/>
              </w:rPr>
              <w:t>8.9 years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Exercisable at the end of the year</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20" w:type="dxa"/>
            <w:vAlign w:val="bottom"/>
            <w:vMerge w:val="continue"/>
          </w:tcPr>
          <w:p>
            <w:pPr>
              <w:spacing w:after="0"/>
              <w:rPr>
                <w:sz w:val="14"/>
                <w:szCs w:val="14"/>
                <w:color w:val="auto"/>
              </w:rPr>
            </w:pPr>
          </w:p>
        </w:tc>
        <w:tc>
          <w:tcPr>
            <w:tcW w:w="13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586,110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6"/>
              <w:spacing w:after="0" w:line="165" w:lineRule="exact"/>
              <w:rPr>
                <w:sz w:val="20"/>
                <w:szCs w:val="20"/>
                <w:color w:val="auto"/>
              </w:rPr>
            </w:pPr>
            <w:r>
              <w:rPr>
                <w:rFonts w:ascii="Arial" w:cs="Arial" w:eastAsia="Arial" w:hAnsi="Arial"/>
                <w:sz w:val="16"/>
                <w:szCs w:val="16"/>
                <w:b w:val="1"/>
                <w:bCs w:val="1"/>
                <w:color w:val="auto"/>
              </w:rPr>
              <w:t>23.00</w:t>
            </w:r>
          </w:p>
        </w:tc>
        <w:tc>
          <w:tcPr>
            <w:tcW w:w="160" w:type="dxa"/>
            <w:vAlign w:val="bottom"/>
          </w:tcPr>
          <w:p>
            <w:pPr>
              <w:spacing w:after="0"/>
              <w:rPr>
                <w:sz w:val="14"/>
                <w:szCs w:val="14"/>
                <w:color w:val="auto"/>
              </w:rPr>
            </w:pPr>
          </w:p>
        </w:tc>
        <w:tc>
          <w:tcPr>
            <w:tcW w:w="1440" w:type="dxa"/>
            <w:vAlign w:val="bottom"/>
            <w:gridSpan w:val="2"/>
          </w:tcPr>
          <w:p>
            <w:pPr>
              <w:ind w:left="740"/>
              <w:spacing w:after="0" w:line="165" w:lineRule="exact"/>
              <w:rPr>
                <w:sz w:val="20"/>
                <w:szCs w:val="20"/>
                <w:color w:val="auto"/>
              </w:rPr>
            </w:pPr>
            <w:r>
              <w:rPr>
                <w:rFonts w:ascii="Arial" w:cs="Arial" w:eastAsia="Arial" w:hAnsi="Arial"/>
                <w:sz w:val="16"/>
                <w:szCs w:val="16"/>
                <w:color w:val="auto"/>
              </w:rPr>
              <w:t>8.9 years</w:t>
            </w:r>
          </w:p>
        </w:tc>
        <w:tc>
          <w:tcPr>
            <w:tcW w:w="100" w:type="dxa"/>
            <w:vAlign w:val="bottom"/>
          </w:tcPr>
          <w:p>
            <w:pPr>
              <w:jc w:val="right"/>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5"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Unvested at the end of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1,837,146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23.03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8.9 years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At December 31, 2021 the total unrecognized compensation expense related to stock options expected to be recognized over the weighted-average period of approximately 2.9 years is $15.1 million. The total fair value of stock options vested during the year ended December 31, 2021 was $5.0 million.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RSUs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RSUs generally vest ratably over a period of one to four years and are valued based on the closing stock price on the date of grant. The following table summarizes our unvested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RSUs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05"/>
              <w:spacing w:after="0"/>
              <w:rPr>
                <w:sz w:val="20"/>
                <w:szCs w:val="20"/>
                <w:color w:val="auto"/>
              </w:rPr>
            </w:pPr>
            <w:r>
              <w:rPr>
                <w:rFonts w:ascii="Arial" w:cs="Arial" w:eastAsia="Arial" w:hAnsi="Arial"/>
                <w:sz w:val="12"/>
                <w:szCs w:val="12"/>
                <w:b w:val="1"/>
                <w:bCs w:val="1"/>
                <w:color w:val="auto"/>
                <w:w w:val="94"/>
              </w:rPr>
              <w:t>Weighted-average</w:t>
            </w:r>
          </w:p>
        </w:tc>
      </w:tr>
      <w:tr>
        <w:trPr>
          <w:trHeight w:val="161"/>
        </w:trPr>
        <w:tc>
          <w:tcPr>
            <w:tcW w:w="846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 Shares</w:t>
            </w:r>
          </w:p>
        </w:tc>
        <w:tc>
          <w:tcPr>
            <w:tcW w:w="1320" w:type="dxa"/>
            <w:vAlign w:val="bottom"/>
            <w:gridSpan w:val="2"/>
          </w:tcPr>
          <w:p>
            <w:pPr>
              <w:jc w:val="right"/>
              <w:spacing w:after="0"/>
              <w:rPr>
                <w:sz w:val="20"/>
                <w:szCs w:val="20"/>
                <w:color w:val="auto"/>
              </w:rPr>
            </w:pPr>
            <w:r>
              <w:rPr>
                <w:rFonts w:ascii="Arial" w:cs="Arial" w:eastAsia="Arial" w:hAnsi="Arial"/>
                <w:sz w:val="12"/>
                <w:szCs w:val="12"/>
                <w:b w:val="1"/>
                <w:bCs w:val="1"/>
                <w:color w:val="auto"/>
              </w:rPr>
              <w:t>Grant Date Fair Value</w:t>
            </w:r>
          </w:p>
        </w:tc>
      </w:tr>
      <w:tr>
        <w:trPr>
          <w:trHeight w:val="22"/>
        </w:trPr>
        <w:tc>
          <w:tcPr>
            <w:tcW w:w="84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4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Unvested at the beginning of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771,276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198"/>
        </w:trPr>
        <w:tc>
          <w:tcPr>
            <w:tcW w:w="846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120,422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24.02</w:t>
            </w:r>
          </w:p>
        </w:tc>
      </w:tr>
      <w:tr>
        <w:trPr>
          <w:trHeight w:val="198"/>
        </w:trPr>
        <w:tc>
          <w:tcPr>
            <w:tcW w:w="8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r>
      <w:tr>
        <w:trPr>
          <w:trHeight w:val="198"/>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Vested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(222,505)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r>
      <w:tr>
        <w:trPr>
          <w:trHeight w:val="215"/>
        </w:trPr>
        <w:tc>
          <w:tcPr>
            <w:tcW w:w="84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Unvested at the end of the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640,122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As of December 31, 2021, total unrecognized compensation expense related to RSUs expected to be recognized over the weighted-average period of approximately 2.8 years is $13.1 million.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Earnings (Loss) Per Share</w:t>
      </w:r>
    </w:p>
    <w:p>
      <w:pPr>
        <w:spacing w:after="0" w:line="102" w:lineRule="exact"/>
        <w:rPr>
          <w:sz w:val="20"/>
          <w:szCs w:val="20"/>
          <w:color w:val="auto"/>
        </w:rPr>
      </w:pPr>
    </w:p>
    <w:p>
      <w:pPr>
        <w:jc w:val="both"/>
        <w:ind w:right="200"/>
        <w:spacing w:after="0" w:line="304" w:lineRule="auto"/>
        <w:rPr>
          <w:sz w:val="20"/>
          <w:szCs w:val="20"/>
          <w:color w:val="auto"/>
        </w:rPr>
      </w:pPr>
      <w:r>
        <w:rPr>
          <w:rFonts w:ascii="Arial" w:cs="Arial" w:eastAsia="Arial" w:hAnsi="Arial"/>
          <w:sz w:val="14"/>
          <w:szCs w:val="14"/>
          <w:color w:val="auto"/>
        </w:rPr>
        <w:t>Basic earnings per share represents the amount of income (loss) attributable to each common share outstanding. Diluted earnings per share represents the amount of income (loss)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November 18, 2020, the Company effected a forward stock split to reclassify all 3,000 shares of its common stock outstanding as 232,400,200 shares. The loss per share data for the year ended December 31, 2019 is presented below giving effect to the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Our basic and diluted earnings per Common Share are calculated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620" w:type="dxa"/>
            <w:vAlign w:val="bottom"/>
            <w:gridSpan w:val="2"/>
          </w:tcPr>
          <w:p>
            <w:pPr>
              <w:spacing w:after="0"/>
              <w:rPr>
                <w:sz w:val="20"/>
                <w:szCs w:val="20"/>
                <w:color w:val="auto"/>
              </w:rPr>
            </w:pPr>
            <w:r>
              <w:rPr>
                <w:rFonts w:ascii="Arial" w:cs="Arial" w:eastAsia="Arial" w:hAnsi="Arial"/>
                <w:sz w:val="12"/>
                <w:szCs w:val="12"/>
                <w:i w:val="1"/>
                <w:iCs w:val="1"/>
                <w:color w:val="auto"/>
              </w:rPr>
              <w:t>in thousands of U.S. dollars and share amounts (except per share amounts)</w:t>
            </w:r>
          </w:p>
        </w:tc>
        <w:tc>
          <w:tcPr>
            <w:tcW w:w="1600" w:type="dxa"/>
            <w:vAlign w:val="bottom"/>
            <w:gridSpan w:val="3"/>
          </w:tcPr>
          <w:p>
            <w:pPr>
              <w:ind w:left="100"/>
              <w:spacing w:after="0" w:line="158" w:lineRule="exact"/>
              <w:rPr>
                <w:sz w:val="20"/>
                <w:szCs w:val="20"/>
                <w:color w:val="auto"/>
              </w:rPr>
            </w:pPr>
            <w:r>
              <w:rPr>
                <w:rFonts w:ascii="Arial" w:cs="Arial" w:eastAsia="Arial" w:hAnsi="Arial"/>
                <w:sz w:val="16"/>
                <w:szCs w:val="16"/>
                <w:b w:val="1"/>
                <w:bCs w:val="1"/>
                <w:color w:val="auto"/>
              </w:rPr>
              <w:t>December 31, 2021</w:t>
            </w:r>
          </w:p>
        </w:tc>
        <w:tc>
          <w:tcPr>
            <w:tcW w:w="8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7"/>
              </w:rPr>
              <w:t>December 31, 2020</w:t>
            </w:r>
          </w:p>
        </w:tc>
        <w:tc>
          <w:tcPr>
            <w:tcW w:w="100" w:type="dxa"/>
            <w:vAlign w:val="bottom"/>
          </w:tcPr>
          <w:p>
            <w:pPr>
              <w:spacing w:after="0"/>
              <w:rPr>
                <w:sz w:val="13"/>
                <w:szCs w:val="13"/>
                <w:color w:val="auto"/>
              </w:rPr>
            </w:pPr>
          </w:p>
        </w:tc>
        <w:tc>
          <w:tcPr>
            <w:tcW w:w="1360" w:type="dxa"/>
            <w:vAlign w:val="bottom"/>
          </w:tcPr>
          <w:p>
            <w:pPr>
              <w:jc w:val="right"/>
              <w:ind w:right="22"/>
              <w:spacing w:after="0" w:line="158" w:lineRule="exact"/>
              <w:rPr>
                <w:sz w:val="20"/>
                <w:szCs w:val="20"/>
                <w:color w:val="auto"/>
              </w:rPr>
            </w:pPr>
            <w:r>
              <w:rPr>
                <w:rFonts w:ascii="Arial" w:cs="Arial" w:eastAsia="Arial" w:hAnsi="Arial"/>
                <w:sz w:val="16"/>
                <w:szCs w:val="16"/>
                <w:b w:val="1"/>
                <w:bCs w:val="1"/>
                <w:color w:val="auto"/>
                <w:w w:val="86"/>
              </w:rPr>
              <w:t>December 31, 2019</w:t>
            </w:r>
          </w:p>
        </w:tc>
        <w:tc>
          <w:tcPr>
            <w:tcW w:w="0" w:type="dxa"/>
            <w:vAlign w:val="bottom"/>
          </w:tcPr>
          <w:p>
            <w:pPr>
              <w:spacing w:after="0"/>
              <w:rPr>
                <w:sz w:val="1"/>
                <w:szCs w:val="1"/>
                <w:color w:val="auto"/>
              </w:rPr>
            </w:pPr>
          </w:p>
        </w:tc>
      </w:tr>
      <w:tr>
        <w:trPr>
          <w:trHeight w:val="20"/>
        </w:trPr>
        <w:tc>
          <w:tcPr>
            <w:tcW w:w="376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Earnings (loss):</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20" w:type="dxa"/>
            <w:vAlign w:val="bottom"/>
            <w:gridSpan w:val="2"/>
          </w:tcPr>
          <w:p>
            <w:pPr>
              <w:ind w:left="200"/>
              <w:spacing w:after="0"/>
              <w:rPr>
                <w:sz w:val="20"/>
                <w:szCs w:val="20"/>
                <w:color w:val="auto"/>
              </w:rPr>
            </w:pPr>
            <w:r>
              <w:rPr>
                <w:rFonts w:ascii="Arial" w:cs="Arial" w:eastAsia="Arial" w:hAnsi="Arial"/>
                <w:sz w:val="16"/>
                <w:szCs w:val="16"/>
                <w:color w:val="auto"/>
              </w:rPr>
              <w:t>Net income (loss)</w:t>
            </w:r>
          </w:p>
        </w:tc>
        <w:tc>
          <w:tcPr>
            <w:tcW w:w="480" w:type="dxa"/>
            <w:vAlign w:val="bottom"/>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117,121</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(37,491)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(20,425)</w:t>
            </w:r>
          </w:p>
        </w:tc>
        <w:tc>
          <w:tcPr>
            <w:tcW w:w="0" w:type="dxa"/>
            <w:vAlign w:val="bottom"/>
          </w:tcPr>
          <w:p>
            <w:pPr>
              <w:spacing w:after="0"/>
              <w:rPr>
                <w:sz w:val="1"/>
                <w:szCs w:val="1"/>
                <w:color w:val="auto"/>
              </w:rPr>
            </w:pPr>
          </w:p>
        </w:tc>
      </w:tr>
      <w:tr>
        <w:trPr>
          <w:trHeight w:val="198"/>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Less: Net income attributable to noncontrolling interests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0"/>
              <w:spacing w:after="0"/>
              <w:rPr>
                <w:sz w:val="20"/>
                <w:szCs w:val="20"/>
                <w:color w:val="auto"/>
              </w:rPr>
            </w:pPr>
            <w:r>
              <w:rPr>
                <w:rFonts w:ascii="Arial" w:cs="Arial" w:eastAsia="Arial" w:hAnsi="Arial"/>
                <w:sz w:val="16"/>
                <w:szCs w:val="16"/>
                <w:color w:val="auto"/>
              </w:rPr>
              <w:t>Less: Allocation to participating securities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20" w:type="dxa"/>
            <w:vAlign w:val="bottom"/>
            <w:tcBorders>
              <w:top w:val="single" w:sz="8" w:color="CCEEFF"/>
              <w:bottom w:val="single" w:sz="8" w:color="CCEEFF"/>
            </w:tcBorders>
            <w:gridSpan w:val="2"/>
            <w:shd w:val="clear" w:color="auto" w:fill="CCEEFF"/>
          </w:tcPr>
          <w:p>
            <w:pPr>
              <w:ind w:left="140"/>
              <w:spacing w:after="0" w:line="178" w:lineRule="exact"/>
              <w:rPr>
                <w:sz w:val="20"/>
                <w:szCs w:val="20"/>
                <w:color w:val="auto"/>
              </w:rPr>
            </w:pPr>
            <w:r>
              <w:rPr>
                <w:rFonts w:ascii="Arial" w:cs="Arial" w:eastAsia="Arial" w:hAnsi="Arial"/>
                <w:sz w:val="16"/>
                <w:szCs w:val="16"/>
                <w:color w:val="auto"/>
              </w:rPr>
              <w:t>Net income (loss) attributable to Sotera Health Company common stockholders</w:t>
            </w:r>
          </w:p>
        </w:tc>
        <w:tc>
          <w:tcPr>
            <w:tcW w:w="48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115,358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spacing w:after="0" w:line="181" w:lineRule="exact"/>
              <w:rPr>
                <w:sz w:val="20"/>
                <w:szCs w:val="20"/>
                <w:color w:val="auto"/>
              </w:rPr>
            </w:pPr>
            <w:r>
              <w:rPr>
                <w:rFonts w:ascii="Arial" w:cs="Arial" w:eastAsia="Arial" w:hAnsi="Arial"/>
                <w:sz w:val="16"/>
                <w:szCs w:val="16"/>
                <w:b w:val="1"/>
                <w:bCs w:val="1"/>
                <w:color w:val="auto"/>
              </w:rPr>
              <w:t>Weighted Average Common Shares: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Weighted-average common shares outstanding - basic</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279,228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0"/>
              <w:spacing w:after="0"/>
              <w:rPr>
                <w:sz w:val="20"/>
                <w:szCs w:val="20"/>
                <w:color w:val="auto"/>
              </w:rPr>
            </w:pPr>
            <w:r>
              <w:rPr>
                <w:rFonts w:ascii="Arial" w:cs="Arial" w:eastAsia="Arial" w:hAnsi="Arial"/>
                <w:sz w:val="16"/>
                <w:szCs w:val="16"/>
                <w:color w:val="auto"/>
              </w:rPr>
              <w:t>Dilutive effect of potential common shares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20" w:type="dxa"/>
            <w:vAlign w:val="bottom"/>
            <w:tcBorders>
              <w:top w:val="single" w:sz="8" w:color="CCEEFF"/>
              <w:bottom w:val="single" w:sz="8" w:color="CCEEFF"/>
            </w:tcBorders>
            <w:gridSpan w:val="2"/>
            <w:shd w:val="clear" w:color="auto" w:fill="CCEEFF"/>
          </w:tcPr>
          <w:p>
            <w:pPr>
              <w:ind w:left="200"/>
              <w:spacing w:after="0" w:line="178" w:lineRule="exact"/>
              <w:rPr>
                <w:sz w:val="20"/>
                <w:szCs w:val="20"/>
                <w:color w:val="auto"/>
              </w:rPr>
            </w:pPr>
            <w:r>
              <w:rPr>
                <w:rFonts w:ascii="Arial" w:cs="Arial" w:eastAsia="Arial" w:hAnsi="Arial"/>
                <w:sz w:val="16"/>
                <w:szCs w:val="16"/>
                <w:color w:val="auto"/>
              </w:rPr>
              <w:t>Weighted-average common shares outstanding - diluted</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279,382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spacing w:after="0" w:line="181" w:lineRule="exact"/>
              <w:rPr>
                <w:sz w:val="20"/>
                <w:szCs w:val="20"/>
                <w:color w:val="auto"/>
              </w:rPr>
            </w:pPr>
            <w:r>
              <w:rPr>
                <w:rFonts w:ascii="Arial" w:cs="Arial" w:eastAsia="Arial" w:hAnsi="Arial"/>
                <w:sz w:val="16"/>
                <w:szCs w:val="16"/>
                <w:b w:val="1"/>
                <w:bCs w:val="1"/>
                <w:color w:val="auto"/>
              </w:rPr>
              <w:t>Earnings (loss) per Common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2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6"/>
                <w:szCs w:val="16"/>
                <w:color w:val="auto"/>
                <w:w w:val="90"/>
              </w:rPr>
              <w:t>Net income (loss) per common share attributable to Sotera Health Company common shareholders -</w:t>
            </w:r>
          </w:p>
        </w:tc>
        <w:tc>
          <w:tcPr>
            <w:tcW w:w="480" w:type="dxa"/>
            <w:vAlign w:val="bottom"/>
            <w:vMerge w:val="restart"/>
            <w:shd w:val="clear" w:color="auto" w:fill="CCEEFF"/>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0.41</w:t>
            </w:r>
          </w:p>
        </w:tc>
        <w:tc>
          <w:tcPr>
            <w:tcW w:w="16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7"/>
        </w:trPr>
        <w:tc>
          <w:tcPr>
            <w:tcW w:w="6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basic</w:t>
            </w:r>
          </w:p>
        </w:tc>
        <w:tc>
          <w:tcPr>
            <w:tcW w:w="4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620" w:type="dxa"/>
            <w:vAlign w:val="bottom"/>
            <w:gridSpan w:val="2"/>
          </w:tcPr>
          <w:p>
            <w:pPr>
              <w:ind w:left="140"/>
              <w:spacing w:after="0" w:line="153" w:lineRule="exact"/>
              <w:rPr>
                <w:sz w:val="20"/>
                <w:szCs w:val="20"/>
                <w:color w:val="auto"/>
              </w:rPr>
            </w:pPr>
            <w:r>
              <w:rPr>
                <w:rFonts w:ascii="Arial" w:cs="Arial" w:eastAsia="Arial" w:hAnsi="Arial"/>
                <w:sz w:val="16"/>
                <w:szCs w:val="16"/>
                <w:color w:val="auto"/>
                <w:w w:val="90"/>
              </w:rPr>
              <w:t>Net income (loss) per common share attributable to Sotera Health Company common shareholders -</w:t>
            </w: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0.41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6"/>
        </w:trPr>
        <w:tc>
          <w:tcPr>
            <w:tcW w:w="6620" w:type="dxa"/>
            <w:vAlign w:val="bottom"/>
            <w:gridSpan w:val="2"/>
          </w:tcPr>
          <w:p>
            <w:pPr>
              <w:ind w:left="42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69"/>
        </w:trPr>
        <w:tc>
          <w:tcPr>
            <w:tcW w:w="6620" w:type="dxa"/>
            <w:vAlign w:val="bottom"/>
            <w:gridSpan w:val="2"/>
          </w:tcPr>
          <w:p>
            <w:pPr>
              <w:ind w:left="5500"/>
              <w:spacing w:after="0"/>
              <w:rPr>
                <w:sz w:val="20"/>
                <w:szCs w:val="20"/>
                <w:color w:val="auto"/>
              </w:rPr>
            </w:pPr>
            <w:r>
              <w:rPr>
                <w:rFonts w:ascii="Arial" w:cs="Arial" w:eastAsia="Arial" w:hAnsi="Arial"/>
                <w:sz w:val="16"/>
                <w:szCs w:val="16"/>
                <w:color w:val="auto"/>
              </w:rPr>
              <w:t>106</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7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6" w:name="page107"/>
    <w:bookmarkEnd w:id="106"/>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color w:val="auto"/>
        </w:rPr>
        <w:t>Diluted earnings per shares does not consider the following potential common shares as the effect would be anti-dilutive:</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1440" w:type="dxa"/>
            <w:vAlign w:val="bottom"/>
            <w:tcBorders>
              <w:bottom w:val="single" w:sz="8" w:color="auto"/>
            </w:tcBorders>
          </w:tcPr>
          <w:p>
            <w:pPr>
              <w:spacing w:after="0"/>
              <w:rPr>
                <w:sz w:val="16"/>
                <w:szCs w:val="16"/>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2"/>
                <w:szCs w:val="12"/>
                <w:i w:val="1"/>
                <w:iCs w:val="1"/>
                <w:color w:val="auto"/>
              </w:rPr>
              <w:t>in thousands of share amounts</w:t>
            </w:r>
          </w:p>
        </w:tc>
        <w:tc>
          <w:tcPr>
            <w:tcW w:w="15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December 31, 2021</w:t>
            </w:r>
          </w:p>
        </w:tc>
        <w:tc>
          <w:tcPr>
            <w:tcW w:w="156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7"/>
              </w:rPr>
              <w:t>December 31, 2020</w:t>
            </w:r>
          </w:p>
        </w:tc>
        <w:tc>
          <w:tcPr>
            <w:tcW w:w="1440" w:type="dxa"/>
            <w:vAlign w:val="bottom"/>
          </w:tcPr>
          <w:p>
            <w:pPr>
              <w:ind w:left="100"/>
              <w:spacing w:after="0" w:line="158" w:lineRule="exact"/>
              <w:rPr>
                <w:sz w:val="20"/>
                <w:szCs w:val="20"/>
                <w:color w:val="auto"/>
              </w:rPr>
            </w:pPr>
            <w:r>
              <w:rPr>
                <w:rFonts w:ascii="Arial" w:cs="Arial" w:eastAsia="Arial" w:hAnsi="Arial"/>
                <w:sz w:val="16"/>
                <w:szCs w:val="16"/>
                <w:b w:val="1"/>
                <w:bCs w:val="1"/>
                <w:color w:val="auto"/>
                <w:w w:val="91"/>
              </w:rPr>
              <w:t>December 31, 2019</w:t>
            </w:r>
          </w:p>
        </w:tc>
      </w:tr>
      <w:tr>
        <w:trPr>
          <w:trHeight w:val="20"/>
        </w:trPr>
        <w:tc>
          <w:tcPr>
            <w:tcW w:w="152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6"/>
                <w:szCs w:val="16"/>
                <w:color w:val="auto"/>
                <w:w w:val="97"/>
              </w:rPr>
              <w:t>N/A</w:t>
            </w:r>
          </w:p>
        </w:tc>
      </w:tr>
      <w:tr>
        <w:trPr>
          <w:trHeight w:val="198"/>
        </w:trPr>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RSUs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97"/>
              </w:rPr>
              <w:t>N/A</w:t>
            </w:r>
          </w:p>
        </w:tc>
      </w:tr>
      <w:tr>
        <w:trPr>
          <w:trHeight w:val="215"/>
        </w:trPr>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anti-dilutive securities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2,407</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2,972</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b w:val="1"/>
                <w:bCs w:val="1"/>
                <w:color w:val="auto"/>
                <w:w w:val="94"/>
              </w:rPr>
              <w:t>N/A</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7"/>
        <w:spacing w:after="0"/>
        <w:rPr>
          <w:sz w:val="20"/>
          <w:szCs w:val="20"/>
          <w:color w:val="auto"/>
        </w:rPr>
      </w:pPr>
      <w:r>
        <w:rPr>
          <w:rFonts w:ascii="Arial" w:cs="Arial" w:eastAsia="Arial" w:hAnsi="Arial"/>
          <w:sz w:val="13"/>
          <w:szCs w:val="13"/>
          <w:color w:val="auto"/>
        </w:rPr>
        <w:t>N/A - For the year ended December 31, 2019, there were no potentially dilutive common shares outstanding.</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18. Leases</w:t>
      </w:r>
    </w:p>
    <w:p>
      <w:pPr>
        <w:spacing w:after="0" w:line="102" w:lineRule="exact"/>
        <w:rPr>
          <w:sz w:val="20"/>
          <w:szCs w:val="20"/>
          <w:color w:val="auto"/>
        </w:rPr>
      </w:pPr>
    </w:p>
    <w:p>
      <w:pPr>
        <w:jc w:val="both"/>
        <w:ind w:left="7" w:right="40"/>
        <w:spacing w:after="0" w:line="259" w:lineRule="auto"/>
        <w:rPr>
          <w:sz w:val="20"/>
          <w:szCs w:val="20"/>
          <w:color w:val="auto"/>
        </w:rPr>
      </w:pPr>
      <w:r>
        <w:rPr>
          <w:rFonts w:ascii="Arial" w:cs="Arial" w:eastAsia="Arial" w:hAnsi="Arial"/>
          <w:sz w:val="16"/>
          <w:szCs w:val="16"/>
          <w:color w:val="auto"/>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sectPr>
          <w:pgSz w:w="11900" w:h="16838" w:orient="portrait"/>
          <w:cols w:equalWidth="0" w:num="1">
            <w:col w:w="11267"/>
          </w:cols>
          <w:pgMar w:left="313" w:top="129" w:right="319" w:bottom="1440" w:gutter="0" w:footer="0" w:header="0"/>
        </w:sectPr>
      </w:pPr>
    </w:p>
    <w:p>
      <w:pPr>
        <w:spacing w:after="0" w:line="162"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components of lease expense were as follows:</w:t>
      </w:r>
    </w:p>
    <w:p>
      <w:pPr>
        <w:spacing w:after="0" w:line="382"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(thousands of U.S. dollars)</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 xml:space="preserve">Operating lease costs </w:t>
      </w:r>
      <w:r>
        <w:rPr>
          <w:rFonts w:ascii="Arial" w:cs="Arial" w:eastAsia="Arial" w:hAnsi="Arial"/>
          <w:sz w:val="8"/>
          <w:szCs w:val="8"/>
          <w:b w:val="1"/>
          <w:bCs w:val="1"/>
          <w:i w:val="1"/>
          <w:iCs w:val="1"/>
          <w:color w:val="auto"/>
        </w:rPr>
        <w:t>(a)</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Finance lease costs:</w:t>
      </w:r>
    </w:p>
    <w:p>
      <w:pPr>
        <w:spacing w:after="0" w:line="20" w:lineRule="exact"/>
        <w:rPr>
          <w:sz w:val="20"/>
          <w:szCs w:val="20"/>
          <w:color w:val="auto"/>
        </w:rPr>
      </w:pPr>
    </w:p>
    <w:p>
      <w:pPr>
        <w:ind w:left="387"/>
        <w:spacing w:after="0"/>
        <w:rPr>
          <w:sz w:val="20"/>
          <w:szCs w:val="20"/>
          <w:color w:val="auto"/>
        </w:rPr>
      </w:pPr>
      <w:r>
        <w:rPr>
          <w:rFonts w:ascii="Arial" w:cs="Arial" w:eastAsia="Arial" w:hAnsi="Arial"/>
          <w:sz w:val="16"/>
          <w:szCs w:val="16"/>
          <w:color w:val="auto"/>
        </w:rPr>
        <w:t>Amortization of right of use assets</w:t>
      </w:r>
    </w:p>
    <w:p>
      <w:pPr>
        <w:spacing w:after="0" w:line="14" w:lineRule="exact"/>
        <w:rPr>
          <w:sz w:val="20"/>
          <w:szCs w:val="20"/>
          <w:color w:val="auto"/>
        </w:rPr>
      </w:pPr>
    </w:p>
    <w:p>
      <w:pPr>
        <w:ind w:left="387"/>
        <w:spacing w:after="0"/>
        <w:rPr>
          <w:sz w:val="20"/>
          <w:szCs w:val="20"/>
          <w:color w:val="auto"/>
        </w:rPr>
      </w:pPr>
      <w:r>
        <w:rPr>
          <w:rFonts w:ascii="Arial" w:cs="Arial" w:eastAsia="Arial" w:hAnsi="Arial"/>
          <w:sz w:val="16"/>
          <w:szCs w:val="16"/>
          <w:color w:val="auto"/>
        </w:rPr>
        <w:t>Interest on lease liabilities</w:t>
      </w:r>
    </w:p>
    <w:p>
      <w:pPr>
        <w:spacing w:after="0" w:line="20" w:lineRule="exact"/>
        <w:rPr>
          <w:sz w:val="20"/>
          <w:szCs w:val="20"/>
          <w:color w:val="auto"/>
        </w:rPr>
      </w:pPr>
    </w:p>
    <w:p>
      <w:pPr>
        <w:ind w:left="767"/>
        <w:spacing w:after="0"/>
        <w:rPr>
          <w:sz w:val="20"/>
          <w:szCs w:val="20"/>
          <w:color w:val="auto"/>
        </w:rPr>
      </w:pPr>
      <w:r>
        <w:rPr>
          <w:rFonts w:ascii="Arial" w:cs="Arial" w:eastAsia="Arial" w:hAnsi="Arial"/>
          <w:sz w:val="16"/>
          <w:szCs w:val="16"/>
          <w:b w:val="1"/>
          <w:bCs w:val="1"/>
          <w:color w:val="auto"/>
        </w:rPr>
        <w:t>Total finance lease costs</w:t>
      </w:r>
    </w:p>
    <w:p>
      <w:pPr>
        <w:spacing w:after="0" w:line="4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Total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0"/>
              </w:rPr>
              <w:t>December 31, 2020</w:t>
            </w:r>
          </w:p>
        </w:tc>
      </w:tr>
      <w:tr>
        <w:trPr>
          <w:trHeight w:val="21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15,433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14,403</w:t>
            </w:r>
          </w:p>
        </w:tc>
      </w:tr>
      <w:tr>
        <w:trPr>
          <w:trHeight w:val="392"/>
        </w:trPr>
        <w:tc>
          <w:tcPr>
            <w:tcW w:w="1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3,018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2,617</w:t>
            </w:r>
          </w:p>
        </w:tc>
      </w:tr>
      <w:tr>
        <w:trPr>
          <w:trHeight w:val="203"/>
        </w:trPr>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r>
      <w:tr>
        <w:trPr>
          <w:trHeight w:val="213"/>
        </w:trPr>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w:t>
            </w:r>
          </w:p>
        </w:tc>
      </w:tr>
      <w:tr>
        <w:trPr>
          <w:trHeight w:val="19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20,957</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-4918710</wp:posOffset>
            </wp:positionH>
            <wp:positionV relativeFrom="paragraph">
              <wp:posOffset>-835660</wp:posOffset>
            </wp:positionV>
            <wp:extent cx="7106920" cy="147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6920" cy="1479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-561975</wp:posOffset>
            </wp:positionV>
            <wp:extent cx="7106920" cy="125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6920" cy="12573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-310515</wp:posOffset>
            </wp:positionV>
            <wp:extent cx="7106920" cy="147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920" cy="14795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7027" w:space="720"/>
            <w:col w:w="3520"/>
          </w:cols>
          <w:pgMar w:left="313" w:top="129" w:right="319" w:bottom="1440" w:gutter="0" w:footer="0" w:header="0"/>
          <w:type w:val="continuous"/>
        </w:sectPr>
      </w:pPr>
    </w:p>
    <w:p>
      <w:pPr>
        <w:ind w:left="407" w:hanging="407"/>
        <w:spacing w:after="0"/>
        <w:tabs>
          <w:tab w:leader="none" w:pos="407"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$0.9 million and $1.0 million of short-term lease costs in the year ended December 31, 2021 and 2020, respectively.</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6"/>
          <w:szCs w:val="16"/>
          <w:color w:val="auto"/>
        </w:rPr>
        <w:t>Lease terms and discount rates were as follows:</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7"/>
          </w:tcPr>
          <w:p>
            <w:pPr>
              <w:ind w:left="1280"/>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136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1"/>
              </w:rPr>
              <w:t>December 31, 2021</w:t>
            </w:r>
          </w:p>
        </w:tc>
        <w:tc>
          <w:tcPr>
            <w:tcW w:w="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94"/>
              </w:rPr>
              <w:t>December 31, 2020</w:t>
            </w:r>
          </w:p>
        </w:tc>
        <w:tc>
          <w:tcPr>
            <w:tcW w:w="160" w:type="dxa"/>
            <w:vAlign w:val="bottom"/>
          </w:tcPr>
          <w:p>
            <w:pPr>
              <w:spacing w:after="0"/>
              <w:rPr>
                <w:sz w:val="16"/>
                <w:szCs w:val="16"/>
                <w:color w:val="auto"/>
              </w:rPr>
            </w:pPr>
          </w:p>
        </w:tc>
      </w:tr>
      <w:tr>
        <w:trPr>
          <w:trHeight w:val="190"/>
        </w:trPr>
        <w:tc>
          <w:tcPr>
            <w:tcW w:w="51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Weighted average remaining lease term:</w:t>
            </w:r>
          </w:p>
        </w:tc>
        <w:tc>
          <w:tcPr>
            <w:tcW w:w="2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gridSpan w:val="2"/>
          </w:tcPr>
          <w:p>
            <w:pPr>
              <w:ind w:left="380"/>
              <w:spacing w:after="0"/>
              <w:rPr>
                <w:sz w:val="20"/>
                <w:szCs w:val="20"/>
                <w:color w:val="auto"/>
              </w:rPr>
            </w:pPr>
            <w:r>
              <w:rPr>
                <w:rFonts w:ascii="Arial" w:cs="Arial" w:eastAsia="Arial" w:hAnsi="Arial"/>
                <w:sz w:val="16"/>
                <w:szCs w:val="16"/>
                <w:color w:val="auto"/>
              </w:rPr>
              <w:t>Operating leases</w:t>
            </w: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6.3 years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6.5 years</w:t>
            </w:r>
          </w:p>
        </w:tc>
      </w:tr>
      <w:tr>
        <w:trPr>
          <w:trHeight w:val="198"/>
        </w:trPr>
        <w:tc>
          <w:tcPr>
            <w:tcW w:w="5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Finance leases</w:t>
            </w:r>
          </w:p>
        </w:tc>
        <w:tc>
          <w:tcPr>
            <w:tcW w:w="2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15.6 years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years</w:t>
            </w:r>
          </w:p>
        </w:tc>
        <w:tc>
          <w:tcPr>
            <w:tcW w:w="160" w:type="dxa"/>
            <w:vAlign w:val="bottom"/>
          </w:tcPr>
          <w:p>
            <w:pPr>
              <w:spacing w:after="0"/>
              <w:rPr>
                <w:sz w:val="17"/>
                <w:szCs w:val="17"/>
                <w:color w:val="auto"/>
              </w:rPr>
            </w:pPr>
          </w:p>
        </w:tc>
      </w:tr>
      <w:tr>
        <w:trPr>
          <w:trHeight w:val="198"/>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Weighted average discount rate:</w:t>
            </w: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8"/>
        </w:trPr>
        <w:tc>
          <w:tcPr>
            <w:tcW w:w="5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Operating leases</w:t>
            </w:r>
          </w:p>
        </w:tc>
        <w:tc>
          <w:tcPr>
            <w:tcW w:w="2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6.09 %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60" w:type="dxa"/>
            <w:vAlign w:val="bottom"/>
          </w:tcPr>
          <w:p>
            <w:pPr>
              <w:spacing w:after="0"/>
              <w:rPr>
                <w:sz w:val="17"/>
                <w:szCs w:val="17"/>
                <w:color w:val="auto"/>
              </w:rPr>
            </w:pPr>
          </w:p>
        </w:tc>
      </w:tr>
      <w:tr>
        <w:trPr>
          <w:trHeight w:val="202"/>
        </w:trPr>
        <w:tc>
          <w:tcPr>
            <w:tcW w:w="5100" w:type="dxa"/>
            <w:vAlign w:val="bottom"/>
            <w:gridSpan w:val="2"/>
          </w:tcPr>
          <w:p>
            <w:pPr>
              <w:ind w:left="380"/>
              <w:spacing w:after="0"/>
              <w:rPr>
                <w:sz w:val="20"/>
                <w:szCs w:val="20"/>
                <w:color w:val="auto"/>
              </w:rPr>
            </w:pPr>
            <w:r>
              <w:rPr>
                <w:rFonts w:ascii="Arial" w:cs="Arial" w:eastAsia="Arial" w:hAnsi="Arial"/>
                <w:sz w:val="16"/>
                <w:szCs w:val="16"/>
                <w:color w:val="auto"/>
              </w:rPr>
              <w:t>Finance leases</w:t>
            </w: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5.91 %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6.05 %</w:t>
            </w:r>
          </w:p>
        </w:tc>
        <w:tc>
          <w:tcPr>
            <w:tcW w:w="160" w:type="dxa"/>
            <w:vAlign w:val="bottom"/>
          </w:tcPr>
          <w:p>
            <w:pPr>
              <w:spacing w:after="0"/>
              <w:rPr>
                <w:sz w:val="17"/>
                <w:szCs w:val="17"/>
                <w:color w:val="auto"/>
              </w:rPr>
            </w:pPr>
          </w:p>
        </w:tc>
      </w:tr>
      <w:tr>
        <w:trPr>
          <w:trHeight w:val="450"/>
        </w:trPr>
        <w:tc>
          <w:tcPr>
            <w:tcW w:w="5100" w:type="dxa"/>
            <w:vAlign w:val="bottom"/>
            <w:gridSpan w:val="2"/>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1"/>
        </w:trPr>
        <w:tc>
          <w:tcPr>
            <w:tcW w:w="1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7"/>
          </w:tcPr>
          <w:p>
            <w:pPr>
              <w:ind w:left="1320"/>
              <w:spacing w:after="0"/>
              <w:rPr>
                <w:sz w:val="20"/>
                <w:szCs w:val="20"/>
                <w:color w:val="auto"/>
              </w:rPr>
            </w:pPr>
            <w:r>
              <w:rPr>
                <w:rFonts w:ascii="Arial" w:cs="Arial" w:eastAsia="Arial" w:hAnsi="Arial"/>
                <w:sz w:val="14"/>
                <w:szCs w:val="14"/>
                <w:b w:val="1"/>
                <w:bCs w:val="1"/>
                <w:color w:val="auto"/>
              </w:rPr>
              <w:t>Year Ended</w:t>
            </w:r>
          </w:p>
        </w:tc>
      </w:tr>
      <w:tr>
        <w:trPr>
          <w:trHeight w:val="146"/>
        </w:trPr>
        <w:tc>
          <w:tcPr>
            <w:tcW w:w="510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(thousands of U.S. dollars)</w:t>
            </w: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280"/>
              <w:spacing w:after="0" w:line="132" w:lineRule="exact"/>
              <w:rPr>
                <w:sz w:val="20"/>
                <w:szCs w:val="20"/>
                <w:color w:val="auto"/>
              </w:rPr>
            </w:pPr>
            <w:r>
              <w:rPr>
                <w:rFonts w:ascii="Arial" w:cs="Arial" w:eastAsia="Arial" w:hAnsi="Arial"/>
                <w:sz w:val="14"/>
                <w:szCs w:val="14"/>
                <w:b w:val="1"/>
                <w:bCs w:val="1"/>
                <w:color w:val="auto"/>
              </w:rPr>
              <w:t>December 31, 2021</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163"/>
              <w:spacing w:after="0" w:line="132" w:lineRule="exact"/>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2"/>
                <w:szCs w:val="12"/>
                <w:color w:val="auto"/>
              </w:rPr>
            </w:pP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51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3"/>
              </w:rPr>
              <w:t>Cash paid for amounts included in the measurement of lease liabilities:</w:t>
            </w:r>
          </w:p>
        </w:tc>
        <w:tc>
          <w:tcPr>
            <w:tcW w:w="2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tcBorders>
              <w:left w:val="single" w:sz="8" w:color="CCEEFF"/>
            </w:tcBorders>
          </w:tcPr>
          <w:p>
            <w:pPr>
              <w:spacing w:after="0"/>
              <w:rPr>
                <w:sz w:val="16"/>
                <w:szCs w:val="16"/>
                <w:color w:val="auto"/>
              </w:rPr>
            </w:pPr>
          </w:p>
        </w:tc>
      </w:tr>
      <w:tr>
        <w:trPr>
          <w:trHeight w:val="198"/>
        </w:trPr>
        <w:tc>
          <w:tcPr>
            <w:tcW w:w="5100" w:type="dxa"/>
            <w:vAlign w:val="bottom"/>
            <w:gridSpan w:val="2"/>
          </w:tcPr>
          <w:p>
            <w:pPr>
              <w:ind w:left="380"/>
              <w:spacing w:after="0"/>
              <w:rPr>
                <w:sz w:val="20"/>
                <w:szCs w:val="20"/>
                <w:color w:val="auto"/>
              </w:rPr>
            </w:pPr>
            <w:r>
              <w:rPr>
                <w:rFonts w:ascii="Arial" w:cs="Arial" w:eastAsia="Arial" w:hAnsi="Arial"/>
                <w:sz w:val="16"/>
                <w:szCs w:val="16"/>
                <w:color w:val="auto"/>
              </w:rPr>
              <w:t>Operating cash flows for operating leases</w:t>
            </w:r>
          </w:p>
        </w:tc>
        <w:tc>
          <w:tcPr>
            <w:tcW w:w="25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12,494</w:t>
            </w:r>
          </w:p>
        </w:tc>
        <w:tc>
          <w:tcPr>
            <w:tcW w:w="100" w:type="dxa"/>
            <w:vAlign w:val="bottom"/>
          </w:tcPr>
          <w:p>
            <w:pPr>
              <w:spacing w:after="0"/>
              <w:rPr>
                <w:sz w:val="17"/>
                <w:szCs w:val="17"/>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12,732</w:t>
            </w:r>
          </w:p>
        </w:tc>
        <w:tc>
          <w:tcPr>
            <w:tcW w:w="160" w:type="dxa"/>
            <w:vAlign w:val="bottom"/>
          </w:tcPr>
          <w:p>
            <w:pPr>
              <w:spacing w:after="0"/>
              <w:rPr>
                <w:sz w:val="17"/>
                <w:szCs w:val="17"/>
                <w:color w:val="auto"/>
              </w:rPr>
            </w:pPr>
          </w:p>
        </w:tc>
      </w:tr>
      <w:tr>
        <w:trPr>
          <w:trHeight w:val="198"/>
        </w:trPr>
        <w:tc>
          <w:tcPr>
            <w:tcW w:w="5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Operating cash flow for finance leases</w:t>
            </w:r>
          </w:p>
        </w:tc>
        <w:tc>
          <w:tcPr>
            <w:tcW w:w="2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60" w:type="dxa"/>
            <w:vAlign w:val="bottom"/>
            <w:tcBorders>
              <w:left w:val="single" w:sz="8" w:color="CCEEFF"/>
            </w:tcBorders>
          </w:tcPr>
          <w:p>
            <w:pPr>
              <w:spacing w:after="0"/>
              <w:rPr>
                <w:sz w:val="17"/>
                <w:szCs w:val="17"/>
                <w:color w:val="auto"/>
              </w:rPr>
            </w:pPr>
          </w:p>
        </w:tc>
      </w:tr>
      <w:tr>
        <w:trPr>
          <w:trHeight w:val="202"/>
        </w:trPr>
        <w:tc>
          <w:tcPr>
            <w:tcW w:w="5100" w:type="dxa"/>
            <w:vAlign w:val="bottom"/>
            <w:gridSpan w:val="2"/>
          </w:tcPr>
          <w:p>
            <w:pPr>
              <w:ind w:left="380"/>
              <w:spacing w:after="0"/>
              <w:rPr>
                <w:sz w:val="20"/>
                <w:szCs w:val="20"/>
                <w:color w:val="auto"/>
              </w:rPr>
            </w:pPr>
            <w:r>
              <w:rPr>
                <w:rFonts w:ascii="Arial" w:cs="Arial" w:eastAsia="Arial" w:hAnsi="Arial"/>
                <w:sz w:val="16"/>
                <w:szCs w:val="16"/>
                <w:color w:val="auto"/>
              </w:rPr>
              <w:t>Finance cash flows for finance leases</w:t>
            </w: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901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1,498</w:t>
            </w:r>
          </w:p>
        </w:tc>
        <w:tc>
          <w:tcPr>
            <w:tcW w:w="160" w:type="dxa"/>
            <w:vAlign w:val="bottom"/>
          </w:tcPr>
          <w:p>
            <w:pPr>
              <w:spacing w:after="0"/>
              <w:rPr>
                <w:sz w:val="17"/>
                <w:szCs w:val="17"/>
                <w:color w:val="auto"/>
              </w:rPr>
            </w:pPr>
          </w:p>
        </w:tc>
      </w:tr>
      <w:tr>
        <w:trPr>
          <w:trHeight w:val="765"/>
        </w:trPr>
        <w:tc>
          <w:tcPr>
            <w:tcW w:w="1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80" w:type="dxa"/>
            <w:vAlign w:val="bottom"/>
          </w:tcPr>
          <w:p>
            <w:pPr>
              <w:jc w:val="right"/>
              <w:ind w:right="1662"/>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9"/>
        </w:trPr>
        <w:tc>
          <w:tcPr>
            <w:tcW w:w="13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-26670</wp:posOffset>
            </wp:positionV>
            <wp:extent cx="3302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type w:val="continuous"/>
        </w:sectPr>
      </w:pPr>
    </w:p>
    <w:bookmarkStart w:id="107" w:name="page108"/>
    <w:bookmarkEnd w:id="107"/>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color w:val="auto"/>
        </w:rPr>
        <w:t>Maturities of lease liabilities as of December 31, 2021 are as follows: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40"/>
        </w:trPr>
        <w:tc>
          <w:tcPr>
            <w:tcW w:w="1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Operating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Finance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6"/>
        </w:trPr>
        <w:tc>
          <w:tcPr>
            <w:tcW w:w="6020" w:type="dxa"/>
            <w:vAlign w:val="bottom"/>
            <w:gridSpan w:val="2"/>
          </w:tcPr>
          <w:p>
            <w:pPr>
              <w:spacing w:after="0" w:line="137" w:lineRule="exact"/>
              <w:rPr>
                <w:sz w:val="20"/>
                <w:szCs w:val="20"/>
                <w:color w:val="auto"/>
              </w:rPr>
            </w:pPr>
            <w:r>
              <w:rPr>
                <w:rFonts w:ascii="Arial" w:cs="Arial" w:eastAsia="Arial" w:hAnsi="Arial"/>
                <w:sz w:val="12"/>
                <w:szCs w:val="12"/>
                <w:i w:val="1"/>
                <w:iCs w:val="1"/>
                <w:color w:val="auto"/>
              </w:rPr>
              <w:t>(thousands of U.S. dollars)</w:t>
            </w:r>
          </w:p>
        </w:tc>
        <w:tc>
          <w:tcPr>
            <w:tcW w:w="1120" w:type="dxa"/>
            <w:vAlign w:val="bottom"/>
          </w:tcPr>
          <w:p>
            <w:pPr>
              <w:jc w:val="right"/>
              <w:ind w:right="50"/>
              <w:spacing w:after="0" w:line="137" w:lineRule="exact"/>
              <w:rPr>
                <w:sz w:val="20"/>
                <w:szCs w:val="20"/>
                <w:color w:val="auto"/>
              </w:rPr>
            </w:pPr>
            <w:r>
              <w:rPr>
                <w:rFonts w:ascii="Arial" w:cs="Arial" w:eastAsia="Arial" w:hAnsi="Arial"/>
                <w:sz w:val="12"/>
                <w:szCs w:val="12"/>
                <w:b w:val="1"/>
                <w:bCs w:val="1"/>
                <w:color w:val="auto"/>
              </w:rPr>
              <w:t>Leases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Leases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624"/>
              <w:spacing w:after="0" w:line="137" w:lineRule="exact"/>
              <w:rPr>
                <w:sz w:val="20"/>
                <w:szCs w:val="20"/>
                <w:color w:val="auto"/>
              </w:rPr>
            </w:pPr>
            <w:r>
              <w:rPr>
                <w:rFonts w:ascii="Arial" w:cs="Arial" w:eastAsia="Arial" w:hAnsi="Arial"/>
                <w:sz w:val="12"/>
                <w:szCs w:val="12"/>
                <w:b w:val="1"/>
                <w:bCs w:val="1"/>
                <w:color w:val="auto"/>
              </w:rPr>
              <w:t>Total</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13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2022</w:t>
            </w:r>
          </w:p>
        </w:tc>
        <w:tc>
          <w:tcPr>
            <w:tcW w:w="46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11,461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13"/>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3,433</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14,894</w:t>
            </w: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2023</w:t>
            </w: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9,503</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3,738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13,241</w:t>
            </w: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4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6,686</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10,479</w:t>
            </w:r>
          </w:p>
        </w:tc>
      </w:tr>
      <w:tr>
        <w:trPr>
          <w:trHeight w:val="198"/>
        </w:trPr>
        <w:tc>
          <w:tcPr>
            <w:tcW w:w="1360" w:type="dxa"/>
            <w:vAlign w:val="bottom"/>
          </w:tcPr>
          <w:p>
            <w:pPr>
              <w:spacing w:after="0"/>
              <w:rPr>
                <w:sz w:val="20"/>
                <w:szCs w:val="20"/>
                <w:color w:val="auto"/>
              </w:rPr>
            </w:pPr>
            <w:r>
              <w:rPr>
                <w:rFonts w:ascii="Arial" w:cs="Arial" w:eastAsia="Arial" w:hAnsi="Arial"/>
                <w:sz w:val="16"/>
                <w:szCs w:val="16"/>
                <w:color w:val="auto"/>
              </w:rPr>
              <w:t>2025</w:t>
            </w: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4,865</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3,840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8,705</w:t>
            </w:r>
          </w:p>
        </w:tc>
      </w:tr>
      <w:tr>
        <w:trPr>
          <w:trHeight w:val="198"/>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4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4,522</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3,737</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8,259</w:t>
            </w:r>
          </w:p>
        </w:tc>
      </w:tr>
      <w:tr>
        <w:trPr>
          <w:trHeight w:val="198"/>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2027 and Thereafter</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14,401</w:t>
            </w: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45,318</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59,719</w:t>
            </w:r>
          </w:p>
        </w:tc>
      </w:tr>
      <w:tr>
        <w:trPr>
          <w:trHeight w:val="190"/>
        </w:trPr>
        <w:tc>
          <w:tcPr>
            <w:tcW w:w="60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lease payments</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51,438</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63,859</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115,297</w:t>
            </w:r>
          </w:p>
        </w:tc>
      </w:tr>
      <w:tr>
        <w:trPr>
          <w:trHeight w:val="198"/>
        </w:trPr>
        <w:tc>
          <w:tcPr>
            <w:tcW w:w="6020" w:type="dxa"/>
            <w:vAlign w:val="bottom"/>
            <w:tcBorders>
              <w:bottom w:val="single" w:sz="8" w:color="CCEEFF"/>
            </w:tcBorders>
            <w:gridSpan w:val="2"/>
          </w:tcPr>
          <w:p>
            <w:pPr>
              <w:ind w:left="760"/>
              <w:spacing w:after="0"/>
              <w:rPr>
                <w:sz w:val="20"/>
                <w:szCs w:val="20"/>
                <w:color w:val="auto"/>
              </w:rPr>
            </w:pPr>
            <w:r>
              <w:rPr>
                <w:rFonts w:ascii="Arial" w:cs="Arial" w:eastAsia="Arial" w:hAnsi="Arial"/>
                <w:sz w:val="16"/>
                <w:szCs w:val="16"/>
                <w:color w:val="auto"/>
              </w:rPr>
              <w:t>Less imputed interest</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(9,132)</w:t>
            </w: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(21,822)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(30,954)</w:t>
            </w:r>
          </w:p>
        </w:tc>
      </w:tr>
      <w:tr>
        <w:trPr>
          <w:trHeight w:val="215"/>
        </w:trPr>
        <w:tc>
          <w:tcPr>
            <w:tcW w:w="6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lease liabilities</w:t>
            </w:r>
          </w:p>
        </w:tc>
        <w:tc>
          <w:tcPr>
            <w:tcW w:w="112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42,306</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42,037</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84,343</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19. Asset Retirement Obligations (“ARO”)</w:t>
      </w:r>
    </w:p>
    <w:p>
      <w:pPr>
        <w:spacing w:after="0" w:line="102" w:lineRule="exact"/>
        <w:rPr>
          <w:sz w:val="20"/>
          <w:szCs w:val="20"/>
          <w:color w:val="auto"/>
        </w:rPr>
      </w:pPr>
    </w:p>
    <w:p>
      <w:pPr>
        <w:ind w:left="7" w:right="180"/>
        <w:spacing w:after="0" w:line="251" w:lineRule="auto"/>
        <w:rPr>
          <w:sz w:val="20"/>
          <w:szCs w:val="20"/>
          <w:color w:val="auto"/>
        </w:rPr>
      </w:pPr>
      <w:r>
        <w:rPr>
          <w:rFonts w:ascii="Arial" w:cs="Arial" w:eastAsia="Arial" w:hAnsi="Arial"/>
          <w:sz w:val="16"/>
          <w:szCs w:val="16"/>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69" w:lineRule="exact"/>
        <w:rPr>
          <w:sz w:val="20"/>
          <w:szCs w:val="20"/>
          <w:color w:val="auto"/>
        </w:rPr>
      </w:pPr>
    </w:p>
    <w:p>
      <w:pPr>
        <w:ind w:left="7" w:right="60"/>
        <w:spacing w:after="0" w:line="295" w:lineRule="auto"/>
        <w:rPr>
          <w:sz w:val="20"/>
          <w:szCs w:val="20"/>
          <w:color w:val="auto"/>
        </w:rPr>
      </w:pPr>
      <w:r>
        <w:rPr>
          <w:rFonts w:ascii="Arial" w:cs="Arial" w:eastAsia="Arial" w:hAnsi="Arial"/>
          <w:sz w:val="14"/>
          <w:szCs w:val="14"/>
          <w:color w:val="auto"/>
        </w:rPr>
        <w:t>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4"/>
          <w:szCs w:val="14"/>
          <w:color w:val="auto"/>
        </w:rPr>
        <w:t>Each year, we review decommissioning costs and consider changes in marketplace rates. The following table describes changes to our ARO liability during the years presented:</w: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For the Year Ended</w:t>
            </w:r>
          </w:p>
        </w:tc>
        <w:tc>
          <w:tcPr>
            <w:tcW w:w="320" w:type="dxa"/>
            <w:vAlign w:val="bottom"/>
          </w:tcPr>
          <w:p>
            <w:pPr>
              <w:spacing w:after="0"/>
              <w:rPr>
                <w:sz w:val="14"/>
                <w:szCs w:val="14"/>
                <w:color w:val="auto"/>
              </w:rPr>
            </w:pPr>
          </w:p>
        </w:tc>
        <w:tc>
          <w:tcPr>
            <w:tcW w:w="1000" w:type="dxa"/>
            <w:vAlign w:val="bottom"/>
          </w:tcPr>
          <w:p>
            <w:pPr>
              <w:jc w:val="right"/>
              <w:ind w:right="444"/>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Arial" w:cs="Arial" w:eastAsia="Arial" w:hAnsi="Arial"/>
                <w:sz w:val="12"/>
                <w:szCs w:val="12"/>
                <w:b w:val="1"/>
                <w:bCs w:val="1"/>
                <w:color w:val="auto"/>
              </w:rPr>
              <w:t>2020</w:t>
            </w:r>
          </w:p>
        </w:tc>
      </w:tr>
      <w:tr>
        <w:trPr>
          <w:trHeight w:val="27"/>
        </w:trPr>
        <w:tc>
          <w:tcPr>
            <w:tcW w:w="106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ARO – beginning of period</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45,633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45,196</w:t>
            </w:r>
          </w:p>
        </w:tc>
      </w:tr>
      <w:tr>
        <w:trPr>
          <w:trHeight w:val="198"/>
        </w:trPr>
        <w:tc>
          <w:tcPr>
            <w:tcW w:w="8460" w:type="dxa"/>
            <w:vAlign w:val="bottom"/>
            <w:gridSpan w:val="3"/>
          </w:tcPr>
          <w:p>
            <w:pPr>
              <w:spacing w:after="0" w:line="198" w:lineRule="exact"/>
              <w:rPr>
                <w:sz w:val="20"/>
                <w:szCs w:val="20"/>
                <w:color w:val="auto"/>
              </w:rPr>
            </w:pPr>
            <w:r>
              <w:rPr>
                <w:rFonts w:ascii="Arial" w:cs="Arial" w:eastAsia="Arial" w:hAnsi="Arial"/>
                <w:sz w:val="16"/>
                <w:szCs w:val="16"/>
                <w:color w:val="auto"/>
              </w:rPr>
              <w:t>Liabilities settled</w:t>
            </w:r>
            <w:r>
              <w:rPr>
                <w:rFonts w:ascii="Arial" w:cs="Arial" w:eastAsia="Arial" w:hAnsi="Arial"/>
                <w:sz w:val="20"/>
                <w:szCs w:val="20"/>
                <w:color w:val="auto"/>
                <w:vertAlign w:val="superscript"/>
              </w:rPr>
              <w:t>(a)</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(5,651)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(2,200)</w:t>
            </w: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Changes in estimates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Accretion expense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2,252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exchange and 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ARO – end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42,452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45,633</w:t>
            </w:r>
          </w:p>
        </w:tc>
      </w:tr>
      <w:tr>
        <w:trPr>
          <w:trHeight w:val="213"/>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Less current portion of ARO</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190"/>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Noncurrent ARO – 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41,833</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45,013</w:t>
            </w:r>
          </w:p>
        </w:tc>
      </w:tr>
      <w:tr>
        <w:trPr>
          <w:trHeight w:val="20"/>
        </w:trPr>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7" w:right="20" w:hanging="427"/>
        <w:spacing w:after="0" w:line="25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year ended December 31, 2021, includes a $5.1 million non-cash gain arising from derecognition of an ARO liability no longer attributable to Nordion pursuant to the terms of the sale of the Medical Isotopes business in 2018. As of December 31, 2021, Nordion is no longer legally responsible for future decommissioning of the medical isotope assets sold to BWXT.</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4"/>
          <w:szCs w:val="14"/>
          <w:color w:val="auto"/>
        </w:rPr>
        <w:t>We recorded depreciation expense on the ARO of $0.4 million, $0.2 million and $0.3 million, for the years ended December 31, 2021, 2020, and 2019 respectively.</w:t>
      </w:r>
    </w:p>
    <w:p>
      <w:pPr>
        <w:spacing w:after="0" w:line="212" w:lineRule="exact"/>
        <w:rPr>
          <w:sz w:val="20"/>
          <w:szCs w:val="20"/>
          <w:color w:val="auto"/>
        </w:rPr>
      </w:pPr>
    </w:p>
    <w:p>
      <w:pPr>
        <w:ind w:left="7" w:right="120"/>
        <w:spacing w:after="0" w:line="259" w:lineRule="auto"/>
        <w:rPr>
          <w:sz w:val="20"/>
          <w:szCs w:val="20"/>
          <w:color w:val="auto"/>
        </w:rPr>
      </w:pPr>
      <w:r>
        <w:rPr>
          <w:rFonts w:ascii="Arial" w:cs="Arial" w:eastAsia="Arial" w:hAnsi="Arial"/>
          <w:sz w:val="16"/>
          <w:szCs w:val="16"/>
          <w:color w:val="auto"/>
        </w:rPr>
        <w:t>We are obligated to provide financial assurance to local and state licensing authorities for possible future decommissioning costs associated with the various facilities that hold Co-60. At December 31, 2021 and 2020, $50.5 million and $49.5 million,</w:t>
      </w: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respectively, of the standby letters of credit referenced above and surety bonds were outstanding in favor of the various local and state licensing authorities in the event we defaulted on our decommissioning obligation.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Commitments and Contingencies</w:t>
      </w:r>
    </w:p>
    <w:p>
      <w:pPr>
        <w:spacing w:after="0" w:line="195"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We depend on a limited number of suppliers for certain of our supply and direct material costs. This includes obligations under various supply agreements in our Nordion segment for Co-60 that are enforceable and legally binding on us. As of December 31, 2021, we had minimum purchase commitments primarily with domestic and international suppliers of raw materials for the Nordion business totaling $1,687.5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$128.9 million as of December 31, 2021. Such volumes are expected to be utilized in the normal course of our business and are not recognized on the consolidated balance sheets as a liability.</w:t>
      </w:r>
    </w:p>
    <w:p>
      <w:pPr>
        <w:spacing w:after="0" w:line="14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69"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Business Interruption Claim (NRU Outage)</w:t>
      </w:r>
    </w:p>
    <w:p>
      <w:pPr>
        <w:spacing w:after="0" w:line="189"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Nordion, due to the shutdown of Atomic Energy of Canada Limited’s (“AECL”) NRU reactor in 2009, suffered a cessation of supply of radioisotopes and business interruption loss. Nordion, by Statement of Claim dated October 22, 2010, issued in Ontario Superior Court an action against an insurer, claiming $25.0 million USD in losses resulting from the shutdown of AECL’s reactor and its inability to supply radioisotopes through the specified period of approximately 15 months. The insurer objected to Nordion’s claim.</w:t>
      </w:r>
    </w:p>
    <w:p>
      <w:pPr>
        <w:spacing w:after="0" w:line="134"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On March 30, 2020, Nordion received a favorable judgment in the amount of $25.0 million USD, plus pre-judgment interest, for a total judgment value of $39.8 million USD, or $56.4 million CAD based on exchange rates approved by the trial court. In addition, costs and disbursements were assessed and awarded by the Trial Court in favor of Nordion in the approximate amount of $1.3 million CAD ($1.0 million USD). The insurer appealed the judgment, and on September 3, 2021 the Court of Appeal ruled in favor of the insurer denying insurance coverage to Nordion, and awarding costs and disbursements (in both the Trial Court and Court of Appeal) to the insurer, assessed at $0.6 million CAD ($0.5 million USD). On October 21, 2021 Nordion filed an Application for Leave to Appeal in the Supreme Court of Canada.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Ethylene Oxide Tort Litigation</w:t>
      </w:r>
    </w:p>
    <w:p>
      <w:pPr>
        <w:spacing w:after="0" w:line="189" w:lineRule="exact"/>
        <w:rPr>
          <w:sz w:val="20"/>
          <w:szCs w:val="20"/>
          <w:color w:val="auto"/>
        </w:rPr>
      </w:pPr>
    </w:p>
    <w:p>
      <w:pPr>
        <w:ind w:right="680"/>
        <w:spacing w:after="0" w:line="330" w:lineRule="auto"/>
        <w:rPr>
          <w:sz w:val="20"/>
          <w:szCs w:val="20"/>
          <w:color w:val="auto"/>
        </w:rPr>
      </w:pPr>
      <w:r>
        <w:rPr>
          <w:rFonts w:ascii="Arial" w:cs="Arial" w:eastAsia="Arial" w:hAnsi="Arial"/>
          <w:sz w:val="14"/>
          <w:szCs w:val="14"/>
          <w:color w:val="auto"/>
        </w:rPr>
        <w:t>Sterigenics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Illinois</w:t>
      </w:r>
    </w:p>
    <w:p>
      <w:pPr>
        <w:spacing w:after="0" w:line="189"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Approximately 770 plaintiffs have filed lawsuits against subsidiaries of the Company and other parties, alleging personal injuries including cancer and other diseases, or wrongful death, resulting from purported emissions and releases of EO from Sterigenics U.S., LLC’s former Willowbrook facility. Additional derivative claims are alleged on behalf of other individuals related to some of these personal injury plaintiffs. Each plaintiff seeks damages in an amount to be determined by the trier of fact. The lawsuits were consolidated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pre-trial purposes by the Cook County Circuit Court, Illinois (the “Consolidated Case”). Plaintiffs have not yet made any specific damages claims.</w:t>
      </w:r>
    </w:p>
    <w:p>
      <w:pPr>
        <w:spacing w:after="0" w:line="189"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Fact discovery in the Consolidated Case concluded on February 1, 2022. Trials in three of the individual cases included in the Consolidated Case have been scheduled for July 18, 2022, September 12, 2022 and November 7, 2022 after which the next five individual trials are scheduled to occur consecutively, beginning on January 17, 2023. Additional 2023 trial dates are expected to be announced on July 18,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Georgia</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and releases of EO from Sterigenics’ Atlanta facility. Additional derivative claims are alleged on behalf of other individuals related to some of these personal injury plaintiffs.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All but two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remaining personal injury and property devaluation cases are in various stages of pleadings and motions practice and fact discovery.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Georgia Facility Operations Litigation</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October 2019, while Sterigenics had voluntarily suspended the facility’s operations to install emissions reduction enhancements at its Atlanta facility, Cobb County, Georgia officials asserted that the facility had an incorrect “certificate of occupancy” and could not resume operations without obtaining a new certificate of occupancy after a third-party code compliance review. On March 30, 2020 Sterigenics filed suit against Cobb County, Georgia and certain of its officials for wrongfully interfering with operations of the facility. On April 1, 2020 Sterigenics won a Temporary Restraining Order prohibiting Cobb County officials from interfering with the facility’s normal operations, which relief has been extended until entry of a final judgment in the case. The parties are conducting discovery, which is scheduled to end in July 2022. A settlement conference is scheduled to be held by May 16, 2022.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New Mexico Attorney General Litigation</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seeks various forms of relief including a temporary restraining order and preliminary injunctive relief and damages. On June 29, 2021, the Court entered an Order Granting Preliminary Injunction (the “Order”). The Order does not require closure of the facility, but prohibits Sterigenics from allowing any uncontrolled emission or release of EO from the facility. On December 20, 2021 the Court entered an order identifying a protocol to monitor Sterigenics’ compliance with the Order. A motion challenging the Court’s jurisdiction over the Company and certain other defendants has been held in abeyance until the completion of jurisdictional discovery, and all other motions to dismiss have been denied. The parties are conducting fact discovery.</w:t>
      </w:r>
    </w:p>
    <w:p>
      <w:pPr>
        <w:spacing w:after="0" w:line="159" w:lineRule="exact"/>
        <w:rPr>
          <w:sz w:val="20"/>
          <w:szCs w:val="20"/>
          <w:color w:val="auto"/>
        </w:rPr>
      </w:pPr>
    </w:p>
    <w:p>
      <w:pPr>
        <w:jc w:val="center"/>
        <w:spacing w:after="0"/>
        <w:tabs>
          <w:tab w:leader="none" w:pos="160" w:val="left"/>
          <w:tab w:leader="none" w:pos="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December 31, 2021, we have utilized approximately $2.2 million of the remaining $10.0 million limit. Our insurance for future alleged environmental liabilities excludes coverage for EO claims.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Financial Instruments and Financial Risk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use derivatives for trading or speculative purposes and are not a party to leveraged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Designated in Hedge Relationships</w:t>
      </w:r>
    </w:p>
    <w:p>
      <w:pPr>
        <w:spacing w:after="0" w:line="18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 Additional information is provided in Note 1, “Significant Accounting Policies”.</w:t>
      </w:r>
    </w:p>
    <w:p>
      <w:pPr>
        <w:spacing w:after="0" w:line="169"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During the third quarter of 2019, we entered into two interest rate swap agreements to hedge our exposure to interest rate movements and to manage interest expense related to our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termination date of the swap agreements was August 31, 2020.</w:t>
      </w:r>
    </w:p>
    <w:p>
      <w:pPr>
        <w:spacing w:after="0" w:line="1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in Hedge Relationships</w:t>
      </w:r>
    </w:p>
    <w:p>
      <w:pPr>
        <w:spacing w:after="0" w:line="18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Additionally, from time to time, the Company enters into interest rate caps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October 2017, we entered into two interest rate cap agreements with a total notional amount of $400.0 million for a total option premium of $0.6 million; these agreements terminated on September 30, 2020. The interest rate caps limited the Company’s cash flow exposure related to the LIBOR base rate under the variable rate Term Loan borrowings to 3.0%.</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w:t>
      </w:r>
    </w:p>
    <w:p>
      <w:pPr>
        <w:spacing w:after="0" w:line="172"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We also entered into two additional interest rate cap agreements in February 2021 with a combined notional amount of $1,000.0 million, for a total option premium of $0.4 million. These instruments became effective September 30, 2021, and will terminate on December 31, 2022. The amended and new interest rate caps limit our cash flow exposure related to the LIBOR base rate under a portion of our variable rate borrowings to 0.5%.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1" w:name="page112"/>
    <w:bookmarkEnd w:id="111"/>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right="160"/>
        <w:spacing w:after="0" w:line="251" w:lineRule="auto"/>
        <w:rPr>
          <w:sz w:val="20"/>
          <w:szCs w:val="20"/>
          <w:color w:val="auto"/>
        </w:rPr>
      </w:pPr>
      <w:r>
        <w:rPr>
          <w:rFonts w:ascii="Arial" w:cs="Arial" w:eastAsia="Arial" w:hAnsi="Arial"/>
          <w:sz w:val="16"/>
          <w:szCs w:val="16"/>
          <w:color w:val="auto"/>
        </w:rPr>
        <w:t>The Company also entered into foreign currency forward contracts to manage foreign currency exchange rate risk of our intercompany loans in certain of our international subsidiaries. The foreign currency forward contracts expired on a monthly basis. The fair value of the outstanding foreign currency forward contracts was zero as of December 31, 2021 and 2020.</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Embedded Derivatives</w:t>
      </w:r>
    </w:p>
    <w:p>
      <w:pPr>
        <w:spacing w:after="0" w:line="189" w:lineRule="exact"/>
        <w:rPr>
          <w:sz w:val="20"/>
          <w:szCs w:val="20"/>
          <w:color w:val="auto"/>
        </w:rPr>
      </w:pPr>
    </w:p>
    <w:p>
      <w:pPr>
        <w:ind w:left="7" w:right="180"/>
        <w:spacing w:after="0" w:line="251" w:lineRule="auto"/>
        <w:rPr>
          <w:sz w:val="20"/>
          <w:szCs w:val="20"/>
          <w:color w:val="auto"/>
        </w:rPr>
      </w:pPr>
      <w:r>
        <w:rPr>
          <w:rFonts w:ascii="Arial" w:cs="Arial" w:eastAsia="Arial" w:hAnsi="Arial"/>
          <w:sz w:val="16"/>
          <w:szCs w:val="16"/>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Fair Values and Volume of Activity Related to Derivative Instruments</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provides a summary of the notional and fair values of our derivative instruments:</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w w:val="98"/>
              </w:rPr>
              <w:t>December 31, 2021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46"/>
              <w:spacing w:after="0"/>
              <w:rPr>
                <w:sz w:val="20"/>
                <w:szCs w:val="20"/>
                <w:color w:val="auto"/>
              </w:rPr>
            </w:pPr>
            <w:r>
              <w:rPr>
                <w:rFonts w:ascii="Arial" w:cs="Arial" w:eastAsia="Arial" w:hAnsi="Arial"/>
                <w:sz w:val="14"/>
                <w:szCs w:val="14"/>
                <w:b w:val="1"/>
                <w:bCs w:val="1"/>
                <w:color w:val="auto"/>
                <w:w w:val="90"/>
              </w:rPr>
              <w:t>December 31, 2020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20" w:type="dxa"/>
            <w:vAlign w:val="bottom"/>
            <w:gridSpan w:val="2"/>
          </w:tcPr>
          <w:p>
            <w:pPr>
              <w:spacing w:after="0" w:line="120" w:lineRule="exact"/>
              <w:rPr>
                <w:sz w:val="20"/>
                <w:szCs w:val="20"/>
                <w:color w:val="auto"/>
              </w:rPr>
            </w:pPr>
            <w:r>
              <w:rPr>
                <w:rFonts w:ascii="Arial" w:cs="Arial" w:eastAsia="Arial" w:hAnsi="Arial"/>
                <w:sz w:val="12"/>
                <w:szCs w:val="12"/>
                <w:i w:val="1"/>
                <w:iCs w:val="1"/>
                <w:color w:val="auto"/>
              </w:rPr>
              <w:t>(in U.S. Dollars; notional in millions, fair value in thousands)</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3"/>
          </w:tcPr>
          <w:p>
            <w:pPr>
              <w:ind w:left="580"/>
              <w:spacing w:after="0" w:line="120"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right"/>
              <w:ind w:right="645"/>
              <w:spacing w:after="0" w:line="120"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7"/>
        </w:trPr>
        <w:tc>
          <w:tcPr>
            <w:tcW w:w="310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860" w:type="dxa"/>
            <w:vAlign w:val="bottom"/>
          </w:tcPr>
          <w:p>
            <w:pPr>
              <w:jc w:val="right"/>
              <w:ind w:right="106"/>
              <w:spacing w:after="0" w:line="132" w:lineRule="exact"/>
              <w:rPr>
                <w:sz w:val="20"/>
                <w:szCs w:val="20"/>
                <w:color w:val="auto"/>
              </w:rPr>
            </w:pPr>
            <w:r>
              <w:rPr>
                <w:rFonts w:ascii="Arial" w:cs="Arial" w:eastAsia="Arial" w:hAnsi="Arial"/>
                <w:sz w:val="14"/>
                <w:szCs w:val="14"/>
                <w:b w:val="1"/>
                <w:bCs w:val="1"/>
                <w:color w:val="auto"/>
                <w:w w:val="98"/>
              </w:rPr>
              <w:t>Derivative</w:t>
            </w:r>
          </w:p>
        </w:tc>
        <w:tc>
          <w:tcPr>
            <w:tcW w:w="18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Notional Amount</w:t>
            </w:r>
          </w:p>
        </w:tc>
        <w:tc>
          <w:tcPr>
            <w:tcW w:w="1040" w:type="dxa"/>
            <w:vAlign w:val="bottom"/>
          </w:tcPr>
          <w:p>
            <w:pPr>
              <w:jc w:val="center"/>
              <w:ind w:right="226"/>
              <w:spacing w:after="0" w:line="132" w:lineRule="exact"/>
              <w:rPr>
                <w:sz w:val="20"/>
                <w:szCs w:val="20"/>
                <w:color w:val="auto"/>
              </w:rPr>
            </w:pPr>
            <w:r>
              <w:rPr>
                <w:rFonts w:ascii="Arial" w:cs="Arial" w:eastAsia="Arial" w:hAnsi="Arial"/>
                <w:sz w:val="14"/>
                <w:szCs w:val="14"/>
                <w:b w:val="1"/>
                <w:bCs w:val="1"/>
                <w:color w:val="auto"/>
                <w:w w:val="92"/>
              </w:rPr>
              <w:t>Derivative</w:t>
            </w:r>
          </w:p>
        </w:tc>
        <w:tc>
          <w:tcPr>
            <w:tcW w:w="880" w:type="dxa"/>
            <w:vAlign w:val="bottom"/>
          </w:tcPr>
          <w:p>
            <w:pPr>
              <w:jc w:val="right"/>
              <w:ind w:right="125"/>
              <w:spacing w:after="0" w:line="132" w:lineRule="exact"/>
              <w:rPr>
                <w:sz w:val="20"/>
                <w:szCs w:val="20"/>
                <w:color w:val="auto"/>
              </w:rPr>
            </w:pPr>
            <w:r>
              <w:rPr>
                <w:rFonts w:ascii="Arial" w:cs="Arial" w:eastAsia="Arial" w:hAnsi="Arial"/>
                <w:sz w:val="14"/>
                <w:szCs w:val="14"/>
                <w:b w:val="1"/>
                <w:bCs w:val="1"/>
                <w:color w:val="auto"/>
                <w:w w:val="98"/>
              </w:rPr>
              <w:t>Derivative</w:t>
            </w:r>
          </w:p>
        </w:tc>
        <w:tc>
          <w:tcPr>
            <w:tcW w:w="0" w:type="dxa"/>
            <w:vAlign w:val="bottom"/>
          </w:tcPr>
          <w:p>
            <w:pPr>
              <w:spacing w:after="0"/>
              <w:rPr>
                <w:sz w:val="1"/>
                <w:szCs w:val="1"/>
                <w:color w:val="auto"/>
              </w:rPr>
            </w:pPr>
          </w:p>
        </w:tc>
      </w:tr>
      <w:tr>
        <w:trPr>
          <w:trHeight w:val="185"/>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860" w:type="dxa"/>
            <w:vAlign w:val="bottom"/>
          </w:tcPr>
          <w:p>
            <w:pPr>
              <w:jc w:val="right"/>
              <w:ind w:right="226"/>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220" w:type="dxa"/>
            <w:vAlign w:val="bottom"/>
            <w:gridSpan w:val="4"/>
            <w:vMerge w:val="continue"/>
          </w:tcPr>
          <w:p>
            <w:pPr>
              <w:spacing w:after="0"/>
              <w:rPr>
                <w:sz w:val="16"/>
                <w:szCs w:val="16"/>
                <w:color w:val="auto"/>
              </w:rPr>
            </w:pPr>
          </w:p>
        </w:tc>
        <w:tc>
          <w:tcPr>
            <w:tcW w:w="1040" w:type="dxa"/>
            <w:vAlign w:val="bottom"/>
          </w:tcPr>
          <w:p>
            <w:pPr>
              <w:jc w:val="center"/>
              <w:ind w:right="246"/>
              <w:spacing w:after="0"/>
              <w:rPr>
                <w:sz w:val="20"/>
                <w:szCs w:val="20"/>
                <w:color w:val="auto"/>
              </w:rPr>
            </w:pPr>
            <w:r>
              <w:rPr>
                <w:rFonts w:ascii="Arial" w:cs="Arial" w:eastAsia="Arial" w:hAnsi="Arial"/>
                <w:sz w:val="14"/>
                <w:szCs w:val="14"/>
                <w:b w:val="1"/>
                <w:bCs w:val="1"/>
                <w:color w:val="auto"/>
                <w:w w:val="78"/>
              </w:rPr>
              <w:t>Assets</w:t>
            </w:r>
          </w:p>
        </w:tc>
        <w:tc>
          <w:tcPr>
            <w:tcW w:w="880" w:type="dxa"/>
            <w:vAlign w:val="bottom"/>
          </w:tcPr>
          <w:p>
            <w:pPr>
              <w:jc w:val="right"/>
              <w:ind w:right="145"/>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4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Derivatives designated as hedging instruments</w:t>
            </w:r>
          </w:p>
        </w:tc>
        <w:tc>
          <w:tcPr>
            <w:tcW w:w="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gridSpan w:val="2"/>
          </w:tcPr>
          <w:p>
            <w:pPr>
              <w:ind w:left="20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500" w:type="dxa"/>
            <w:vAlign w:val="bottom"/>
            <w:gridSpan w:val="2"/>
          </w:tcPr>
          <w:p>
            <w:pPr>
              <w:ind w:left="40"/>
              <w:spacing w:after="0" w:line="199" w:lineRule="exact"/>
              <w:rPr>
                <w:sz w:val="20"/>
                <w:szCs w:val="20"/>
                <w:color w:val="auto"/>
              </w:rPr>
            </w:pPr>
            <w:r>
              <w:rPr>
                <w:rFonts w:ascii="Arial" w:cs="Arial" w:eastAsia="Arial" w:hAnsi="Arial"/>
                <w:sz w:val="10"/>
                <w:szCs w:val="10"/>
                <w:color w:val="auto"/>
                <w:w w:val="72"/>
              </w:rPr>
              <w:t>(a)</w:t>
            </w:r>
            <w:r>
              <w:rPr>
                <w:rFonts w:ascii="Arial" w:cs="Arial" w:eastAsia="Arial" w:hAnsi="Arial"/>
                <w:sz w:val="22"/>
                <w:szCs w:val="22"/>
                <w:b w:val="1"/>
                <w:bCs w:val="1"/>
                <w:color w:val="auto"/>
                <w:w w:val="72"/>
                <w:vertAlign w:val="subscript"/>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ind w:left="6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gridSpan w:val="2"/>
          </w:tcPr>
          <w:p>
            <w:pPr>
              <w:ind w:left="20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1,500.0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1,654</w:t>
            </w:r>
          </w:p>
        </w:tc>
        <w:tc>
          <w:tcPr>
            <w:tcW w:w="18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46"/>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Embedded derivatives</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144.4</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90"/>
        </w:trPr>
        <w:tc>
          <w:tcPr>
            <w:tcW w:w="452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2,644.4</w:t>
            </w: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1,583.3</w:t>
            </w:r>
          </w:p>
        </w:tc>
        <w:tc>
          <w:tcPr>
            <w:tcW w:w="2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67" w:hanging="267"/>
        <w:spacing w:after="0"/>
        <w:tabs>
          <w:tab w:leader="none" w:pos="267" w:val="left"/>
        </w:tabs>
        <w:numPr>
          <w:ilvl w:val="0"/>
          <w:numId w:val="45"/>
        </w:numPr>
        <w:rPr>
          <w:rFonts w:ascii="Arial" w:cs="Arial" w:eastAsia="Arial" w:hAnsi="Arial"/>
          <w:sz w:val="14"/>
          <w:szCs w:val="14"/>
          <w:color w:val="auto"/>
        </w:rPr>
      </w:pPr>
      <w:r>
        <w:rPr>
          <w:rFonts w:ascii="Arial" w:cs="Arial" w:eastAsia="Arial" w:hAnsi="Arial"/>
          <w:sz w:val="16"/>
          <w:szCs w:val="16"/>
          <w:color w:val="auto"/>
        </w:rPr>
        <w:t>$1,000.0 million notional amount of interest rate caps designated as hedging instruments have a forward start date beginning on December 31, 2022.</w:t>
      </w:r>
    </w:p>
    <w:p>
      <w:pPr>
        <w:spacing w:after="0" w:line="12" w:lineRule="exact"/>
        <w:rPr>
          <w:rFonts w:ascii="Arial" w:cs="Arial" w:eastAsia="Arial" w:hAnsi="Arial"/>
          <w:sz w:val="14"/>
          <w:szCs w:val="14"/>
          <w:color w:val="auto"/>
        </w:rPr>
      </w:pPr>
    </w:p>
    <w:p>
      <w:pPr>
        <w:ind w:left="287" w:hanging="287"/>
        <w:spacing w:after="0"/>
        <w:tabs>
          <w:tab w:leader="none" w:pos="287" w:val="left"/>
        </w:tabs>
        <w:numPr>
          <w:ilvl w:val="0"/>
          <w:numId w:val="45"/>
        </w:numPr>
        <w:rPr>
          <w:rFonts w:ascii="Arial" w:cs="Arial" w:eastAsia="Arial" w:hAnsi="Arial"/>
          <w:sz w:val="14"/>
          <w:szCs w:val="14"/>
          <w:color w:val="auto"/>
        </w:rPr>
      </w:pPr>
      <w:r>
        <w:rPr>
          <w:rFonts w:ascii="Arial" w:cs="Arial" w:eastAsia="Arial" w:hAnsi="Arial"/>
          <w:sz w:val="16"/>
          <w:szCs w:val="16"/>
          <w:color w:val="auto"/>
        </w:rPr>
        <w:t>Represents the total notional amounts for certain of the Company’s supply and sales contracts accounted for as embedded derivatives.</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13"/>
          <w:szCs w:val="13"/>
          <w:color w:val="auto"/>
        </w:rPr>
        <w:t>Embedded derivatives assets and interest rate caps are included in “Prepaid expenses and other current assets” and “Other assets” on our Consolidated Balance Sheets, respectively.</w:t>
      </w:r>
    </w:p>
    <w:p>
      <w:pPr>
        <w:spacing w:after="0" w:line="47" w:lineRule="exact"/>
        <w:rPr>
          <w:sz w:val="20"/>
          <w:szCs w:val="20"/>
          <w:color w:val="auto"/>
        </w:rPr>
      </w:pPr>
    </w:p>
    <w:p>
      <w:pPr>
        <w:ind w:left="7"/>
        <w:spacing w:after="0"/>
        <w:rPr>
          <w:sz w:val="20"/>
          <w:szCs w:val="20"/>
          <w:color w:val="auto"/>
        </w:rPr>
      </w:pPr>
      <w:r>
        <w:rPr>
          <w:rFonts w:ascii="Arial" w:cs="Arial" w:eastAsia="Arial" w:hAnsi="Arial"/>
          <w:sz w:val="16"/>
          <w:szCs w:val="16"/>
          <w:color w:val="auto"/>
        </w:rPr>
        <w:t>Embedded derivative liabilities are included in “Accrued liabilities” on the Consolidated Balance Sheets.</w:t>
      </w:r>
    </w:p>
    <w:p>
      <w:pPr>
        <w:spacing w:after="0" w:line="179" w:lineRule="exact"/>
        <w:rPr>
          <w:sz w:val="20"/>
          <w:szCs w:val="20"/>
          <w:color w:val="auto"/>
        </w:rPr>
      </w:pPr>
    </w:p>
    <w:p>
      <w:pPr>
        <w:ind w:left="7" w:right="80"/>
        <w:spacing w:after="0" w:line="259" w:lineRule="auto"/>
        <w:rPr>
          <w:sz w:val="20"/>
          <w:szCs w:val="20"/>
          <w:color w:val="auto"/>
        </w:rPr>
      </w:pPr>
      <w:r>
        <w:rPr>
          <w:rFonts w:ascii="Arial" w:cs="Arial" w:eastAsia="Arial" w:hAnsi="Arial"/>
          <w:sz w:val="16"/>
          <w:szCs w:val="16"/>
          <w:color w:val="auto"/>
        </w:rPr>
        <w:t>The following tables summarize the activities of our derivative instruments not designated as hedging instruments for the periods presented, and the amounts recorded in the related line item in the Consolidated Statements of Operations and Comprehensive Income (Loss):</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61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752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86"/>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Arial" w:cs="Arial" w:eastAsia="Arial" w:hAnsi="Arial"/>
                <w:sz w:val="12"/>
                <w:szCs w:val="12"/>
                <w:b w:val="1"/>
                <w:bCs w:val="1"/>
                <w:color w:val="auto"/>
              </w:rPr>
              <w:t>2019</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Unrealized (gain) loss on interest rate derivatives recorded in interest expense, net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198"/>
        </w:trPr>
        <w:tc>
          <w:tcPr>
            <w:tcW w:w="7520" w:type="dxa"/>
            <w:vAlign w:val="bottom"/>
            <w:gridSpan w:val="3"/>
          </w:tcPr>
          <w:p>
            <w:pPr>
              <w:spacing w:after="0"/>
              <w:rPr>
                <w:sz w:val="20"/>
                <w:szCs w:val="20"/>
                <w:color w:val="auto"/>
              </w:rPr>
            </w:pPr>
            <w:r>
              <w:rPr>
                <w:rFonts w:ascii="Arial" w:cs="Arial" w:eastAsia="Arial" w:hAnsi="Arial"/>
                <w:sz w:val="16"/>
                <w:szCs w:val="16"/>
                <w:color w:val="auto"/>
              </w:rPr>
              <w:t>Unrealized gain on embedded derivatives recorded in other income, net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198"/>
        </w:trPr>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Realized (gain) loss on foreign currency forward contracts recorded in foreign exchange loss (gain)</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46" w:lineRule="exact"/>
        <w:rPr>
          <w:sz w:val="20"/>
          <w:szCs w:val="20"/>
          <w:color w:val="auto"/>
        </w:rPr>
      </w:pPr>
    </w:p>
    <w:p>
      <w:pPr>
        <w:ind w:left="7" w:right="620"/>
        <w:spacing w:after="0" w:line="259" w:lineRule="auto"/>
        <w:rPr>
          <w:sz w:val="20"/>
          <w:szCs w:val="20"/>
          <w:color w:val="auto"/>
        </w:rPr>
      </w:pPr>
      <w:r>
        <w:rPr>
          <w:rFonts w:ascii="Arial" w:cs="Arial" w:eastAsia="Arial" w:hAnsi="Arial"/>
          <w:sz w:val="16"/>
          <w:szCs w:val="16"/>
          <w:color w:val="auto"/>
        </w:rPr>
        <w:t>The following table summarizes the net gains (losses) on our cash flow hedges recognized in “Other comprehensive income (loss)” during the period and net gains (losses) reclassified from “Accumulated other comprehensive income” into income.</w:t>
      </w: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67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812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24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07"/>
              <w:spacing w:after="0"/>
              <w:rPr>
                <w:sz w:val="20"/>
                <w:szCs w:val="20"/>
                <w:color w:val="auto"/>
              </w:rPr>
            </w:pPr>
            <w:r>
              <w:rPr>
                <w:rFonts w:ascii="Arial" w:cs="Arial" w:eastAsia="Arial" w:hAnsi="Arial"/>
                <w:sz w:val="12"/>
                <w:szCs w:val="12"/>
                <w:b w:val="1"/>
                <w:bCs w:val="1"/>
                <w:color w:val="auto"/>
              </w:rPr>
              <w:t>2019</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Unrealized gain (loss) on interest rate derivatives recorded in other comprehensive income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2"/>
        </w:trPr>
        <w:tc>
          <w:tcPr>
            <w:tcW w:w="8120" w:type="dxa"/>
            <w:vAlign w:val="bottom"/>
            <w:gridSpan w:val="3"/>
          </w:tcPr>
          <w:p>
            <w:pPr>
              <w:spacing w:after="0"/>
              <w:rPr>
                <w:sz w:val="20"/>
                <w:szCs w:val="20"/>
                <w:color w:val="auto"/>
              </w:rPr>
            </w:pPr>
            <w:r>
              <w:rPr>
                <w:rFonts w:ascii="Arial" w:cs="Arial" w:eastAsia="Arial" w:hAnsi="Arial"/>
                <w:sz w:val="16"/>
                <w:szCs w:val="16"/>
                <w:color w:val="auto"/>
              </w:rPr>
              <w:t>Amounts reclassified from accumulated other comprehensive income (loss) to interest expense, net</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No gains or losses are expected to be reclassified into earnings within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financial assets, including cash and cash equivalents, are exposed to credit risk.</w:t>
      </w:r>
    </w:p>
    <w:p>
      <w:pPr>
        <w:spacing w:after="0" w:line="189"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We are also exposed, in our normal course of business, to credit risk from our customers. As of December 31, 2021 and 2020, accounts receivable was net of an allowance for uncollectible accounts of $1.3 million and $0.7 million, respectively.</w:t>
      </w:r>
    </w:p>
    <w:p>
      <w:pPr>
        <w:spacing w:after="0" w:line="16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Hierarchy</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our financial assets (liabilities) measured at fair value on a recurring basis: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 2021</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7"/>
              </w:rPr>
              <w:t>Fair Value</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Carrying Amount</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380" w:type="dxa"/>
            <w:vAlign w:val="bottom"/>
            <w:gridSpan w:val="3"/>
          </w:tcPr>
          <w:p>
            <w:pPr>
              <w:spacing w:after="0" w:line="132" w:lineRule="exact"/>
              <w:rPr>
                <w:sz w:val="20"/>
                <w:szCs w:val="20"/>
                <w:color w:val="auto"/>
              </w:rPr>
            </w:pPr>
            <w:r>
              <w:rPr>
                <w:rFonts w:ascii="Arial" w:cs="Arial" w:eastAsia="Arial" w:hAnsi="Arial"/>
                <w:sz w:val="12"/>
                <w:szCs w:val="12"/>
                <w:i w:val="1"/>
                <w:iCs w:val="1"/>
                <w:color w:val="auto"/>
              </w:rPr>
              <w:t>(thousands of U.S. dollars)</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Level 1</w:t>
            </w:r>
          </w:p>
        </w:tc>
        <w:tc>
          <w:tcPr>
            <w:tcW w:w="108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3"/>
              </w:rPr>
              <w:t>Level 2</w:t>
            </w:r>
          </w:p>
        </w:tc>
        <w:tc>
          <w:tcPr>
            <w:tcW w:w="2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27"/>
        </w:trPr>
        <w:tc>
          <w:tcPr>
            <w:tcW w:w="13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38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Derivatives designated as hedging instruments</w:t>
            </w:r>
            <w:r>
              <w:rPr>
                <w:rFonts w:ascii="Arial" w:cs="Arial" w:eastAsia="Arial" w:hAnsi="Arial"/>
                <w:sz w:val="20"/>
                <w:szCs w:val="20"/>
                <w:color w:val="auto"/>
                <w:vertAlign w:val="superscript"/>
              </w:rPr>
              <w:t>(a)</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80" w:type="dxa"/>
            <w:vAlign w:val="bottom"/>
            <w:gridSpan w:val="3"/>
          </w:tcPr>
          <w:p>
            <w:pPr>
              <w:ind w:left="200"/>
              <w:spacing w:after="0"/>
              <w:rPr>
                <w:sz w:val="20"/>
                <w:szCs w:val="20"/>
                <w:color w:val="auto"/>
              </w:rPr>
            </w:pPr>
            <w:r>
              <w:rPr>
                <w:rFonts w:ascii="Arial" w:cs="Arial" w:eastAsia="Arial" w:hAnsi="Arial"/>
                <w:sz w:val="16"/>
                <w:szCs w:val="16"/>
                <w:color w:val="auto"/>
              </w:rPr>
              <w:t>Derivative assets - interest rate caps</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2,322</w:t>
            </w:r>
          </w:p>
        </w:tc>
        <w:tc>
          <w:tcPr>
            <w:tcW w:w="1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260" w:type="dxa"/>
            <w:vAlign w:val="bottom"/>
            <w:gridSpan w:val="3"/>
          </w:tcPr>
          <w:p>
            <w:pPr>
              <w:ind w:left="700"/>
              <w:spacing w:after="0"/>
              <w:rPr>
                <w:sz w:val="20"/>
                <w:szCs w:val="20"/>
                <w:color w:val="auto"/>
              </w:rPr>
            </w:pPr>
            <w:r>
              <w:rPr>
                <w:rFonts w:ascii="Arial" w:cs="Arial" w:eastAsia="Arial" w:hAnsi="Arial"/>
                <w:sz w:val="16"/>
                <w:szCs w:val="16"/>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2,322</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4380" w:type="dxa"/>
            <w:vAlign w:val="bottom"/>
            <w:gridSpan w:val="3"/>
            <w:shd w:val="clear" w:color="auto" w:fill="CCEEFF"/>
          </w:tcPr>
          <w:p>
            <w:pPr>
              <w:spacing w:after="0" w:line="198" w:lineRule="exact"/>
              <w:rPr>
                <w:sz w:val="20"/>
                <w:szCs w:val="20"/>
                <w:color w:val="auto"/>
              </w:rPr>
            </w:pPr>
            <w:r>
              <w:rPr>
                <w:rFonts w:ascii="Arial" w:cs="Arial" w:eastAsia="Arial" w:hAnsi="Arial"/>
                <w:sz w:val="16"/>
                <w:szCs w:val="16"/>
                <w:color w:val="auto"/>
              </w:rPr>
              <w:t>Derivatives not designated as hedging instruments</w:t>
            </w:r>
            <w:r>
              <w:rPr>
                <w:rFonts w:ascii="Arial" w:cs="Arial" w:eastAsia="Arial" w:hAnsi="Arial"/>
                <w:sz w:val="20"/>
                <w:szCs w:val="20"/>
                <w:color w:val="auto"/>
                <w:vertAlign w:val="superscript"/>
              </w:rPr>
              <w:t>(b)</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gridSpan w:val="3"/>
          </w:tcPr>
          <w:p>
            <w:pPr>
              <w:ind w:left="200"/>
              <w:spacing w:after="0"/>
              <w:rPr>
                <w:sz w:val="20"/>
                <w:szCs w:val="20"/>
                <w:color w:val="auto"/>
              </w:rPr>
            </w:pPr>
            <w:r>
              <w:rPr>
                <w:rFonts w:ascii="Arial" w:cs="Arial" w:eastAsia="Arial" w:hAnsi="Arial"/>
                <w:sz w:val="16"/>
                <w:szCs w:val="16"/>
                <w:color w:val="auto"/>
              </w:rPr>
              <w:t>Derivative assets - interest rate caps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ind w:left="7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Embedded derivative assets (liabilities)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4380" w:type="dxa"/>
            <w:vAlign w:val="bottom"/>
            <w:gridSpan w:val="3"/>
          </w:tcPr>
          <w:p>
            <w:pPr>
              <w:spacing w:after="0" w:line="198" w:lineRule="exact"/>
              <w:rPr>
                <w:sz w:val="20"/>
                <w:szCs w:val="20"/>
                <w:color w:val="auto"/>
              </w:rPr>
            </w:pPr>
            <w:r>
              <w:rPr>
                <w:rFonts w:ascii="Arial" w:cs="Arial" w:eastAsia="Arial" w:hAnsi="Arial"/>
                <w:sz w:val="16"/>
                <w:szCs w:val="16"/>
                <w:color w:val="auto"/>
              </w:rPr>
              <w:t>Long-Term Debt</w:t>
            </w:r>
            <w:r>
              <w:rPr>
                <w:rFonts w:ascii="Arial" w:cs="Arial" w:eastAsia="Arial" w:hAnsi="Arial"/>
                <w:sz w:val="20"/>
                <w:szCs w:val="20"/>
                <w:color w:val="auto"/>
                <w:vertAlign w:val="superscript"/>
              </w:rPr>
              <w:t>(c)</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Term loan, due 2026</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1,743,090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1,754,285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4380" w:type="dxa"/>
            <w:vAlign w:val="bottom"/>
            <w:gridSpan w:val="3"/>
          </w:tcPr>
          <w:p>
            <w:pPr>
              <w:ind w:left="200"/>
              <w:spacing w:after="0"/>
              <w:rPr>
                <w:sz w:val="20"/>
                <w:szCs w:val="20"/>
                <w:color w:val="auto"/>
              </w:rPr>
            </w:pPr>
            <w:r>
              <w:rPr>
                <w:rFonts w:ascii="Arial" w:cs="Arial" w:eastAsia="Arial" w:hAnsi="Arial"/>
                <w:sz w:val="16"/>
                <w:szCs w:val="16"/>
                <w:color w:val="auto"/>
              </w:rPr>
              <w:t>Other long-term debt</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ind w:left="7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4380" w:type="dxa"/>
            <w:vAlign w:val="bottom"/>
            <w:gridSpan w:val="3"/>
            <w:shd w:val="clear" w:color="auto" w:fill="CCEEFF"/>
          </w:tcPr>
          <w:p>
            <w:pPr>
              <w:spacing w:after="0" w:line="198" w:lineRule="exact"/>
              <w:rPr>
                <w:sz w:val="20"/>
                <w:szCs w:val="20"/>
                <w:color w:val="auto"/>
              </w:rPr>
            </w:pPr>
            <w:r>
              <w:rPr>
                <w:rFonts w:ascii="Arial" w:cs="Arial" w:eastAsia="Arial" w:hAnsi="Arial"/>
                <w:sz w:val="16"/>
                <w:szCs w:val="16"/>
                <w:color w:val="auto"/>
              </w:rPr>
              <w:t>Finance Lease Obligations (with current portion)</w:t>
            </w:r>
            <w:r>
              <w:rPr>
                <w:rFonts w:ascii="Arial" w:cs="Arial" w:eastAsia="Arial" w:hAnsi="Arial"/>
                <w:sz w:val="20"/>
                <w:szCs w:val="20"/>
                <w:color w:val="auto"/>
                <w:vertAlign w:val="superscript"/>
              </w:rPr>
              <w:t>(d)</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769"/>
        </w:trPr>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20" w:type="dxa"/>
            <w:vAlign w:val="bottom"/>
          </w:tcPr>
          <w:p>
            <w:pPr>
              <w:jc w:val="right"/>
              <w:ind w:right="382"/>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3" w:name="page114"/>
    <w:bookmarkEnd w:id="113"/>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62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 2020</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7"/>
              </w:rPr>
              <w:t>Fair Value</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Carrying Amount</w:t>
            </w: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6200" w:type="dxa"/>
            <w:vAlign w:val="bottom"/>
            <w:gridSpan w:val="3"/>
          </w:tcPr>
          <w:p>
            <w:pPr>
              <w:spacing w:after="0" w:line="132" w:lineRule="exact"/>
              <w:rPr>
                <w:sz w:val="20"/>
                <w:szCs w:val="20"/>
                <w:color w:val="auto"/>
              </w:rPr>
            </w:pPr>
            <w:r>
              <w:rPr>
                <w:rFonts w:ascii="Arial" w:cs="Arial" w:eastAsia="Arial" w:hAnsi="Arial"/>
                <w:sz w:val="12"/>
                <w:szCs w:val="12"/>
                <w:i w:val="1"/>
                <w:iCs w:val="1"/>
                <w:color w:val="auto"/>
              </w:rPr>
              <w:t>(thousands of U.S. dollars)</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60" w:type="dxa"/>
            <w:vAlign w:val="bottom"/>
          </w:tcPr>
          <w:p>
            <w:pPr>
              <w:jc w:val="right"/>
              <w:ind w:right="10"/>
              <w:spacing w:after="0" w:line="132" w:lineRule="exact"/>
              <w:rPr>
                <w:sz w:val="20"/>
                <w:szCs w:val="20"/>
                <w:color w:val="auto"/>
              </w:rPr>
            </w:pPr>
            <w:r>
              <w:rPr>
                <w:rFonts w:ascii="Arial" w:cs="Arial" w:eastAsia="Arial" w:hAnsi="Arial"/>
                <w:sz w:val="12"/>
                <w:szCs w:val="12"/>
                <w:b w:val="1"/>
                <w:bCs w:val="1"/>
                <w:color w:val="auto"/>
              </w:rPr>
              <w:t>Level 1</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3"/>
              </w:rPr>
              <w:t>Level 2</w:t>
            </w:r>
          </w:p>
        </w:tc>
        <w:tc>
          <w:tcPr>
            <w:tcW w:w="2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27"/>
        </w:trPr>
        <w:tc>
          <w:tcPr>
            <w:tcW w:w="13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2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Derivatives not designated as hedging instruments</w:t>
            </w:r>
            <w:r>
              <w:rPr>
                <w:rFonts w:ascii="Arial" w:cs="Arial" w:eastAsia="Arial" w:hAnsi="Arial"/>
                <w:sz w:val="20"/>
                <w:szCs w:val="20"/>
                <w:color w:val="auto"/>
                <w:vertAlign w:val="superscript"/>
              </w:rPr>
              <w:t>(b)</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00" w:type="dxa"/>
            <w:vAlign w:val="bottom"/>
            <w:gridSpan w:val="3"/>
          </w:tcPr>
          <w:p>
            <w:pPr>
              <w:ind w:left="200"/>
              <w:spacing w:after="0"/>
              <w:rPr>
                <w:sz w:val="20"/>
                <w:szCs w:val="20"/>
                <w:color w:val="auto"/>
              </w:rPr>
            </w:pPr>
            <w:r>
              <w:rPr>
                <w:rFonts w:ascii="Arial" w:cs="Arial" w:eastAsia="Arial" w:hAnsi="Arial"/>
                <w:sz w:val="16"/>
                <w:szCs w:val="16"/>
                <w:color w:val="auto"/>
              </w:rPr>
              <w:t>Derivative assets - interest rate caps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60" w:type="dxa"/>
            <w:vAlign w:val="bottom"/>
          </w:tcPr>
          <w:p>
            <w:pPr>
              <w:jc w:val="right"/>
              <w:ind w:right="690"/>
              <w:spacing w:after="0"/>
              <w:rPr>
                <w:sz w:val="20"/>
                <w:szCs w:val="20"/>
                <w:color w:val="auto"/>
              </w:rPr>
            </w:pPr>
            <w:r>
              <w:rPr>
                <w:rFonts w:ascii="Arial" w:cs="Arial" w:eastAsia="Arial" w:hAnsi="Arial"/>
                <w:sz w:val="16"/>
                <w:szCs w:val="16"/>
                <w:color w:val="auto"/>
                <w:w w:val="89"/>
              </w:rPr>
              <w:t>$</w:t>
            </w:r>
          </w:p>
        </w:tc>
        <w:tc>
          <w:tcPr>
            <w:tcW w:w="640" w:type="dxa"/>
            <w:vAlign w:val="bottom"/>
            <w:gridSpan w:val="3"/>
          </w:tcPr>
          <w:p>
            <w:pPr>
              <w:ind w:left="8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Embedded derivative assets (liabilities)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00" w:type="dxa"/>
            <w:vAlign w:val="bottom"/>
            <w:gridSpan w:val="3"/>
          </w:tcPr>
          <w:p>
            <w:pPr>
              <w:spacing w:after="0" w:line="198" w:lineRule="exact"/>
              <w:rPr>
                <w:sz w:val="20"/>
                <w:szCs w:val="20"/>
                <w:color w:val="auto"/>
              </w:rPr>
            </w:pPr>
            <w:r>
              <w:rPr>
                <w:rFonts w:ascii="Arial" w:cs="Arial" w:eastAsia="Arial" w:hAnsi="Arial"/>
                <w:sz w:val="16"/>
                <w:szCs w:val="16"/>
                <w:color w:val="auto"/>
              </w:rPr>
              <w:t>Long-Term Debt</w:t>
            </w:r>
            <w:r>
              <w:rPr>
                <w:rFonts w:ascii="Arial" w:cs="Arial" w:eastAsia="Arial" w:hAnsi="Arial"/>
                <w:sz w:val="20"/>
                <w:szCs w:val="20"/>
                <w:color w:val="auto"/>
                <w:vertAlign w:val="superscript"/>
              </w:rPr>
              <w:t>(c)</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Term loan, due 2026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1,728,018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1,772,180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00" w:type="dxa"/>
            <w:vAlign w:val="bottom"/>
            <w:gridSpan w:val="3"/>
          </w:tcPr>
          <w:p>
            <w:pPr>
              <w:ind w:left="200"/>
              <w:spacing w:after="0"/>
              <w:rPr>
                <w:sz w:val="20"/>
                <w:szCs w:val="20"/>
                <w:color w:val="auto"/>
              </w:rPr>
            </w:pPr>
            <w:r>
              <w:rPr>
                <w:rFonts w:ascii="Arial" w:cs="Arial" w:eastAsia="Arial" w:hAnsi="Arial"/>
                <w:sz w:val="16"/>
                <w:szCs w:val="16"/>
                <w:color w:val="auto"/>
              </w:rPr>
              <w:t>Senior notes, due 2026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96,329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99,863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long-term debt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00" w:type="dxa"/>
            <w:vAlign w:val="bottom"/>
            <w:gridSpan w:val="3"/>
          </w:tcPr>
          <w:p>
            <w:pPr>
              <w:spacing w:after="0"/>
              <w:rPr>
                <w:sz w:val="20"/>
                <w:szCs w:val="20"/>
                <w:color w:val="auto"/>
              </w:rPr>
            </w:pPr>
            <w:r>
              <w:rPr>
                <w:rFonts w:ascii="Arial" w:cs="Arial" w:eastAsia="Arial" w:hAnsi="Arial"/>
                <w:sz w:val="16"/>
                <w:szCs w:val="16"/>
                <w:color w:val="auto"/>
              </w:rPr>
              <w:t>Finance Lease Obligations (with current portion)</w:t>
            </w:r>
            <w:r>
              <w:rPr>
                <w:rFonts w:ascii="Arial" w:cs="Arial" w:eastAsia="Arial" w:hAnsi="Arial"/>
                <w:sz w:val="20"/>
                <w:szCs w:val="20"/>
                <w:color w:val="auto"/>
                <w:vertAlign w:val="superscript"/>
              </w:rPr>
              <w:t>(d)</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36,112</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4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27" w:right="260" w:hanging="427"/>
        <w:spacing w:after="0" w:line="247" w:lineRule="auto"/>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Derivatives designated as hedging instruments are measured at fair value with changes in fair value recorded as a component of accumulated other comprehensive income (loss). Additional information is provided in Note 1, “Significant Accounting Policies”. Interest swaps are valued using pricing models that incorporate observable market inputs including interest rate curves and yield curves.</w:t>
      </w:r>
    </w:p>
    <w:p>
      <w:pPr>
        <w:spacing w:after="0" w:line="1" w:lineRule="exact"/>
        <w:rPr>
          <w:rFonts w:ascii="Arial" w:cs="Arial" w:eastAsia="Arial" w:hAnsi="Arial"/>
          <w:sz w:val="16"/>
          <w:szCs w:val="16"/>
          <w:color w:val="auto"/>
        </w:rPr>
      </w:pPr>
    </w:p>
    <w:p>
      <w:pPr>
        <w:ind w:left="427" w:right="80" w:hanging="427"/>
        <w:spacing w:after="0" w:line="243" w:lineRule="auto"/>
        <w:tabs>
          <w:tab w:leader="none" w:pos="4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Derivatives that are not designated as hedging instruments are measured at fair value with gains or losses recognized immediately in earnings in the Consolidated Statements of Operations and Comprehensive Income (Loss). Refer also to Note 1, “Significant Accounting Policies”.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ind w:left="427" w:right="180" w:hanging="427"/>
        <w:spacing w:after="0" w:line="278"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Carrying amounts of long-term debt instruments are reported net of discounts and debt issuance costs. The estimated fair value of these instruments is based on information provided by the agent under the Company’s senior secured credit facility. Fair value approximates carrying value for “Other long-term debt.”</w:t>
      </w:r>
    </w:p>
    <w:p>
      <w:pPr>
        <w:ind w:left="407" w:hanging="407"/>
        <w:spacing w:after="0"/>
        <w:tabs>
          <w:tab w:leader="none" w:pos="407"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Refer to Note 18, “Leases”. Fair value approximates carrying value.</w:t>
      </w:r>
    </w:p>
    <w:p>
      <w:pPr>
        <w:spacing w:after="0" w:line="26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22. Segment and Geographic Information</w:t>
      </w:r>
    </w:p>
    <w:p>
      <w:pPr>
        <w:spacing w:after="0" w:line="102" w:lineRule="exact"/>
        <w:rPr>
          <w:sz w:val="20"/>
          <w:szCs w:val="20"/>
          <w:color w:val="auto"/>
        </w:rPr>
      </w:pPr>
    </w:p>
    <w:p>
      <w:pPr>
        <w:ind w:left="7" w:right="140"/>
        <w:spacing w:after="0" w:line="247" w:lineRule="auto"/>
        <w:rPr>
          <w:sz w:val="20"/>
          <w:szCs w:val="20"/>
          <w:color w:val="auto"/>
        </w:rPr>
      </w:pPr>
      <w:r>
        <w:rPr>
          <w:rFonts w:ascii="Arial" w:cs="Arial" w:eastAsia="Arial" w:hAnsi="Arial"/>
          <w:sz w:val="16"/>
          <w:szCs w:val="16"/>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i w:val="1"/>
          <w:iCs w:val="1"/>
          <w:u w:val="single" w:color="auto"/>
          <w:color w:val="auto"/>
        </w:rPr>
        <w:t>Sterigenics</w:t>
      </w:r>
    </w:p>
    <w:p>
      <w:pPr>
        <w:spacing w:after="0" w:line="96" w:lineRule="exact"/>
        <w:rPr>
          <w:sz w:val="20"/>
          <w:szCs w:val="20"/>
          <w:color w:val="auto"/>
        </w:rPr>
      </w:pPr>
    </w:p>
    <w:p>
      <w:pPr>
        <w:ind w:left="7" w:right="300"/>
        <w:spacing w:after="0" w:line="259" w:lineRule="auto"/>
        <w:rPr>
          <w:sz w:val="20"/>
          <w:szCs w:val="20"/>
          <w:color w:val="auto"/>
        </w:rPr>
      </w:pPr>
      <w:r>
        <w:rPr>
          <w:rFonts w:ascii="Arial" w:cs="Arial" w:eastAsia="Arial" w:hAnsi="Arial"/>
          <w:sz w:val="16"/>
          <w:szCs w:val="16"/>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6"/>
          <w:szCs w:val="16"/>
          <w:i w:val="1"/>
          <w:iCs w:val="1"/>
          <w:u w:val="single" w:color="auto"/>
          <w:color w:val="auto"/>
        </w:rPr>
        <w:t>Nordion</w:t>
      </w:r>
    </w:p>
    <w:p>
      <w:pPr>
        <w:spacing w:after="0" w:line="96" w:lineRule="exact"/>
        <w:rPr>
          <w:sz w:val="20"/>
          <w:szCs w:val="20"/>
          <w:color w:val="auto"/>
        </w:rPr>
      </w:pPr>
    </w:p>
    <w:p>
      <w:pPr>
        <w:ind w:left="7" w:right="80"/>
        <w:spacing w:after="0" w:line="259"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6"/>
          <w:szCs w:val="16"/>
          <w:i w:val="1"/>
          <w:iCs w:val="1"/>
          <w:u w:val="single" w:color="auto"/>
          <w:color w:val="auto"/>
        </w:rPr>
        <w:t>Nelson Labs</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4"/>
          <w:szCs w:val="14"/>
          <w:color w:val="auto"/>
        </w:rPr>
        <w:t>Nelson Labs provides outsourced microbiological and analytical chemistry testing and advisory services for the medical device and biopharmaceutical industries.</w:t>
      </w:r>
    </w:p>
    <w:p>
      <w:pPr>
        <w:spacing w:after="0" w:line="212" w:lineRule="exact"/>
        <w:rPr>
          <w:sz w:val="20"/>
          <w:szCs w:val="20"/>
          <w:color w:val="auto"/>
        </w:rPr>
      </w:pPr>
    </w:p>
    <w:p>
      <w:pPr>
        <w:ind w:left="7" w:right="100"/>
        <w:spacing w:after="0" w:line="251" w:lineRule="auto"/>
        <w:rPr>
          <w:sz w:val="20"/>
          <w:szCs w:val="20"/>
          <w:color w:val="auto"/>
        </w:rPr>
      </w:pPr>
      <w:r>
        <w:rPr>
          <w:rFonts w:ascii="Arial" w:cs="Arial" w:eastAsia="Arial" w:hAnsi="Arial"/>
          <w:sz w:val="16"/>
          <w:szCs w:val="16"/>
          <w:color w:val="auto"/>
        </w:rPr>
        <w:t>For the year ended December 31, 2021, four customers reported within the Nordion segment individually represented 10% or more of the segment’s total net revenues. These customers represented 15.1%, 12.7%, 11.5% and 11.1% of the total segment’s external net revenues for the year ended December 31, 2021. For the year ended December 31, 2020, three customers reported</w:t>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14" w:name="page115"/>
    <w:bookmarkEnd w:id="114"/>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right="80"/>
        <w:spacing w:after="0" w:line="248" w:lineRule="auto"/>
        <w:rPr>
          <w:sz w:val="20"/>
          <w:szCs w:val="20"/>
          <w:color w:val="auto"/>
        </w:rPr>
      </w:pPr>
      <w:r>
        <w:rPr>
          <w:rFonts w:ascii="Arial" w:cs="Arial" w:eastAsia="Arial" w:hAnsi="Arial"/>
          <w:sz w:val="16"/>
          <w:szCs w:val="16"/>
          <w:color w:val="auto"/>
        </w:rPr>
        <w:t>within the Nordion segment individually represented 10% or more of the segment’s total net revenues. These customers represented 15.4%, 13.8% and 13.3% of the total segment’s external net revenues for the year ended December 31, 2020. 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color w:val="auto"/>
        </w:rPr>
        <w:t>Financial information for each of our segments is presented in the following table:</w:t>
      </w:r>
    </w:p>
    <w:p>
      <w:pPr>
        <w:spacing w:after="0" w:line="125"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87"/>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42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40" w:type="dxa"/>
            <w:vAlign w:val="bottom"/>
          </w:tcPr>
          <w:p>
            <w:pPr>
              <w:spacing w:after="0"/>
              <w:rPr>
                <w:sz w:val="13"/>
                <w:szCs w:val="13"/>
                <w:color w:val="auto"/>
              </w:rPr>
            </w:pPr>
          </w:p>
        </w:tc>
        <w:tc>
          <w:tcPr>
            <w:tcW w:w="1180" w:type="dxa"/>
            <w:vAlign w:val="bottom"/>
          </w:tcPr>
          <w:p>
            <w:pPr>
              <w:jc w:val="right"/>
              <w:ind w:right="522"/>
              <w:spacing w:after="0" w:line="155"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22"/>
              <w:spacing w:after="0" w:line="15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42"/>
              <w:spacing w:after="0" w:line="15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Segment revenues</w:t>
            </w:r>
            <w:r>
              <w:rPr>
                <w:rFonts w:ascii="Arial" w:cs="Arial" w:eastAsia="Arial" w:hAnsi="Arial"/>
                <w:sz w:val="20"/>
                <w:szCs w:val="20"/>
                <w:color w:val="auto"/>
                <w:vertAlign w:val="superscript"/>
              </w:rPr>
              <w:t>(a)</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20" w:type="dxa"/>
            <w:vAlign w:val="bottom"/>
            <w:gridSpan w:val="2"/>
          </w:tcPr>
          <w:p>
            <w:pPr>
              <w:ind w:left="200"/>
              <w:spacing w:after="0"/>
              <w:rPr>
                <w:sz w:val="20"/>
                <w:szCs w:val="20"/>
                <w:color w:val="auto"/>
              </w:rPr>
            </w:pPr>
            <w:r>
              <w:rPr>
                <w:rFonts w:ascii="Arial" w:cs="Arial" w:eastAsia="Arial" w:hAnsi="Arial"/>
                <w:sz w:val="16"/>
                <w:szCs w:val="16"/>
                <w:color w:val="auto"/>
              </w:rPr>
              <w:t>Sterigenics</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571,829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498,773</w:t>
            </w:r>
          </w:p>
        </w:tc>
        <w:tc>
          <w:tcPr>
            <w:tcW w:w="12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471,708</w:t>
            </w:r>
          </w:p>
        </w:tc>
        <w:tc>
          <w:tcPr>
            <w:tcW w:w="0" w:type="dxa"/>
            <w:vAlign w:val="bottom"/>
          </w:tcPr>
          <w:p>
            <w:pPr>
              <w:spacing w:after="0"/>
              <w:rPr>
                <w:sz w:val="1"/>
                <w:szCs w:val="1"/>
                <w:color w:val="auto"/>
              </w:rPr>
            </w:pPr>
          </w:p>
        </w:tc>
      </w:tr>
      <w:tr>
        <w:trPr>
          <w:trHeight w:val="198"/>
        </w:trPr>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Nordion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140,507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116,165</w:t>
            </w:r>
          </w:p>
        </w:tc>
        <w:tc>
          <w:tcPr>
            <w:tcW w:w="0" w:type="dxa"/>
            <w:vAlign w:val="bottom"/>
          </w:tcPr>
          <w:p>
            <w:pPr>
              <w:spacing w:after="0"/>
              <w:rPr>
                <w:sz w:val="1"/>
                <w:szCs w:val="1"/>
                <w:color w:val="auto"/>
              </w:rPr>
            </w:pPr>
          </w:p>
        </w:tc>
      </w:tr>
      <w:tr>
        <w:trPr>
          <w:trHeight w:val="198"/>
        </w:trPr>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Nelson Labs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219,142</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190,454</w:t>
            </w: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net revenues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931,478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778,327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Arial" w:cs="Arial" w:eastAsia="Arial" w:hAnsi="Arial"/>
                <w:sz w:val="16"/>
                <w:szCs w:val="16"/>
                <w:b w:val="1"/>
                <w:bCs w:val="1"/>
                <w:color w:val="auto"/>
              </w:rPr>
              <w:t>Segment income</w:t>
            </w:r>
            <w:r>
              <w:rPr>
                <w:rFonts w:ascii="Arial" w:cs="Arial" w:eastAsia="Arial" w:hAnsi="Arial"/>
                <w:sz w:val="20"/>
                <w:szCs w:val="20"/>
                <w:color w:val="auto"/>
                <w:vertAlign w:val="superscript"/>
              </w:rPr>
              <w:t>(b)</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Sterigenics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310,470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244,904</w:t>
            </w:r>
          </w:p>
        </w:tc>
        <w:tc>
          <w:tcPr>
            <w:tcW w:w="0" w:type="dxa"/>
            <w:vAlign w:val="bottom"/>
          </w:tcPr>
          <w:p>
            <w:pPr>
              <w:spacing w:after="0"/>
              <w:rPr>
                <w:sz w:val="1"/>
                <w:szCs w:val="1"/>
                <w:color w:val="auto"/>
              </w:rPr>
            </w:pPr>
          </w:p>
        </w:tc>
      </w:tr>
      <w:tr>
        <w:trPr>
          <w:trHeight w:val="198"/>
        </w:trPr>
        <w:tc>
          <w:tcPr>
            <w:tcW w:w="6420" w:type="dxa"/>
            <w:vAlign w:val="bottom"/>
            <w:gridSpan w:val="2"/>
          </w:tcPr>
          <w:p>
            <w:pPr>
              <w:ind w:left="200"/>
              <w:spacing w:after="0"/>
              <w:rPr>
                <w:sz w:val="20"/>
                <w:szCs w:val="20"/>
                <w:color w:val="auto"/>
              </w:rPr>
            </w:pPr>
            <w:r>
              <w:rPr>
                <w:rFonts w:ascii="Arial" w:cs="Arial" w:eastAsia="Arial" w:hAnsi="Arial"/>
                <w:sz w:val="16"/>
                <w:szCs w:val="16"/>
                <w:color w:val="auto"/>
              </w:rPr>
              <w:t>Nordion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82,673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66,803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62,196</w:t>
            </w:r>
          </w:p>
        </w:tc>
        <w:tc>
          <w:tcPr>
            <w:tcW w:w="0" w:type="dxa"/>
            <w:vAlign w:val="bottom"/>
          </w:tcPr>
          <w:p>
            <w:pPr>
              <w:spacing w:after="0"/>
              <w:rPr>
                <w:sz w:val="1"/>
                <w:szCs w:val="1"/>
                <w:color w:val="auto"/>
              </w:rPr>
            </w:pPr>
          </w:p>
        </w:tc>
      </w:tr>
      <w:tr>
        <w:trPr>
          <w:trHeight w:val="198"/>
        </w:trPr>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Nelson Labs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88,086</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86,417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72,832</w:t>
            </w:r>
          </w:p>
        </w:tc>
        <w:tc>
          <w:tcPr>
            <w:tcW w:w="0" w:type="dxa"/>
            <w:vAlign w:val="bottom"/>
          </w:tcPr>
          <w:p>
            <w:pPr>
              <w:spacing w:after="0"/>
              <w:rPr>
                <w:sz w:val="1"/>
                <w:szCs w:val="1"/>
                <w:color w:val="auto"/>
              </w:rPr>
            </w:pPr>
          </w:p>
        </w:tc>
      </w:tr>
      <w:tr>
        <w:trPr>
          <w:trHeight w:val="190"/>
        </w:trPr>
        <w:tc>
          <w:tcPr>
            <w:tcW w:w="6420" w:type="dxa"/>
            <w:vAlign w:val="bottom"/>
            <w:gridSpan w:val="2"/>
          </w:tcPr>
          <w:p>
            <w:pPr>
              <w:spacing w:after="0"/>
              <w:rPr>
                <w:sz w:val="20"/>
                <w:szCs w:val="20"/>
                <w:color w:val="auto"/>
              </w:rPr>
            </w:pPr>
            <w:r>
              <w:rPr>
                <w:rFonts w:ascii="Arial" w:cs="Arial" w:eastAsia="Arial" w:hAnsi="Arial"/>
                <w:sz w:val="16"/>
                <w:szCs w:val="16"/>
                <w:b w:val="1"/>
                <w:bCs w:val="1"/>
                <w:color w:val="auto"/>
              </w:rPr>
              <w:t>Total segment income</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481,229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419,859</w:t>
            </w:r>
          </w:p>
        </w:tc>
        <w:tc>
          <w:tcPr>
            <w:tcW w:w="120" w:type="dxa"/>
            <w:vAlign w:val="bottom"/>
          </w:tcPr>
          <w:p>
            <w:pPr>
              <w:spacing w:after="0"/>
              <w:rPr>
                <w:sz w:val="16"/>
                <w:szCs w:val="16"/>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379,932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427" w:right="240" w:hanging="427"/>
        <w:spacing w:after="0" w:line="247"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Revenues are reported net of intersegment sales. Our Nordion segment recognized $34.1 million, $38.6 million and $40.9 million in revenues from sales to our Sterigenics segment for the year ended December 31, 2021, 2020 and 2019, respectively, that is not reflected in net revenues in the table above. Intersegment sales for Sterigenics and Nelson Labs are immaterial for all periods presented.</w:t>
      </w:r>
    </w:p>
    <w:p>
      <w:pPr>
        <w:spacing w:after="0" w:line="1" w:lineRule="exact"/>
        <w:rPr>
          <w:rFonts w:ascii="Arial" w:cs="Arial" w:eastAsia="Arial" w:hAnsi="Arial"/>
          <w:sz w:val="16"/>
          <w:szCs w:val="16"/>
          <w:color w:val="auto"/>
        </w:rPr>
      </w:pPr>
    </w:p>
    <w:p>
      <w:pPr>
        <w:ind w:left="407" w:hanging="407"/>
        <w:spacing w:after="0"/>
        <w:tabs>
          <w:tab w:leader="none" w:pos="4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Segment income is only provided on a net basis to the chief operating decision maker and is reported net of intersegment profits.</w:t>
      </w:r>
    </w:p>
    <w:p>
      <w:pPr>
        <w:spacing w:after="0" w:line="179" w:lineRule="exact"/>
        <w:rPr>
          <w:sz w:val="20"/>
          <w:szCs w:val="20"/>
          <w:color w:val="auto"/>
        </w:rPr>
      </w:pPr>
    </w:p>
    <w:p>
      <w:pPr>
        <w:ind w:left="7" w:right="400"/>
        <w:spacing w:after="0" w:line="251" w:lineRule="auto"/>
        <w:rPr>
          <w:sz w:val="20"/>
          <w:szCs w:val="20"/>
          <w:color w:val="auto"/>
        </w:rPr>
      </w:pPr>
      <w:r>
        <w:rPr>
          <w:rFonts w:ascii="Arial" w:cs="Arial" w:eastAsia="Arial" w:hAnsi="Arial"/>
          <w:sz w:val="16"/>
          <w:szCs w:val="16"/>
          <w:color w:val="auto"/>
        </w:rPr>
        <w:t>Corporate operating expenses for executive management, accounting, information technology, legal, human resources, treasury,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6"/>
          <w:szCs w:val="16"/>
          <w:color w:val="auto"/>
        </w:rPr>
        <w:t>Capital expenditures by segment for the years ended December 31, 2021, 2020 and 2019 were as follows:</w:t>
      </w: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0"/>
        </w:trPr>
        <w:tc>
          <w:tcPr>
            <w:tcW w:w="54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(thousands of U.S. dollars)</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2019</w:t>
            </w:r>
          </w:p>
        </w:tc>
      </w:tr>
      <w:tr>
        <w:trPr>
          <w:trHeight w:val="190"/>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Sterigenics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73,753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51,123</w:t>
            </w:r>
          </w:p>
        </w:tc>
      </w:tr>
      <w:tr>
        <w:trPr>
          <w:trHeight w:val="198"/>
        </w:trPr>
        <w:tc>
          <w:tcPr>
            <w:tcW w:w="5440" w:type="dxa"/>
            <w:vAlign w:val="bottom"/>
          </w:tcPr>
          <w:p>
            <w:pPr>
              <w:ind w:left="100"/>
              <w:spacing w:after="0"/>
              <w:rPr>
                <w:sz w:val="20"/>
                <w:szCs w:val="20"/>
                <w:color w:val="auto"/>
              </w:rPr>
            </w:pPr>
            <w:r>
              <w:rPr>
                <w:rFonts w:ascii="Arial" w:cs="Arial" w:eastAsia="Arial" w:hAnsi="Arial"/>
                <w:sz w:val="16"/>
                <w:szCs w:val="16"/>
                <w:color w:val="auto"/>
              </w:rPr>
              <w:t>Nordion</w:t>
            </w:r>
          </w:p>
        </w:tc>
        <w:tc>
          <w:tcPr>
            <w:tcW w:w="420" w:type="dxa"/>
            <w:vAlign w:val="bottom"/>
          </w:tcPr>
          <w:p>
            <w:pPr>
              <w:spacing w:after="0"/>
              <w:rPr>
                <w:sz w:val="17"/>
                <w:szCs w:val="17"/>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b w:val="1"/>
                <w:bCs w:val="1"/>
                <w:color w:val="auto"/>
              </w:rPr>
              <w:t>21,292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2,034</w:t>
            </w:r>
          </w:p>
        </w:tc>
      </w:tr>
      <w:tr>
        <w:trPr>
          <w:trHeight w:val="198"/>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Nelson Labs</w:t>
            </w: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7,117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190"/>
        </w:trPr>
        <w:tc>
          <w:tcPr>
            <w:tcW w:w="5440" w:type="dxa"/>
            <w:vAlign w:val="bottom"/>
          </w:tcPr>
          <w:p>
            <w:pPr>
              <w:spacing w:after="0"/>
              <w:rPr>
                <w:sz w:val="20"/>
                <w:szCs w:val="20"/>
                <w:color w:val="auto"/>
              </w:rPr>
            </w:pPr>
            <w:r>
              <w:rPr>
                <w:rFonts w:ascii="Arial" w:cs="Arial" w:eastAsia="Arial" w:hAnsi="Arial"/>
                <w:sz w:val="16"/>
                <w:szCs w:val="16"/>
                <w:b w:val="1"/>
                <w:bCs w:val="1"/>
                <w:color w:val="auto"/>
              </w:rPr>
              <w:t>Total capital expenditures</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102,162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53,507</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57,257</w:t>
            </w:r>
          </w:p>
        </w:tc>
      </w:tr>
      <w:tr>
        <w:trPr>
          <w:trHeight w:val="20"/>
        </w:trPr>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7"/>
        <w:spacing w:after="0"/>
        <w:rPr>
          <w:sz w:val="20"/>
          <w:szCs w:val="20"/>
          <w:color w:val="auto"/>
        </w:rPr>
      </w:pPr>
      <w:r>
        <w:rPr>
          <w:rFonts w:ascii="Arial" w:cs="Arial" w:eastAsia="Arial" w:hAnsi="Arial"/>
          <w:sz w:val="14"/>
          <w:szCs w:val="14"/>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15" w:name="page116"/>
    <w:bookmarkEnd w:id="115"/>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color w:val="auto"/>
        </w:rPr>
        <w:t>A reconciliation of segment income to consolidated income (loss) before taxes is as follows:</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157"/>
        </w:trPr>
        <w:tc>
          <w:tcPr>
            <w:tcW w:w="6780" w:type="dxa"/>
            <w:vAlign w:val="bottom"/>
            <w:gridSpan w:val="2"/>
          </w:tcPr>
          <w:p>
            <w:pPr>
              <w:spacing w:after="0"/>
              <w:rPr>
                <w:sz w:val="20"/>
                <w:szCs w:val="20"/>
                <w:color w:val="auto"/>
              </w:rPr>
            </w:pPr>
            <w:r>
              <w:rPr>
                <w:rFonts w:ascii="Arial" w:cs="Arial" w:eastAsia="Arial" w:hAnsi="Arial"/>
                <w:sz w:val="12"/>
                <w:szCs w:val="12"/>
                <w:i w:val="1"/>
                <w:iCs w:val="1"/>
                <w:color w:val="auto"/>
              </w:rPr>
              <w:t>(thousands of U.S. dollars)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6780" w:type="dxa"/>
            <w:vAlign w:val="bottom"/>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4"/>
                <w:szCs w:val="14"/>
                <w:color w:val="auto"/>
              </w:rPr>
            </w:pPr>
          </w:p>
        </w:tc>
        <w:tc>
          <w:tcPr>
            <w:tcW w:w="1000" w:type="dxa"/>
            <w:vAlign w:val="bottom"/>
          </w:tcPr>
          <w:p>
            <w:pPr>
              <w:jc w:val="right"/>
              <w:ind w:right="463"/>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63"/>
              <w:spacing w:after="0"/>
              <w:rPr>
                <w:sz w:val="20"/>
                <w:szCs w:val="20"/>
                <w:color w:val="auto"/>
              </w:rPr>
            </w:pPr>
            <w:r>
              <w:rPr>
                <w:rFonts w:ascii="Arial" w:cs="Arial" w:eastAsia="Arial" w:hAnsi="Arial"/>
                <w:sz w:val="12"/>
                <w:szCs w:val="12"/>
                <w:b w:val="1"/>
                <w:bCs w:val="1"/>
                <w:color w:val="auto"/>
              </w:rPr>
              <w:t>2019</w:t>
            </w:r>
          </w:p>
        </w:tc>
      </w:tr>
      <w:tr>
        <w:trPr>
          <w:trHeight w:val="27"/>
        </w:trPr>
        <w:tc>
          <w:tcPr>
            <w:tcW w:w="1380" w:type="dxa"/>
            <w:vAlign w:val="bottom"/>
            <w:tcBorders>
              <w:top w:val="single" w:sz="8" w:color="auto"/>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income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481,229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419,859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379,932</w:t>
            </w:r>
          </w:p>
        </w:tc>
      </w:tr>
      <w:tr>
        <w:trPr>
          <w:trHeight w:val="198"/>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Less adjustments: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74,192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215,259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157,729</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8"/>
                <w:szCs w:val="8"/>
                <w:color w:val="auto"/>
              </w:rPr>
              <w:t>(a)</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150,902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143,564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146,719</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of long-lived assets and intangible assets</w:t>
            </w:r>
            <w:r>
              <w:rPr>
                <w:rFonts w:ascii="Arial" w:cs="Arial" w:eastAsia="Arial" w:hAnsi="Arial"/>
                <w:sz w:val="8"/>
                <w:szCs w:val="8"/>
                <w:color w:val="auto"/>
              </w:rPr>
              <w:t>(b)</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8"/>
                <w:szCs w:val="8"/>
                <w:color w:val="auto"/>
              </w:rPr>
              <w:t>(c)</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13,870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10,987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16,882</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restructuring bonuses</w:t>
            </w:r>
            <w:r>
              <w:rPr>
                <w:rFonts w:ascii="Arial" w:cs="Arial" w:eastAsia="Arial" w:hAnsi="Arial"/>
                <w:sz w:val="8"/>
                <w:szCs w:val="8"/>
                <w:color w:val="auto"/>
              </w:rPr>
              <w:t>(d)</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8"/>
                <w:szCs w:val="8"/>
                <w:color w:val="auto"/>
              </w:rPr>
              <w:t>(e)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(8,454)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8"/>
                <w:szCs w:val="8"/>
                <w:color w:val="auto"/>
              </w:rPr>
              <w:t>(f)</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8"/>
                <w:szCs w:val="8"/>
                <w:color w:val="auto"/>
              </w:rPr>
              <w:t>(g)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948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4,195</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8"/>
                <w:szCs w:val="8"/>
                <w:color w:val="auto"/>
              </w:rPr>
              <w:t>(h)</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r>
              <w:rPr>
                <w:rFonts w:ascii="Arial" w:cs="Arial" w:eastAsia="Arial" w:hAnsi="Arial"/>
                <w:sz w:val="8"/>
                <w:szCs w:val="8"/>
                <w:color w:val="auto"/>
              </w:rPr>
              <w:t>(i)</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20,681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44,262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30,168</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8"/>
                <w:szCs w:val="8"/>
                <w:color w:val="auto"/>
              </w:rPr>
              <w:t>(j)</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45,656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w:t>
            </w:r>
          </w:p>
        </w:tc>
      </w:tr>
      <w:tr>
        <w:trPr>
          <w:trHeight w:val="233"/>
        </w:trPr>
        <w:tc>
          <w:tcPr>
            <w:tcW w:w="6780" w:type="dxa"/>
            <w:vAlign w:val="bottom"/>
            <w:gridSpan w:val="2"/>
          </w:tcPr>
          <w:p>
            <w:pPr>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8"/>
                <w:szCs w:val="8"/>
                <w:color w:val="auto"/>
              </w:rPr>
              <w:t>(k)</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2,252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2,051</w:t>
            </w:r>
          </w:p>
        </w:tc>
      </w:tr>
      <w:tr>
        <w:trPr>
          <w:trHeight w:val="233"/>
        </w:trPr>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COVID-19 expenses</w:t>
            </w:r>
            <w:r>
              <w:rPr>
                <w:rFonts w:ascii="Arial" w:cs="Arial" w:eastAsia="Arial" w:hAnsi="Arial"/>
                <w:sz w:val="20"/>
                <w:szCs w:val="20"/>
                <w:color w:val="auto"/>
                <w:vertAlign w:val="superscript"/>
              </w:rPr>
              <w:t>(l)</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761</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190"/>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Consolidated income (loss) before taxes</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175,716</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(38,860)</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r>
      <w:tr>
        <w:trPr>
          <w:trHeight w:val="20"/>
        </w:trPr>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27" w:hanging="427"/>
        <w:spacing w:after="0"/>
        <w:tabs>
          <w:tab w:leader="none" w:pos="4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2" w:lineRule="exact"/>
        <w:rPr>
          <w:rFonts w:ascii="Arial" w:cs="Arial" w:eastAsia="Arial" w:hAnsi="Arial"/>
          <w:sz w:val="16"/>
          <w:szCs w:val="16"/>
          <w:color w:val="auto"/>
        </w:rPr>
      </w:pPr>
    </w:p>
    <w:p>
      <w:pPr>
        <w:ind w:left="407" w:hanging="407"/>
        <w:spacing w:after="0"/>
        <w:tabs>
          <w:tab w:leader="none" w:pos="4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Impairment charges related to the decision to not reopen the Willowbrook, Illinois facility in September 2019.</w:t>
      </w:r>
    </w:p>
    <w:p>
      <w:pPr>
        <w:spacing w:after="0" w:line="2" w:lineRule="exact"/>
        <w:rPr>
          <w:rFonts w:ascii="Arial" w:cs="Arial" w:eastAsia="Arial" w:hAnsi="Arial"/>
          <w:sz w:val="16"/>
          <w:szCs w:val="16"/>
          <w:color w:val="auto"/>
        </w:rPr>
      </w:pPr>
    </w:p>
    <w:p>
      <w:pPr>
        <w:ind w:left="427" w:right="120" w:hanging="427"/>
        <w:spacing w:after="0" w:line="243"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non-cash share-based compensation expense. 2019 also includes $10.0 million of one-time cash share-based compensation expense related to the pre-IPO Class C Units, which vested in the third quarter of 2019. See Note 16, “Share-Based Compensation” for further information.</w:t>
      </w:r>
    </w:p>
    <w:p>
      <w:pPr>
        <w:ind w:left="407" w:hanging="407"/>
        <w:spacing w:after="0"/>
        <w:tabs>
          <w:tab w:leader="none" w:pos="4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cash bonuses for members of management relating to the IPO and the December 2019 refinancing.</w:t>
      </w:r>
    </w:p>
    <w:p>
      <w:pPr>
        <w:spacing w:after="0" w:line="2" w:lineRule="exact"/>
        <w:rPr>
          <w:rFonts w:ascii="Arial" w:cs="Arial" w:eastAsia="Arial" w:hAnsi="Arial"/>
          <w:sz w:val="16"/>
          <w:szCs w:val="16"/>
          <w:color w:val="auto"/>
        </w:rPr>
      </w:pPr>
    </w:p>
    <w:p>
      <w:pPr>
        <w:ind w:left="427" w:right="220" w:hanging="427"/>
        <w:spacing w:after="0" w:line="243"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and (ii) non-cash mark-to-fair value of embedded derivatives relating to certain customer and supply contracts at Nordion.</w:t>
      </w:r>
    </w:p>
    <w:p>
      <w:pPr>
        <w:ind w:left="427" w:hanging="427"/>
        <w:spacing w:after="0" w:line="261" w:lineRule="auto"/>
        <w:tabs>
          <w:tab w:leader="none" w:pos="419"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RCA, the noncontrolling interests in our China subsidiaries, and BioScience Labs in 2021; Iotron in July 2020;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 $5.1 million non-cash gain arising from the derecognition of an ARO liability no longer attributable to Nordion pursuant to the terms of the sale of the Medical Isotopes business in 2018.</w:t>
      </w:r>
    </w:p>
    <w:p>
      <w:pPr>
        <w:ind w:left="427" w:right="200" w:hanging="427"/>
        <w:spacing w:after="0" w:line="276" w:lineRule="auto"/>
        <w:tabs>
          <w:tab w:leader="none" w:pos="421"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acquisitions, the Sotera Health rebranding, operating structure realignment and other process enhancement projects.</w:t>
      </w:r>
    </w:p>
    <w:p>
      <w:pPr>
        <w:ind w:left="427" w:right="60" w:hanging="427"/>
        <w:spacing w:after="0" w:line="229" w:lineRule="auto"/>
        <w:tabs>
          <w:tab w:leader="none" w:pos="4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jc w:val="both"/>
        <w:ind w:left="427" w:right="140" w:hanging="427"/>
        <w:spacing w:after="0" w:line="277" w:lineRule="auto"/>
        <w:tabs>
          <w:tab w:leader="none" w:pos="422"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expenses incurred in connection with the repricing of our Term Loan in January 2021, full redemption of the First Lien Notes in August 2021, paydown of debt following the November 2020 IPO, and refinancing of our debt capital structure in December 2019, including accelerated amortization of prior debt issuance and discount costs, premiums paid in connection with early extinguishment and debt issuance and discount costs incurred for the new debt.</w:t>
      </w:r>
    </w:p>
    <w:p>
      <w:pPr>
        <w:ind w:left="427" w:right="660" w:hanging="427"/>
        <w:spacing w:after="0" w:line="243" w:lineRule="auto"/>
        <w:tabs>
          <w:tab w:leader="none" w:pos="4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professional fees related to litigation associated with our EO sterilization facilities and other related professional fees. See Note 20, “Commitments and Contingencies”.</w:t>
      </w:r>
    </w:p>
    <w:p>
      <w:pPr>
        <w:ind w:left="427" w:right="100" w:hanging="427"/>
        <w:spacing w:after="0" w:line="244" w:lineRule="auto"/>
        <w:tabs>
          <w:tab w:leader="none" w:pos="4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00" w:lineRule="exact"/>
        <w:rPr>
          <w:sz w:val="20"/>
          <w:szCs w:val="20"/>
          <w:color w:val="auto"/>
        </w:rPr>
      </w:pPr>
    </w:p>
    <w:p>
      <w:pPr>
        <w:spacing w:after="0" w:line="290"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7"/>
          </w:cols>
          <w:pgMar w:left="313" w:top="129" w:right="399" w:bottom="1440" w:gutter="0" w:footer="0" w:header="0"/>
        </w:sectPr>
      </w:pPr>
    </w:p>
    <w:bookmarkStart w:id="116" w:name="page117"/>
    <w:bookmarkEnd w:id="116"/>
    <w:p>
      <w:pPr>
        <w:ind w:left="7"/>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7" w:right="40" w:hanging="427"/>
        <w:spacing w:after="0" w:line="330" w:lineRule="auto"/>
        <w:tabs>
          <w:tab w:leader="none" w:pos="422"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non-recurring costs associated with the COVID-19 pandemic, including incremental costs to implement workplace health and safety measures. For the year ended December 31, 2020, costs also included donations to related charitable causes and special bonuses for front-line personnel working on-site during lockdown periods.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Geographic Information</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for geographic area are reported by the country’s origin of the revenues.</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53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6700" w:type="dxa"/>
            <w:vAlign w:val="bottom"/>
            <w:gridSpan w:val="3"/>
          </w:tcPr>
          <w:p>
            <w:pPr>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2019</w:t>
            </w:r>
          </w:p>
        </w:tc>
      </w:tr>
      <w:tr>
        <w:trPr>
          <w:trHeight w:val="27"/>
        </w:trPr>
        <w:tc>
          <w:tcPr>
            <w:tcW w:w="13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7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527,907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490,498</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473,958</w:t>
            </w:r>
          </w:p>
        </w:tc>
      </w:tr>
      <w:tr>
        <w:trPr>
          <w:trHeight w:val="198"/>
        </w:trPr>
        <w:tc>
          <w:tcPr>
            <w:tcW w:w="6700" w:type="dxa"/>
            <w:vAlign w:val="bottom"/>
            <w:gridSpan w:val="3"/>
          </w:tcPr>
          <w:p>
            <w:pPr>
              <w:spacing w:after="0"/>
              <w:rPr>
                <w:sz w:val="20"/>
                <w:szCs w:val="20"/>
                <w:color w:val="auto"/>
              </w:rPr>
            </w:pPr>
            <w:r>
              <w:rPr>
                <w:rFonts w:ascii="Arial" w:cs="Arial" w:eastAsia="Arial" w:hAnsi="Arial"/>
                <w:sz w:val="16"/>
                <w:szCs w:val="16"/>
                <w:color w:val="auto"/>
              </w:rPr>
              <w:t>Canada</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177,875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135,938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130,469</w:t>
            </w:r>
          </w:p>
        </w:tc>
      </w:tr>
      <w:tr>
        <w:trPr>
          <w:trHeight w:val="198"/>
        </w:trPr>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161,810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135,720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122,606</w:t>
            </w:r>
          </w:p>
        </w:tc>
      </w:tr>
      <w:tr>
        <w:trPr>
          <w:trHeight w:val="198"/>
        </w:trPr>
        <w:tc>
          <w:tcPr>
            <w:tcW w:w="67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63,886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51,294</w:t>
            </w:r>
          </w:p>
        </w:tc>
      </w:tr>
      <w:tr>
        <w:trPr>
          <w:trHeight w:val="215"/>
        </w:trPr>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931,478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818,158</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778,327</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‘Other’ category above is primarily comprised of net revenues from Asian and Latin American countries that individually represent 2% or less of our total net revenues.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6"/>
          <w:szCs w:val="16"/>
          <w:color w:val="auto"/>
        </w:rPr>
        <w:t>Long-lived assets are based on physical locations and are comprised of the net book value of property, plant, and equipment.</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4"/>
              </w:rPr>
              <w:t>(thousands of U.S. dollars)</w:t>
            </w:r>
          </w:p>
        </w:tc>
        <w:tc>
          <w:tcPr>
            <w:tcW w:w="7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w:t>
            </w:r>
          </w:p>
        </w:tc>
        <w:tc>
          <w:tcPr>
            <w:tcW w:w="320" w:type="dxa"/>
            <w:vAlign w:val="bottom"/>
          </w:tcPr>
          <w:p>
            <w:pPr>
              <w:spacing w:after="0"/>
              <w:rPr>
                <w:sz w:val="14"/>
                <w:szCs w:val="14"/>
                <w:color w:val="auto"/>
              </w:rPr>
            </w:pPr>
          </w:p>
        </w:tc>
        <w:tc>
          <w:tcPr>
            <w:tcW w:w="1000" w:type="dxa"/>
            <w:vAlign w:val="bottom"/>
          </w:tcPr>
          <w:p>
            <w:pPr>
              <w:jc w:val="right"/>
              <w:ind w:right="445"/>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2020</w:t>
            </w:r>
          </w:p>
        </w:tc>
      </w:tr>
      <w:tr>
        <w:trPr>
          <w:trHeight w:val="27"/>
        </w:trPr>
        <w:tc>
          <w:tcPr>
            <w:tcW w:w="104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4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323,528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305,137</w:t>
            </w:r>
          </w:p>
        </w:tc>
      </w:tr>
      <w:tr>
        <w:trPr>
          <w:trHeight w:val="198"/>
        </w:trPr>
        <w:tc>
          <w:tcPr>
            <w:tcW w:w="8460" w:type="dxa"/>
            <w:vAlign w:val="bottom"/>
            <w:gridSpan w:val="3"/>
          </w:tcPr>
          <w:p>
            <w:pPr>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135,025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141,668</w:t>
            </w:r>
          </w:p>
        </w:tc>
      </w:tr>
      <w:tr>
        <w:trPr>
          <w:trHeight w:val="198"/>
        </w:trPr>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Canada</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128,538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97,996</w:t>
            </w:r>
          </w:p>
        </w:tc>
      </w:tr>
      <w:tr>
        <w:trPr>
          <w:trHeight w:val="198"/>
        </w:trPr>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63,706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65,013</w:t>
            </w:r>
          </w:p>
        </w:tc>
      </w:tr>
      <w:tr>
        <w:trPr>
          <w:trHeight w:val="215"/>
        </w:trPr>
        <w:tc>
          <w:tcPr>
            <w:tcW w:w="8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650,797</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609,814</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‘Other’ category above is primarily comprised of long-lived assets in Asian and Latin American countries that individually represent 5% or less of our total long-lived assets.</w:t>
      </w: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117" w:name="page118"/>
    <w:bookmarkEnd w:id="117"/>
    <w:p>
      <w:pPr>
        <w:ind w:left="7"/>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7"/>
        <w:spacing w:after="0"/>
        <w:rPr>
          <w:sz w:val="20"/>
          <w:szCs w:val="20"/>
          <w:color w:val="auto"/>
        </w:rPr>
      </w:pPr>
      <w:r>
        <w:rPr>
          <w:rFonts w:ascii="Arial" w:cs="Arial" w:eastAsia="Arial" w:hAnsi="Arial"/>
          <w:sz w:val="16"/>
          <w:szCs w:val="16"/>
          <w:color w:val="auto"/>
        </w:rPr>
        <w:t>Sotera Health Company</w:t>
      </w:r>
    </w:p>
    <w:p>
      <w:pPr>
        <w:spacing w:after="0" w:line="49" w:lineRule="exact"/>
        <w:rPr>
          <w:sz w:val="20"/>
          <w:szCs w:val="20"/>
          <w:color w:val="auto"/>
        </w:rPr>
      </w:pPr>
    </w:p>
    <w:p>
      <w:pPr>
        <w:ind w:left="4107"/>
        <w:spacing w:after="0"/>
        <w:rPr>
          <w:sz w:val="20"/>
          <w:szCs w:val="20"/>
          <w:color w:val="auto"/>
        </w:rPr>
      </w:pPr>
      <w:r>
        <w:rPr>
          <w:rFonts w:ascii="Arial" w:cs="Arial" w:eastAsia="Arial" w:hAnsi="Arial"/>
          <w:sz w:val="16"/>
          <w:szCs w:val="16"/>
          <w:color w:val="auto"/>
        </w:rPr>
        <w:t>Schedule II – Valuation and Qualifying Accounts</w:t>
      </w:r>
    </w:p>
    <w:p>
      <w:pPr>
        <w:spacing w:after="0" w:line="12" w:lineRule="exact"/>
        <w:rPr>
          <w:sz w:val="20"/>
          <w:szCs w:val="20"/>
          <w:color w:val="auto"/>
        </w:rPr>
      </w:pPr>
    </w:p>
    <w:p>
      <w:pPr>
        <w:jc w:val="center"/>
        <w:ind w:right="-6"/>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3"/>
              </w:rPr>
              <w:t>Balance at</w:t>
            </w:r>
          </w:p>
        </w:tc>
        <w:tc>
          <w:tcPr>
            <w:tcW w:w="24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Charges</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400"/>
              <w:spacing w:after="0" w:line="117" w:lineRule="exact"/>
              <w:rPr>
                <w:sz w:val="20"/>
                <w:szCs w:val="20"/>
                <w:color w:val="auto"/>
              </w:rPr>
            </w:pPr>
            <w:r>
              <w:rPr>
                <w:rFonts w:ascii="Arial" w:cs="Arial" w:eastAsia="Arial" w:hAnsi="Arial"/>
                <w:sz w:val="12"/>
                <w:szCs w:val="12"/>
                <w:b w:val="1"/>
                <w:bCs w:val="1"/>
                <w:color w:val="auto"/>
                <w:w w:val="93"/>
              </w:rPr>
              <w:t>(credits) to</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5"/>
              </w:rPr>
              <w:t>Translation</w:t>
            </w:r>
          </w:p>
        </w:tc>
        <w:tc>
          <w:tcPr>
            <w:tcW w:w="180" w:type="dxa"/>
            <w:vAlign w:val="bottom"/>
          </w:tcPr>
          <w:p>
            <w:pPr>
              <w:spacing w:after="0"/>
              <w:rPr>
                <w:sz w:val="10"/>
                <w:szCs w:val="10"/>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w w:val="99"/>
              </w:rPr>
              <w:t>Balance at End</w:t>
            </w:r>
          </w:p>
        </w:tc>
        <w:tc>
          <w:tcPr>
            <w:tcW w:w="0" w:type="dxa"/>
            <w:vAlign w:val="bottom"/>
          </w:tcPr>
          <w:p>
            <w:pPr>
              <w:spacing w:after="0"/>
              <w:rPr>
                <w:sz w:val="1"/>
                <w:szCs w:val="1"/>
                <w:color w:val="auto"/>
              </w:rPr>
            </w:pPr>
          </w:p>
        </w:tc>
      </w:tr>
      <w:tr>
        <w:trPr>
          <w:trHeight w:val="117"/>
        </w:trPr>
        <w:tc>
          <w:tcPr>
            <w:tcW w:w="4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00" w:type="dxa"/>
            <w:vAlign w:val="bottom"/>
          </w:tcPr>
          <w:p>
            <w:pPr>
              <w:spacing w:after="0"/>
              <w:rPr>
                <w:sz w:val="10"/>
                <w:szCs w:val="10"/>
                <w:color w:val="auto"/>
              </w:rPr>
            </w:pPr>
          </w:p>
        </w:tc>
        <w:tc>
          <w:tcPr>
            <w:tcW w:w="1260" w:type="dxa"/>
            <w:vAlign w:val="bottom"/>
            <w:gridSpan w:val="2"/>
          </w:tcPr>
          <w:p>
            <w:pPr>
              <w:jc w:val="center"/>
              <w:ind w:right="340"/>
              <w:spacing w:after="0" w:line="117" w:lineRule="exact"/>
              <w:rPr>
                <w:sz w:val="20"/>
                <w:szCs w:val="20"/>
                <w:color w:val="auto"/>
              </w:rPr>
            </w:pPr>
            <w:r>
              <w:rPr>
                <w:rFonts w:ascii="Arial" w:cs="Arial" w:eastAsia="Arial" w:hAnsi="Arial"/>
                <w:sz w:val="12"/>
                <w:szCs w:val="12"/>
                <w:b w:val="1"/>
                <w:bCs w:val="1"/>
                <w:color w:val="auto"/>
                <w:w w:val="92"/>
              </w:rPr>
              <w:t>Beginning of</w:t>
            </w:r>
          </w:p>
        </w:tc>
        <w:tc>
          <w:tcPr>
            <w:tcW w:w="240" w:type="dxa"/>
            <w:vAlign w:val="bottom"/>
          </w:tcPr>
          <w:p>
            <w:pPr>
              <w:spacing w:after="0"/>
              <w:rPr>
                <w:sz w:val="10"/>
                <w:szCs w:val="10"/>
                <w:color w:val="auto"/>
              </w:rPr>
            </w:pPr>
          </w:p>
        </w:tc>
        <w:tc>
          <w:tcPr>
            <w:tcW w:w="1220" w:type="dxa"/>
            <w:vAlign w:val="bottom"/>
            <w:gridSpan w:val="2"/>
          </w:tcPr>
          <w:p>
            <w:pPr>
              <w:jc w:val="center"/>
              <w:ind w:right="380"/>
              <w:spacing w:after="0" w:line="117" w:lineRule="exact"/>
              <w:rPr>
                <w:sz w:val="20"/>
                <w:szCs w:val="20"/>
                <w:color w:val="auto"/>
              </w:rPr>
            </w:pPr>
            <w:r>
              <w:rPr>
                <w:rFonts w:ascii="Arial" w:cs="Arial" w:eastAsia="Arial" w:hAnsi="Arial"/>
                <w:sz w:val="12"/>
                <w:szCs w:val="12"/>
                <w:b w:val="1"/>
                <w:bCs w:val="1"/>
                <w:color w:val="auto"/>
                <w:w w:val="85"/>
              </w:rPr>
              <w:t>costs and</w:t>
            </w:r>
          </w:p>
        </w:tc>
        <w:tc>
          <w:tcPr>
            <w:tcW w:w="200" w:type="dxa"/>
            <w:vAlign w:val="bottom"/>
          </w:tcPr>
          <w:p>
            <w:pPr>
              <w:spacing w:after="0"/>
              <w:rPr>
                <w:sz w:val="10"/>
                <w:szCs w:val="10"/>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Deductions</w:t>
            </w:r>
            <w:r>
              <w:rPr>
                <w:rFonts w:ascii="Arial" w:cs="Arial" w:eastAsia="Arial" w:hAnsi="Arial"/>
                <w:sz w:val="16"/>
                <w:szCs w:val="16"/>
                <w:b w:val="1"/>
                <w:bCs w:val="1"/>
                <w:color w:val="auto"/>
                <w:vertAlign w:val="superscript"/>
              </w:rPr>
              <w:t>(1)</w:t>
            </w: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Arial" w:cs="Arial" w:eastAsia="Arial" w:hAnsi="Arial"/>
                <w:sz w:val="12"/>
                <w:szCs w:val="12"/>
                <w:b w:val="1"/>
                <w:bCs w:val="1"/>
                <w:color w:val="auto"/>
                <w:w w:val="96"/>
              </w:rPr>
              <w:t>Period</w:t>
            </w:r>
          </w:p>
        </w:tc>
        <w:tc>
          <w:tcPr>
            <w:tcW w:w="240" w:type="dxa"/>
            <w:vAlign w:val="bottom"/>
          </w:tcPr>
          <w:p>
            <w:pPr>
              <w:spacing w:after="0"/>
              <w:rPr>
                <w:sz w:val="11"/>
                <w:szCs w:val="11"/>
                <w:color w:val="auto"/>
              </w:rPr>
            </w:pPr>
          </w:p>
        </w:tc>
        <w:tc>
          <w:tcPr>
            <w:tcW w:w="122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87"/>
              </w:rPr>
              <w:t>expense</w:t>
            </w: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40"/>
              <w:spacing w:after="0" w:line="129" w:lineRule="exact"/>
              <w:rPr>
                <w:sz w:val="20"/>
                <w:szCs w:val="20"/>
                <w:color w:val="auto"/>
              </w:rPr>
            </w:pPr>
            <w:r>
              <w:rPr>
                <w:rFonts w:ascii="Arial" w:cs="Arial" w:eastAsia="Arial" w:hAnsi="Arial"/>
                <w:sz w:val="11"/>
                <w:szCs w:val="11"/>
                <w:b w:val="1"/>
                <w:bCs w:val="1"/>
                <w:color w:val="auto"/>
                <w:w w:val="99"/>
              </w:rPr>
              <w:t>Adjustments</w:t>
            </w:r>
            <w:r>
              <w:rPr>
                <w:rFonts w:ascii="Arial" w:cs="Arial" w:eastAsia="Arial" w:hAnsi="Arial"/>
                <w:sz w:val="14"/>
                <w:szCs w:val="14"/>
                <w:b w:val="1"/>
                <w:bCs w:val="1"/>
                <w:color w:val="auto"/>
                <w:w w:val="99"/>
                <w:vertAlign w:val="superscript"/>
              </w:rPr>
              <w:t>(2)</w:t>
            </w:r>
          </w:p>
        </w:tc>
        <w:tc>
          <w:tcPr>
            <w:tcW w:w="180" w:type="dxa"/>
            <w:vAlign w:val="bottom"/>
          </w:tcPr>
          <w:p>
            <w:pPr>
              <w:spacing w:after="0"/>
              <w:rPr>
                <w:sz w:val="11"/>
                <w:szCs w:val="11"/>
                <w:color w:val="auto"/>
              </w:rPr>
            </w:pPr>
          </w:p>
        </w:tc>
        <w:tc>
          <w:tcPr>
            <w:tcW w:w="1140" w:type="dxa"/>
            <w:vAlign w:val="bottom"/>
          </w:tcPr>
          <w:p>
            <w:pPr>
              <w:jc w:val="right"/>
              <w:ind w:right="346"/>
              <w:spacing w:after="0" w:line="129" w:lineRule="exact"/>
              <w:rPr>
                <w:sz w:val="20"/>
                <w:szCs w:val="20"/>
                <w:color w:val="auto"/>
              </w:rPr>
            </w:pPr>
            <w:r>
              <w:rPr>
                <w:rFonts w:ascii="Arial" w:cs="Arial" w:eastAsia="Arial" w:hAnsi="Arial"/>
                <w:sz w:val="12"/>
                <w:szCs w:val="12"/>
                <w:b w:val="1"/>
                <w:bCs w:val="1"/>
                <w:color w:val="auto"/>
              </w:rPr>
              <w:t>of Period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2021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Deducted from asset accounts: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 w:type="dxa"/>
            <w:vAlign w:val="bottom"/>
            <w:shd w:val="clear" w:color="auto" w:fill="CCEEFF"/>
          </w:tcPr>
          <w:p>
            <w:pPr>
              <w:spacing w:after="0"/>
              <w:rPr>
                <w:sz w:val="17"/>
                <w:szCs w:val="17"/>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Allowance for uncollectible accounts receivable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708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3460" w:type="dxa"/>
            <w:vAlign w:val="bottom"/>
          </w:tcPr>
          <w:p>
            <w:pPr>
              <w:ind w:left="160"/>
              <w:spacing w:after="0"/>
              <w:rPr>
                <w:sz w:val="20"/>
                <w:szCs w:val="20"/>
                <w:color w:val="auto"/>
              </w:rPr>
            </w:pPr>
            <w:r>
              <w:rPr>
                <w:rFonts w:ascii="Arial" w:cs="Arial" w:eastAsia="Arial" w:hAnsi="Arial"/>
                <w:sz w:val="16"/>
                <w:szCs w:val="16"/>
                <w:color w:val="auto"/>
              </w:rPr>
              <w:t>Deferred tax asset valuation allowance</w:t>
            </w:r>
          </w:p>
        </w:tc>
        <w:tc>
          <w:tcPr>
            <w:tcW w:w="20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43,765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52,080</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2020</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Deducted from asset accounts: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 w:type="dxa"/>
            <w:vAlign w:val="bottom"/>
            <w:shd w:val="clear" w:color="auto" w:fill="CCEEFF"/>
          </w:tcPr>
          <w:p>
            <w:pPr>
              <w:spacing w:after="0"/>
              <w:rPr>
                <w:sz w:val="17"/>
                <w:szCs w:val="17"/>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Allowance for uncollectible accounts receivable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787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3460" w:type="dxa"/>
            <w:vAlign w:val="bottom"/>
          </w:tcPr>
          <w:p>
            <w:pPr>
              <w:ind w:left="160"/>
              <w:spacing w:after="0"/>
              <w:rPr>
                <w:sz w:val="20"/>
                <w:szCs w:val="20"/>
                <w:color w:val="auto"/>
              </w:rPr>
            </w:pPr>
            <w:r>
              <w:rPr>
                <w:rFonts w:ascii="Arial" w:cs="Arial" w:eastAsia="Arial" w:hAnsi="Arial"/>
                <w:sz w:val="16"/>
                <w:szCs w:val="16"/>
                <w:color w:val="auto"/>
              </w:rPr>
              <w:t>Deferred tax asset valuation allowance</w:t>
            </w:r>
          </w:p>
        </w:tc>
        <w:tc>
          <w:tcPr>
            <w:tcW w:w="20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22,962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43,765</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Deducted from asset accounts: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 w:type="dxa"/>
            <w:vAlign w:val="bottom"/>
            <w:shd w:val="clear" w:color="auto" w:fill="CCEEFF"/>
          </w:tcPr>
          <w:p>
            <w:pPr>
              <w:spacing w:after="0"/>
              <w:rPr>
                <w:sz w:val="17"/>
                <w:szCs w:val="17"/>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Allowance for uncollectible accounts receivable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928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3460" w:type="dxa"/>
            <w:vAlign w:val="bottom"/>
          </w:tcPr>
          <w:p>
            <w:pPr>
              <w:ind w:left="160"/>
              <w:spacing w:after="0"/>
              <w:rPr>
                <w:sz w:val="20"/>
                <w:szCs w:val="20"/>
                <w:color w:val="auto"/>
              </w:rPr>
            </w:pPr>
            <w:r>
              <w:rPr>
                <w:rFonts w:ascii="Arial" w:cs="Arial" w:eastAsia="Arial" w:hAnsi="Arial"/>
                <w:sz w:val="16"/>
                <w:szCs w:val="16"/>
                <w:color w:val="auto"/>
              </w:rPr>
              <w:t>Deferred tax asset valuation allowance</w:t>
            </w:r>
          </w:p>
        </w:tc>
        <w:tc>
          <w:tcPr>
            <w:tcW w:w="20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16,678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22,962</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407" w:hanging="407"/>
        <w:spacing w:after="0"/>
        <w:tabs>
          <w:tab w:leader="none" w:pos="407" w:val="left"/>
        </w:tabs>
        <w:numPr>
          <w:ilvl w:val="0"/>
          <w:numId w:val="50"/>
        </w:numPr>
        <w:rPr>
          <w:rFonts w:ascii="Arial" w:cs="Arial" w:eastAsia="Arial" w:hAnsi="Arial"/>
          <w:sz w:val="12"/>
          <w:szCs w:val="12"/>
          <w:i w:val="1"/>
          <w:iCs w:val="1"/>
          <w:color w:val="auto"/>
        </w:rPr>
      </w:pPr>
      <w:r>
        <w:rPr>
          <w:rFonts w:ascii="Arial" w:cs="Arial" w:eastAsia="Arial" w:hAnsi="Arial"/>
          <w:sz w:val="12"/>
          <w:szCs w:val="12"/>
          <w:i w:val="1"/>
          <w:iCs w:val="1"/>
          <w:color w:val="auto"/>
        </w:rPr>
        <w:t>Uncollectible accounts written off, net of recoveries</w:t>
      </w:r>
    </w:p>
    <w:p>
      <w:pPr>
        <w:spacing w:after="0" w:line="11" w:lineRule="exact"/>
        <w:rPr>
          <w:rFonts w:ascii="Arial" w:cs="Arial" w:eastAsia="Arial" w:hAnsi="Arial"/>
          <w:sz w:val="12"/>
          <w:szCs w:val="12"/>
          <w:i w:val="1"/>
          <w:iCs w:val="1"/>
          <w:color w:val="auto"/>
        </w:rPr>
      </w:pPr>
    </w:p>
    <w:p>
      <w:pPr>
        <w:ind w:left="407" w:hanging="407"/>
        <w:spacing w:after="0"/>
        <w:tabs>
          <w:tab w:leader="none" w:pos="407" w:val="left"/>
        </w:tabs>
        <w:numPr>
          <w:ilvl w:val="0"/>
          <w:numId w:val="50"/>
        </w:numPr>
        <w:rPr>
          <w:rFonts w:ascii="Arial" w:cs="Arial" w:eastAsia="Arial" w:hAnsi="Arial"/>
          <w:sz w:val="12"/>
          <w:szCs w:val="12"/>
          <w:i w:val="1"/>
          <w:iCs w:val="1"/>
          <w:color w:val="auto"/>
        </w:rPr>
      </w:pPr>
      <w:r>
        <w:rPr>
          <w:rFonts w:ascii="Arial" w:cs="Arial" w:eastAsia="Arial" w:hAnsi="Arial"/>
          <w:sz w:val="12"/>
          <w:szCs w:val="12"/>
          <w:i w:val="1"/>
          <w:iCs w:val="1"/>
          <w:color w:val="auto"/>
        </w:rPr>
        <w:t>Change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6135"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35" w:right="319" w:bottom="1440" w:gutter="0" w:footer="0" w:header="0"/>
        </w:sectPr>
      </w:pPr>
    </w:p>
    <w:bookmarkStart w:id="118" w:name="page119"/>
    <w:bookmarkEnd w:id="11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5"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95"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The management of Sotera Health Company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Sotera Health Company’s management assessed the effectiveness of the Company’s internal control over financial reporting as of December 31, 2021. Based on this assessment, management concluded that the Company’s internal control over financial reporting was effective as of December 31, 2021.</w:t>
      </w:r>
    </w:p>
    <w:p>
      <w:pPr>
        <w:spacing w:after="0" w:line="141" w:lineRule="exact"/>
        <w:rPr>
          <w:sz w:val="20"/>
          <w:szCs w:val="20"/>
          <w:color w:val="auto"/>
        </w:rPr>
      </w:pPr>
    </w:p>
    <w:p>
      <w:pPr>
        <w:ind w:right="300"/>
        <w:spacing w:after="0" w:line="330" w:lineRule="auto"/>
        <w:rPr>
          <w:sz w:val="20"/>
          <w:szCs w:val="20"/>
          <w:color w:val="auto"/>
        </w:rPr>
      </w:pPr>
      <w:r>
        <w:rPr>
          <w:rFonts w:ascii="Arial" w:cs="Arial" w:eastAsia="Arial" w:hAnsi="Arial"/>
          <w:sz w:val="14"/>
          <w:szCs w:val="14"/>
          <w:color w:val="auto"/>
        </w:rPr>
        <w:t>The effectiveness of the Company’s internal control over financial reporting as of December 31, 2021 has been audited by Ernst &amp; Young LLP, an independent registered public accounting firm, as stated in their report, which is included in this Annual Report on Form 10-K and is included in this Item 9A. of this Form 10-K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During the fourth quarter of 2021,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Sotera Health Company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60"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We have audited Sotera Health Company’s internal control over financial reporting as of December 31, 2021, based on criteria established in Internal Control — 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2021, based on the COSO criteria.</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2021 consolidated financial statements of the Company and our report dated March 1, 2022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60"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9"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6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Akron, Ohio</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95" w:right="319" w:bottom="1440" w:gutter="0" w:footer="0" w:header="0"/>
        </w:sectPr>
      </w:pPr>
    </w:p>
    <w:bookmarkStart w:id="120" w:name="page121"/>
    <w:bookmarkEnd w:id="12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04"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121" w:name="page122"/>
    <w:bookmarkEnd w:id="12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9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information required by this item is incorporated by reference to the sections entitled "Board Composition, Nominations Process and Director Qualifications” and “Corporate Governance” that will be included in our Definitive Proxy Statement for the 2022 Annual Meeting of Stockholders, which will be filed with the SEC within 120 days after the fiscal year ended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our executive officers as of February 22,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0" w:type="dxa"/>
            <w:vAlign w:val="bottom"/>
            <w:gridSpan w:val="3"/>
          </w:tcPr>
          <w:p>
            <w:pPr>
              <w:jc w:val="center"/>
              <w:ind w:left="1205"/>
              <w:spacing w:after="0"/>
              <w:rPr>
                <w:sz w:val="20"/>
                <w:szCs w:val="20"/>
                <w:color w:val="auto"/>
              </w:rPr>
            </w:pPr>
            <w:r>
              <w:rPr>
                <w:rFonts w:ascii="Arial" w:cs="Arial" w:eastAsia="Arial" w:hAnsi="Arial"/>
                <w:sz w:val="12"/>
                <w:szCs w:val="12"/>
                <w:b w:val="1"/>
                <w:bCs w:val="1"/>
                <w:color w:val="auto"/>
                <w:w w:val="88"/>
              </w:rPr>
              <w:t>Age</w:t>
            </w:r>
          </w:p>
        </w:tc>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r>
      <w:tr>
        <w:trPr>
          <w:trHeight w:val="213"/>
        </w:trPr>
        <w:tc>
          <w:tcPr>
            <w:tcW w:w="320" w:type="dxa"/>
            <w:vAlign w:val="bottom"/>
            <w:tcBorders>
              <w:top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900" w:type="dxa"/>
            <w:vAlign w:val="bottom"/>
          </w:tcPr>
          <w:p>
            <w:pPr>
              <w:spacing w:after="0"/>
              <w:rPr>
                <w:sz w:val="18"/>
                <w:szCs w:val="18"/>
                <w:color w:val="auto"/>
              </w:rPr>
            </w:pPr>
          </w:p>
        </w:tc>
      </w:tr>
      <w:tr>
        <w:trPr>
          <w:trHeight w:val="198"/>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B. Petras, Jr.</w:t>
            </w:r>
          </w:p>
        </w:tc>
        <w:tc>
          <w:tcPr>
            <w:tcW w:w="1840" w:type="dxa"/>
            <w:vAlign w:val="bottom"/>
            <w:gridSpan w:val="2"/>
            <w:shd w:val="clear" w:color="auto" w:fill="CCEEFF"/>
          </w:tcPr>
          <w:p>
            <w:pPr>
              <w:jc w:val="center"/>
              <w:ind w:left="1565"/>
              <w:spacing w:after="0"/>
              <w:rPr>
                <w:sz w:val="20"/>
                <w:szCs w:val="20"/>
                <w:color w:val="auto"/>
              </w:rPr>
            </w:pPr>
            <w:r>
              <w:rPr>
                <w:rFonts w:ascii="Arial" w:cs="Arial" w:eastAsia="Arial" w:hAnsi="Arial"/>
                <w:sz w:val="16"/>
                <w:szCs w:val="16"/>
                <w:color w:val="auto"/>
                <w:w w:val="89"/>
              </w:rPr>
              <w:t>54</w:t>
            </w:r>
          </w:p>
        </w:tc>
        <w:tc>
          <w:tcPr>
            <w:tcW w:w="36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 and Chief Executive Officer</w:t>
            </w:r>
          </w:p>
        </w:tc>
      </w:tr>
      <w:tr>
        <w:trPr>
          <w:trHeight w:val="198"/>
        </w:trPr>
        <w:tc>
          <w:tcPr>
            <w:tcW w:w="3740" w:type="dxa"/>
            <w:vAlign w:val="bottom"/>
            <w:gridSpan w:val="2"/>
          </w:tcPr>
          <w:p>
            <w:pPr>
              <w:spacing w:after="0"/>
              <w:rPr>
                <w:sz w:val="20"/>
                <w:szCs w:val="20"/>
                <w:color w:val="auto"/>
              </w:rPr>
            </w:pPr>
            <w:r>
              <w:rPr>
                <w:rFonts w:ascii="Arial" w:cs="Arial" w:eastAsia="Arial" w:hAnsi="Arial"/>
                <w:sz w:val="16"/>
                <w:szCs w:val="16"/>
                <w:color w:val="auto"/>
              </w:rPr>
              <w:t>Scott J. Leffler</w:t>
            </w:r>
          </w:p>
        </w:tc>
        <w:tc>
          <w:tcPr>
            <w:tcW w:w="1840" w:type="dxa"/>
            <w:vAlign w:val="bottom"/>
            <w:gridSpan w:val="2"/>
          </w:tcPr>
          <w:p>
            <w:pPr>
              <w:jc w:val="center"/>
              <w:ind w:left="1565"/>
              <w:spacing w:after="0"/>
              <w:rPr>
                <w:sz w:val="20"/>
                <w:szCs w:val="20"/>
                <w:color w:val="auto"/>
              </w:rPr>
            </w:pPr>
            <w:r>
              <w:rPr>
                <w:rFonts w:ascii="Arial" w:cs="Arial" w:eastAsia="Arial" w:hAnsi="Arial"/>
                <w:sz w:val="16"/>
                <w:szCs w:val="16"/>
                <w:color w:val="auto"/>
                <w:w w:val="89"/>
              </w:rPr>
              <w:t>47</w:t>
            </w:r>
          </w:p>
        </w:tc>
        <w:tc>
          <w:tcPr>
            <w:tcW w:w="36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Chief Financial Officer and Treasurer</w:t>
            </w:r>
          </w:p>
        </w:tc>
      </w:tr>
      <w:tr>
        <w:trPr>
          <w:trHeight w:val="198"/>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(Mike) P. Rutz</w:t>
            </w:r>
          </w:p>
        </w:tc>
        <w:tc>
          <w:tcPr>
            <w:tcW w:w="1840" w:type="dxa"/>
            <w:vAlign w:val="bottom"/>
            <w:gridSpan w:val="2"/>
            <w:shd w:val="clear" w:color="auto" w:fill="CCEEFF"/>
          </w:tcPr>
          <w:p>
            <w:pPr>
              <w:jc w:val="center"/>
              <w:ind w:left="1565"/>
              <w:spacing w:after="0"/>
              <w:rPr>
                <w:sz w:val="20"/>
                <w:szCs w:val="20"/>
                <w:color w:val="auto"/>
              </w:rPr>
            </w:pPr>
            <w:r>
              <w:rPr>
                <w:rFonts w:ascii="Arial" w:cs="Arial" w:eastAsia="Arial" w:hAnsi="Arial"/>
                <w:sz w:val="16"/>
                <w:szCs w:val="16"/>
                <w:color w:val="auto"/>
                <w:w w:val="89"/>
              </w:rPr>
              <w:t>50</w:t>
            </w:r>
          </w:p>
        </w:tc>
        <w:tc>
          <w:tcPr>
            <w:tcW w:w="36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President of Sterigenics</w:t>
            </w:r>
          </w:p>
        </w:tc>
      </w:tr>
      <w:tr>
        <w:trPr>
          <w:trHeight w:val="198"/>
        </w:trPr>
        <w:tc>
          <w:tcPr>
            <w:tcW w:w="3740" w:type="dxa"/>
            <w:vAlign w:val="bottom"/>
            <w:gridSpan w:val="2"/>
          </w:tcPr>
          <w:p>
            <w:pPr>
              <w:spacing w:after="0"/>
              <w:rPr>
                <w:sz w:val="20"/>
                <w:szCs w:val="20"/>
                <w:color w:val="auto"/>
              </w:rPr>
            </w:pPr>
            <w:r>
              <w:rPr>
                <w:rFonts w:ascii="Arial" w:cs="Arial" w:eastAsia="Arial" w:hAnsi="Arial"/>
                <w:sz w:val="16"/>
                <w:szCs w:val="16"/>
                <w:color w:val="auto"/>
              </w:rPr>
              <w:t>Terrence (Terry) G. Hammons, Jr.</w:t>
            </w:r>
          </w:p>
        </w:tc>
        <w:tc>
          <w:tcPr>
            <w:tcW w:w="1840" w:type="dxa"/>
            <w:vAlign w:val="bottom"/>
            <w:gridSpan w:val="2"/>
          </w:tcPr>
          <w:p>
            <w:pPr>
              <w:jc w:val="center"/>
              <w:ind w:left="1565"/>
              <w:spacing w:after="0"/>
              <w:rPr>
                <w:sz w:val="20"/>
                <w:szCs w:val="20"/>
                <w:color w:val="auto"/>
              </w:rPr>
            </w:pPr>
            <w:r>
              <w:rPr>
                <w:rFonts w:ascii="Arial" w:cs="Arial" w:eastAsia="Arial" w:hAnsi="Arial"/>
                <w:sz w:val="16"/>
                <w:szCs w:val="16"/>
                <w:color w:val="auto"/>
                <w:w w:val="89"/>
              </w:rPr>
              <w:t>49</w:t>
            </w:r>
          </w:p>
        </w:tc>
        <w:tc>
          <w:tcPr>
            <w:tcW w:w="36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Senior Vice President, General Counsel and Secretary</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brief description of the business experience of our executive officers.</w:t>
      </w:r>
    </w:p>
    <w:p>
      <w:pPr>
        <w:spacing w:after="0" w:line="189"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i w:val="1"/>
          <w:iCs w:val="1"/>
          <w:color w:val="auto"/>
        </w:rPr>
        <w:t xml:space="preserve">Michael B. Petras, Jr. </w:t>
      </w:r>
      <w:r>
        <w:rPr>
          <w:rFonts w:ascii="Arial" w:cs="Arial" w:eastAsia="Arial" w:hAnsi="Arial"/>
          <w:sz w:val="14"/>
          <w:szCs w:val="14"/>
          <w:color w:val="auto"/>
        </w:rPr>
        <w:t>has served as our Chief Executive Officer since June 2016, as the Chairman of our board of directors since October 2020, as the Chairman of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managers of Sotera Health Topco, L.P. (“Topco Parent”) since January 2019 and as a member of Topco Parent’s board of managers since June 2016.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i w:val="1"/>
          <w:iCs w:val="1"/>
          <w:color w:val="auto"/>
        </w:rPr>
        <w:t xml:space="preserve">Scott J. Leffler </w:t>
      </w:r>
      <w:r>
        <w:rPr>
          <w:rFonts w:ascii="Arial" w:cs="Arial" w:eastAsia="Arial" w:hAnsi="Arial"/>
          <w:sz w:val="14"/>
          <w:szCs w:val="14"/>
          <w:color w:val="auto"/>
        </w:rPr>
        <w:t>has served as our Chief Financial Officer and Treasurer since April 2017. Prior to joining Sotera Health, Mr. Leffler served as chief financial officer at Exal</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43"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i w:val="1"/>
          <w:iCs w:val="1"/>
          <w:color w:val="auto"/>
        </w:rPr>
        <w:t xml:space="preserve">Michael (Mike) P. Rutz </w:t>
      </w:r>
      <w:r>
        <w:rPr>
          <w:rFonts w:ascii="Arial" w:cs="Arial" w:eastAsia="Arial" w:hAnsi="Arial"/>
          <w:sz w:val="14"/>
          <w:szCs w:val="14"/>
          <w:color w:val="auto"/>
        </w:rPr>
        <w:t>has served as President of Sterigenics since October 2020. Prior to that, Mr. Rutz was Chief Operating Officer of Sterigenics from May 2020 to October</w:t>
      </w:r>
      <w:r>
        <w:rPr>
          <w:rFonts w:ascii="Arial" w:cs="Arial" w:eastAsia="Arial" w:hAnsi="Arial"/>
          <w:sz w:val="14"/>
          <w:szCs w:val="14"/>
          <w:i w:val="1"/>
          <w:iCs w:val="1"/>
          <w:color w:val="auto"/>
        </w:rPr>
        <w:t xml:space="preserve"> </w:t>
      </w:r>
      <w:r>
        <w:rPr>
          <w:rFonts w:ascii="Arial" w:cs="Arial" w:eastAsia="Arial" w:hAnsi="Arial"/>
          <w:sz w:val="14"/>
          <w:szCs w:val="14"/>
          <w:color w:val="auto"/>
        </w:rPr>
        <w:t>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22" w:name="page123"/>
    <w:bookmarkEnd w:id="12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95" w:lineRule="auto"/>
        <w:rPr>
          <w:sz w:val="20"/>
          <w:szCs w:val="20"/>
          <w:color w:val="auto"/>
        </w:rPr>
      </w:pPr>
      <w:r>
        <w:rPr>
          <w:rFonts w:ascii="Arial" w:cs="Arial" w:eastAsia="Arial" w:hAnsi="Arial"/>
          <w:sz w:val="14"/>
          <w:szCs w:val="14"/>
          <w:i w:val="1"/>
          <w:iCs w:val="1"/>
          <w:color w:val="auto"/>
        </w:rPr>
        <w:t xml:space="preserve">Terrence (Terry) G. Hammons, Jr. </w:t>
      </w:r>
      <w:r>
        <w:rPr>
          <w:rFonts w:ascii="Arial" w:cs="Arial" w:eastAsia="Arial" w:hAnsi="Arial"/>
          <w:sz w:val="14"/>
          <w:szCs w:val="14"/>
          <w:color w:val="auto"/>
        </w:rPr>
        <w:t>has served as our Senior Vice President, General Counsel and Secretary since November 2021. Prior to joining Sotera Health, he was the senior</w:t>
      </w:r>
      <w:r>
        <w:rPr>
          <w:rFonts w:ascii="Arial" w:cs="Arial" w:eastAsia="Arial" w:hAnsi="Arial"/>
          <w:sz w:val="14"/>
          <w:szCs w:val="14"/>
          <w:i w:val="1"/>
          <w:iCs w:val="1"/>
          <w:color w:val="auto"/>
        </w:rPr>
        <w:t xml:space="preserve"> </w:t>
      </w:r>
      <w:r>
        <w:rPr>
          <w:rFonts w:ascii="Arial" w:cs="Arial" w:eastAsia="Arial" w:hAnsi="Arial"/>
          <w:sz w:val="14"/>
          <w:szCs w:val="14"/>
          <w:color w:val="auto"/>
        </w:rPr>
        <w:t>vice president, general counsel and corporate secretary of Simpson Manufacturing Company Inc., a design, engineering and building materials producer, since 2019. Prior to his role at Simpson, Mr. Hammons was vice president, deputy general counsel, corporate, chief regional counsel and assistant secretary at Albemarle Corporation. Mr. Hammons holds a B.A. in English from the College of William &amp; Mary, and a J.D from the Georgetown University Law Center.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95"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The information required by this item is incorporated by reference to the information that will be included in our Definitive Proxy Statement for the 2022 Annual Meeting of Stockholders, which will be filed with the SEC within 120 days after the fiscal year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95"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The information required by this item is incorporated by reference to the information that will be included in our Definitive Proxy Statement for the 2022 Annual Meeting of Stockholders, which will be filed with the SEC within 120 days after the fiscal year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95"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The information required by this item is incorporated by reference to the information that will be included in our Definitive Proxy Statement for the 2022 Annual Meeting of Stockholders, which will be filed with the SEC within 120 days after the fiscal year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95"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The information required by this item is incorporated by reference to the information that will be included in our Definitive Proxy Statement for the 2022 Annual Meeting of Stockholders, which will be filed with the SEC within 120 days after the fiscal year ended December 31, 2021.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3" w:name="page124"/>
    <w:bookmarkEnd w:id="123"/>
    <w:p>
      <w:pPr>
        <w:ind w:left="7"/>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Part IV</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89" w:lineRule="exact"/>
        <w:rPr>
          <w:sz w:val="20"/>
          <w:szCs w:val="20"/>
          <w:color w:val="auto"/>
        </w:rPr>
      </w:pPr>
    </w:p>
    <w:p>
      <w:pPr>
        <w:ind w:left="267" w:hanging="267"/>
        <w:spacing w:after="0"/>
        <w:tabs>
          <w:tab w:leader="none" w:pos="26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with Report</w:t>
      </w:r>
    </w:p>
    <w:p>
      <w:pPr>
        <w:spacing w:after="0" w:line="95" w:lineRule="exact"/>
        <w:rPr>
          <w:rFonts w:ascii="Arial" w:cs="Arial" w:eastAsia="Arial" w:hAnsi="Arial"/>
          <w:sz w:val="16"/>
          <w:szCs w:val="16"/>
          <w:b w:val="1"/>
          <w:bCs w:val="1"/>
          <w:color w:val="auto"/>
        </w:rPr>
      </w:pPr>
    </w:p>
    <w:p>
      <w:pPr>
        <w:ind w:left="827" w:hanging="267"/>
        <w:spacing w:after="0"/>
        <w:tabs>
          <w:tab w:leader="none" w:pos="827"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55" w:lineRule="exact"/>
        <w:rPr>
          <w:rFonts w:ascii="Arial" w:cs="Arial" w:eastAsia="Arial" w:hAnsi="Arial"/>
          <w:sz w:val="16"/>
          <w:szCs w:val="16"/>
          <w:b w:val="1"/>
          <w:bCs w:val="1"/>
          <w:color w:val="auto"/>
        </w:rPr>
      </w:pPr>
    </w:p>
    <w:p>
      <w:pPr>
        <w:ind w:left="847"/>
        <w:spacing w:after="0"/>
        <w:rPr>
          <w:rFonts w:ascii="Arial" w:cs="Arial" w:eastAsia="Arial" w:hAnsi="Arial"/>
          <w:sz w:val="16"/>
          <w:szCs w:val="16"/>
          <w:b w:val="1"/>
          <w:bCs w:val="1"/>
          <w:color w:val="auto"/>
        </w:rPr>
      </w:pPr>
      <w:r>
        <w:rPr>
          <w:rFonts w:ascii="Arial" w:cs="Arial" w:eastAsia="Arial" w:hAnsi="Arial"/>
          <w:sz w:val="14"/>
          <w:szCs w:val="14"/>
          <w:color w:val="auto"/>
        </w:rPr>
        <w:t>The consolidated financial statements are filed as part of this Annual Report on Form 10-K under Item 8, “Financial Statements and Supplementary Data</w:t>
      </w:r>
    </w:p>
    <w:p>
      <w:pPr>
        <w:spacing w:after="0" w:line="112" w:lineRule="exact"/>
        <w:rPr>
          <w:rFonts w:ascii="Arial" w:cs="Arial" w:eastAsia="Arial" w:hAnsi="Arial"/>
          <w:sz w:val="16"/>
          <w:szCs w:val="16"/>
          <w:b w:val="1"/>
          <w:bCs w:val="1"/>
          <w:color w:val="auto"/>
        </w:rPr>
      </w:pPr>
    </w:p>
    <w:p>
      <w:pPr>
        <w:ind w:left="827" w:hanging="267"/>
        <w:spacing w:after="0"/>
        <w:tabs>
          <w:tab w:leader="none" w:pos="827"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55" w:lineRule="exact"/>
        <w:rPr>
          <w:rFonts w:ascii="Arial" w:cs="Arial" w:eastAsia="Arial" w:hAnsi="Arial"/>
          <w:sz w:val="16"/>
          <w:szCs w:val="16"/>
          <w:b w:val="1"/>
          <w:bCs w:val="1"/>
          <w:color w:val="auto"/>
        </w:rPr>
      </w:pPr>
    </w:p>
    <w:p>
      <w:pPr>
        <w:ind w:left="847"/>
        <w:spacing w:after="0"/>
        <w:rPr>
          <w:rFonts w:ascii="Arial" w:cs="Arial" w:eastAsia="Arial" w:hAnsi="Arial"/>
          <w:sz w:val="16"/>
          <w:szCs w:val="16"/>
          <w:b w:val="1"/>
          <w:bCs w:val="1"/>
          <w:color w:val="auto"/>
        </w:rPr>
      </w:pPr>
      <w:r>
        <w:rPr>
          <w:rFonts w:ascii="Arial" w:cs="Arial" w:eastAsia="Arial" w:hAnsi="Arial"/>
          <w:sz w:val="16"/>
          <w:szCs w:val="16"/>
          <w:color w:val="auto"/>
        </w:rPr>
        <w:t>Schedule II - Valuation and Qualifying Accounts for the years ended December 31, 2021, 2020 and 2019</w:t>
      </w:r>
    </w:p>
    <w:p>
      <w:pPr>
        <w:spacing w:after="0" w:line="89" w:lineRule="exact"/>
        <w:rPr>
          <w:rFonts w:ascii="Arial" w:cs="Arial" w:eastAsia="Arial" w:hAnsi="Arial"/>
          <w:sz w:val="16"/>
          <w:szCs w:val="16"/>
          <w:b w:val="1"/>
          <w:bCs w:val="1"/>
          <w:color w:val="auto"/>
        </w:rPr>
      </w:pPr>
    </w:p>
    <w:p>
      <w:pPr>
        <w:ind w:left="827" w:hanging="267"/>
        <w:spacing w:after="0"/>
        <w:tabs>
          <w:tab w:leader="none" w:pos="827"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55" w:lineRule="exact"/>
        <w:rPr>
          <w:rFonts w:ascii="Arial" w:cs="Arial" w:eastAsia="Arial" w:hAnsi="Arial"/>
          <w:sz w:val="16"/>
          <w:szCs w:val="16"/>
          <w:b w:val="1"/>
          <w:bCs w:val="1"/>
          <w:color w:val="auto"/>
        </w:rPr>
      </w:pPr>
    </w:p>
    <w:p>
      <w:pPr>
        <w:ind w:left="847"/>
        <w:spacing w:after="0"/>
        <w:rPr>
          <w:rFonts w:ascii="Arial" w:cs="Arial" w:eastAsia="Arial" w:hAnsi="Arial"/>
          <w:sz w:val="16"/>
          <w:szCs w:val="16"/>
          <w:b w:val="1"/>
          <w:bCs w:val="1"/>
          <w:color w:val="auto"/>
        </w:rPr>
      </w:pPr>
      <w:r>
        <w:rPr>
          <w:rFonts w:ascii="Arial" w:cs="Arial" w:eastAsia="Arial" w:hAnsi="Arial"/>
          <w:sz w:val="14"/>
          <w:szCs w:val="14"/>
          <w:color w:val="auto"/>
        </w:rPr>
        <w:t>The exhibits listed in the following Exhibit Index are filed, furnished, or incorporated by reference as part of this Annual Report on Form 10-K.</w:t>
      </w:r>
    </w:p>
    <w:p>
      <w:pPr>
        <w:spacing w:after="0" w:line="241" w:lineRule="exact"/>
        <w:rPr>
          <w:sz w:val="20"/>
          <w:szCs w:val="20"/>
          <w:color w:val="auto"/>
        </w:rPr>
      </w:pPr>
    </w:p>
    <w:p>
      <w:pPr>
        <w:ind w:left="8227"/>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4499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49955" cy="7620"/>
                    </a:xfrm>
                    <a:prstGeom prst="rect">
                      <a:avLst/>
                    </a:prstGeom>
                    <a:noFill/>
                  </pic:spPr>
                </pic:pic>
              </a:graphicData>
            </a:graphic>
          </wp:anchor>
        </w:drawing>
      </w:r>
    </w:p>
    <w:p>
      <w:pPr>
        <w:sectPr>
          <w:pgSz w:w="11900" w:h="16838" w:orient="portrait"/>
          <w:cols w:equalWidth="0" w:num="1">
            <w:col w:w="11267"/>
          </w:cols>
          <w:pgMar w:left="313" w:top="135" w:right="319" w:bottom="1440" w:gutter="0" w:footer="0" w:header="0"/>
        </w:sectPr>
      </w:pP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7"/>
                <w:szCs w:val="17"/>
                <w:color w:val="auto"/>
              </w:rPr>
            </w:pPr>
          </w:p>
        </w:tc>
        <w:tc>
          <w:tcPr>
            <w:tcW w:w="3940" w:type="dxa"/>
            <w:vAlign w:val="bottom"/>
            <w:gridSpan w:val="21"/>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155"/>
        </w:trPr>
        <w:tc>
          <w:tcPr>
            <w:tcW w:w="130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940" w:type="dxa"/>
            <w:vAlign w:val="bottom"/>
            <w:tcBorders>
              <w:top w:val="single" w:sz="8" w:color="auto"/>
            </w:tcBorders>
            <w:gridSpan w:val="21"/>
          </w:tcPr>
          <w:p>
            <w:pPr>
              <w:spacing w:after="0" w:line="155" w:lineRule="exact"/>
              <w:rPr>
                <w:rFonts w:ascii="Arial" w:cs="Arial" w:eastAsia="Arial" w:hAnsi="Arial"/>
                <w:sz w:val="16"/>
                <w:szCs w:val="16"/>
                <w:color w:val="0000FF"/>
                <w:w w:val="96"/>
              </w:rPr>
            </w:pPr>
            <w:hyperlink r:id="rId169">
              <w:r>
                <w:rPr>
                  <w:rFonts w:ascii="Arial" w:cs="Arial" w:eastAsia="Arial" w:hAnsi="Arial"/>
                  <w:sz w:val="16"/>
                  <w:szCs w:val="16"/>
                  <w:color w:val="0000FF"/>
                  <w:w w:val="96"/>
                </w:rPr>
                <w:t>Amended and Restated Certificate of Incorporation of the</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80" w:type="dxa"/>
            <w:vAlign w:val="bottom"/>
            <w:tcBorders>
              <w:top w:val="single" w:sz="8" w:color="0000FF"/>
            </w:tcBorders>
            <w:gridSpan w:val="13"/>
          </w:tcPr>
          <w:p>
            <w:pPr>
              <w:spacing w:after="0" w:line="132" w:lineRule="exact"/>
              <w:rPr>
                <w:rFonts w:ascii="Arial" w:cs="Arial" w:eastAsia="Arial" w:hAnsi="Arial"/>
                <w:sz w:val="14"/>
                <w:szCs w:val="14"/>
                <w:color w:val="0000FF"/>
              </w:rPr>
            </w:pPr>
            <w:hyperlink r:id="rId169">
              <w:r>
                <w:rPr>
                  <w:rFonts w:ascii="Arial" w:cs="Arial" w:eastAsia="Arial" w:hAnsi="Arial"/>
                  <w:sz w:val="14"/>
                  <w:szCs w:val="14"/>
                  <w:color w:val="0000FF"/>
                </w:rPr>
                <w:t>Registrant</w:t>
              </w:r>
            </w:hyperlink>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rPr>
            </w:pPr>
            <w:hyperlink r:id="rId170">
              <w:r>
                <w:rPr>
                  <w:rFonts w:ascii="Arial" w:cs="Arial" w:eastAsia="Arial" w:hAnsi="Arial"/>
                  <w:sz w:val="16"/>
                  <w:szCs w:val="16"/>
                  <w:color w:val="0000FF"/>
                </w:rPr>
                <w:t>Amended and Restated Bylaws of the Registrant</w:t>
              </w:r>
            </w:hyperlink>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4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88"/>
              </w:rPr>
            </w:pPr>
            <w:hyperlink r:id="rId171">
              <w:r>
                <w:rPr>
                  <w:rFonts w:ascii="Arial" w:cs="Arial" w:eastAsia="Arial" w:hAnsi="Arial"/>
                  <w:sz w:val="16"/>
                  <w:szCs w:val="16"/>
                  <w:color w:val="0000FF"/>
                  <w:w w:val="88"/>
                </w:rPr>
                <w:t>Description of our Common Stock</w:t>
              </w:r>
            </w:hyperlink>
          </w:p>
        </w:tc>
        <w:tc>
          <w:tcPr>
            <w:tcW w:w="860" w:type="dxa"/>
            <w:vAlign w:val="bottom"/>
            <w:tcBorders>
              <w:top w:val="single" w:sz="8" w:color="0000FF"/>
            </w:tcBorders>
            <w:gridSpan w:val="3"/>
          </w:tcPr>
          <w:p>
            <w:pPr>
              <w:spacing w:after="0"/>
              <w:rPr>
                <w:sz w:val="23"/>
                <w:szCs w:val="23"/>
                <w:color w:val="auto"/>
              </w:rPr>
            </w:pPr>
          </w:p>
        </w:tc>
        <w:tc>
          <w:tcPr>
            <w:tcW w:w="940" w:type="dxa"/>
            <w:vAlign w:val="bottom"/>
            <w:gridSpan w:val="14"/>
          </w:tcPr>
          <w:p>
            <w:pPr>
              <w:spacing w:after="0"/>
              <w:rPr>
                <w:sz w:val="23"/>
                <w:szCs w:val="23"/>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0" w:type="dxa"/>
            <w:vAlign w:val="bottom"/>
            <w:tcBorders>
              <w:bottom w:val="single" w:sz="8" w:color="0000FF"/>
            </w:tcBorders>
            <w:gridSpan w:val="10"/>
          </w:tcPr>
          <w:p>
            <w:pPr>
              <w:spacing w:after="0"/>
              <w:rPr>
                <w:rFonts w:ascii="Arial" w:cs="Arial" w:eastAsia="Arial" w:hAnsi="Arial"/>
                <w:sz w:val="16"/>
                <w:szCs w:val="16"/>
                <w:color w:val="0000FF"/>
                <w:w w:val="86"/>
              </w:rPr>
            </w:pPr>
            <w:hyperlink r:id="rId172">
              <w:r>
                <w:rPr>
                  <w:rFonts w:ascii="Arial" w:cs="Arial" w:eastAsia="Arial" w:hAnsi="Arial"/>
                  <w:sz w:val="16"/>
                  <w:szCs w:val="16"/>
                  <w:color w:val="0000FF"/>
                  <w:w w:val="86"/>
                </w:rPr>
                <w:t>Amended and Restated Registration Rights Agreement</w:t>
              </w:r>
            </w:hyperlink>
          </w:p>
        </w:tc>
        <w:tc>
          <w:tcPr>
            <w:tcW w:w="540" w:type="dxa"/>
            <w:vAlign w:val="bottom"/>
            <w:gridSpan w:val="11"/>
          </w:tcPr>
          <w:p>
            <w:pPr>
              <w:spacing w:after="0"/>
              <w:rPr>
                <w:sz w:val="23"/>
                <w:szCs w:val="23"/>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rPr>
            </w:pPr>
            <w:hyperlink r:id="rId173">
              <w:r>
                <w:rPr>
                  <w:rFonts w:ascii="Arial" w:cs="Arial" w:eastAsia="Arial" w:hAnsi="Arial"/>
                  <w:sz w:val="16"/>
                  <w:szCs w:val="16"/>
                  <w:color w:val="0000FF"/>
                </w:rPr>
                <w:t>Employment Agreement by and between Sotera Health</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40" w:type="dxa"/>
            <w:vAlign w:val="bottom"/>
            <w:gridSpan w:val="21"/>
          </w:tcPr>
          <w:p>
            <w:pPr>
              <w:spacing w:after="0" w:line="132" w:lineRule="exact"/>
              <w:rPr>
                <w:rFonts w:ascii="Arial" w:cs="Arial" w:eastAsia="Arial" w:hAnsi="Arial"/>
                <w:sz w:val="14"/>
                <w:szCs w:val="14"/>
                <w:color w:val="0000FF"/>
                <w:w w:val="99"/>
              </w:rPr>
            </w:pPr>
            <w:hyperlink r:id="rId173">
              <w:r>
                <w:rPr>
                  <w:rFonts w:ascii="Arial" w:cs="Arial" w:eastAsia="Arial" w:hAnsi="Arial"/>
                  <w:sz w:val="14"/>
                  <w:szCs w:val="14"/>
                  <w:color w:val="0000FF"/>
                  <w:w w:val="99"/>
                </w:rPr>
                <w:t>Company and Michael B. Petras, Jr., dated as of November 10,</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32" w:lineRule="exact"/>
              <w:rPr>
                <w:rFonts w:ascii="Arial" w:cs="Arial" w:eastAsia="Arial" w:hAnsi="Arial"/>
                <w:sz w:val="14"/>
                <w:szCs w:val="14"/>
                <w:color w:val="0000FF"/>
                <w:w w:val="89"/>
              </w:rPr>
            </w:pPr>
            <w:hyperlink r:id="rId173">
              <w:r>
                <w:rPr>
                  <w:rFonts w:ascii="Arial" w:cs="Arial" w:eastAsia="Arial" w:hAnsi="Arial"/>
                  <w:sz w:val="14"/>
                  <w:szCs w:val="14"/>
                  <w:color w:val="0000FF"/>
                  <w:w w:val="89"/>
                </w:rPr>
                <w:t>2020</w:t>
              </w:r>
            </w:hyperlink>
          </w:p>
        </w:tc>
        <w:tc>
          <w:tcPr>
            <w:tcW w:w="32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rPr>
            </w:pPr>
            <w:hyperlink r:id="rId174">
              <w:r>
                <w:rPr>
                  <w:rFonts w:ascii="Arial" w:cs="Arial" w:eastAsia="Arial" w:hAnsi="Arial"/>
                  <w:sz w:val="16"/>
                  <w:szCs w:val="16"/>
                  <w:color w:val="0000FF"/>
                </w:rPr>
                <w:t>Employment Agreement by and between Sotera Health</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40" w:type="dxa"/>
            <w:vAlign w:val="bottom"/>
            <w:tcBorders>
              <w:bottom w:val="single" w:sz="8" w:color="0000FF"/>
            </w:tcBorders>
            <w:gridSpan w:val="18"/>
          </w:tcPr>
          <w:p>
            <w:pPr>
              <w:spacing w:after="0" w:line="132" w:lineRule="exact"/>
              <w:rPr>
                <w:rFonts w:ascii="Arial" w:cs="Arial" w:eastAsia="Arial" w:hAnsi="Arial"/>
                <w:sz w:val="14"/>
                <w:szCs w:val="14"/>
                <w:color w:val="0000FF"/>
                <w:w w:val="99"/>
              </w:rPr>
            </w:pPr>
            <w:hyperlink r:id="rId174">
              <w:r>
                <w:rPr>
                  <w:rFonts w:ascii="Arial" w:cs="Arial" w:eastAsia="Arial" w:hAnsi="Arial"/>
                  <w:sz w:val="14"/>
                  <w:szCs w:val="14"/>
                  <w:color w:val="0000FF"/>
                  <w:w w:val="99"/>
                </w:rPr>
                <w:t>Company and Scott J. Leffler, dated as of November 10, 2020</w:t>
              </w:r>
            </w:hyperlink>
          </w:p>
        </w:tc>
        <w:tc>
          <w:tcPr>
            <w:tcW w:w="100" w:type="dxa"/>
            <w:vAlign w:val="bottom"/>
            <w:gridSpan w:val="3"/>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w w:val="91"/>
              </w:rPr>
            </w:pPr>
            <w:hyperlink w:anchor="page130">
              <w:r>
                <w:rPr>
                  <w:rFonts w:ascii="Arial" w:cs="Arial" w:eastAsia="Arial" w:hAnsi="Arial"/>
                  <w:sz w:val="16"/>
                  <w:szCs w:val="16"/>
                  <w:color w:val="0000FF"/>
                  <w:w w:val="91"/>
                </w:rPr>
                <w:t>Executed Employment Offer by Sotera Health Company and</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12"/>
          </w:tcPr>
          <w:p>
            <w:pPr>
              <w:spacing w:after="0" w:line="132" w:lineRule="exact"/>
              <w:rPr>
                <w:rFonts w:ascii="Arial" w:cs="Arial" w:eastAsia="Arial" w:hAnsi="Arial"/>
                <w:sz w:val="14"/>
                <w:szCs w:val="14"/>
                <w:color w:val="0000FF"/>
                <w:w w:val="98"/>
              </w:rPr>
            </w:pPr>
            <w:hyperlink w:anchor="page130">
              <w:r>
                <w:rPr>
                  <w:rFonts w:ascii="Arial" w:cs="Arial" w:eastAsia="Arial" w:hAnsi="Arial"/>
                  <w:sz w:val="14"/>
                  <w:szCs w:val="14"/>
                  <w:color w:val="0000FF"/>
                  <w:w w:val="98"/>
                </w:rPr>
                <w:t>Terrence G. Hammons, Jr., dated as of August 20, 2021</w:t>
              </w:r>
            </w:hyperlink>
          </w:p>
        </w:tc>
        <w:tc>
          <w:tcPr>
            <w:tcW w:w="320" w:type="dxa"/>
            <w:vAlign w:val="bottom"/>
            <w:tcBorders>
              <w:top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tcBorders>
              <w:bottom w:val="single" w:sz="8" w:color="0000FF"/>
            </w:tcBorders>
            <w:gridSpan w:val="15"/>
          </w:tcPr>
          <w:p>
            <w:pPr>
              <w:spacing w:after="0"/>
              <w:rPr>
                <w:rFonts w:ascii="Arial" w:cs="Arial" w:eastAsia="Arial" w:hAnsi="Arial"/>
                <w:sz w:val="16"/>
                <w:szCs w:val="16"/>
                <w:color w:val="0000FF"/>
                <w:w w:val="86"/>
              </w:rPr>
            </w:pPr>
            <w:hyperlink w:anchor="page133">
              <w:r>
                <w:rPr>
                  <w:rFonts w:ascii="Arial" w:cs="Arial" w:eastAsia="Arial" w:hAnsi="Arial"/>
                  <w:sz w:val="16"/>
                  <w:szCs w:val="16"/>
                  <w:color w:val="0000FF"/>
                  <w:w w:val="86"/>
                </w:rPr>
                <w:t>Executed Restrictive Covenants Agreement by and between</w:t>
              </w:r>
            </w:hyperlink>
          </w:p>
        </w:tc>
        <w:tc>
          <w:tcPr>
            <w:tcW w:w="220" w:type="dxa"/>
            <w:vAlign w:val="bottom"/>
            <w:gridSpan w:val="6"/>
          </w:tcPr>
          <w:p>
            <w:pPr>
              <w:spacing w:after="0"/>
              <w:rPr>
                <w:sz w:val="23"/>
                <w:szCs w:val="23"/>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40" w:type="dxa"/>
            <w:vAlign w:val="bottom"/>
            <w:gridSpan w:val="21"/>
          </w:tcPr>
          <w:p>
            <w:pPr>
              <w:spacing w:after="0" w:line="132" w:lineRule="exact"/>
              <w:rPr>
                <w:rFonts w:ascii="Arial" w:cs="Arial" w:eastAsia="Arial" w:hAnsi="Arial"/>
                <w:sz w:val="14"/>
                <w:szCs w:val="14"/>
                <w:color w:val="0000FF"/>
              </w:rPr>
            </w:pPr>
            <w:hyperlink w:anchor="page133">
              <w:r>
                <w:rPr>
                  <w:rFonts w:ascii="Arial" w:cs="Arial" w:eastAsia="Arial" w:hAnsi="Arial"/>
                  <w:sz w:val="14"/>
                  <w:szCs w:val="14"/>
                  <w:color w:val="0000FF"/>
                </w:rPr>
                <w:t>Sotera Health Company and Terrence G. Hammons, Jr., dated</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tcBorders>
              <w:top w:val="single" w:sz="8" w:color="0000FF"/>
            </w:tcBorders>
            <w:gridSpan w:val="17"/>
          </w:tcPr>
          <w:p>
            <w:pPr>
              <w:spacing w:after="0" w:line="132" w:lineRule="exact"/>
              <w:rPr>
                <w:rFonts w:ascii="Arial" w:cs="Arial" w:eastAsia="Arial" w:hAnsi="Arial"/>
                <w:sz w:val="14"/>
                <w:szCs w:val="14"/>
                <w:color w:val="0000FF"/>
              </w:rPr>
            </w:pPr>
            <w:hyperlink w:anchor="page133">
              <w:r>
                <w:rPr>
                  <w:rFonts w:ascii="Arial" w:cs="Arial" w:eastAsia="Arial" w:hAnsi="Arial"/>
                  <w:sz w:val="14"/>
                  <w:szCs w:val="14"/>
                  <w:color w:val="0000FF"/>
                </w:rPr>
                <w:t>as of November 1, 2021</w:t>
              </w:r>
            </w:hyperlink>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w w:val="95"/>
              </w:rPr>
            </w:pPr>
            <w:hyperlink r:id="rId175">
              <w:r>
                <w:rPr>
                  <w:rFonts w:ascii="Arial" w:cs="Arial" w:eastAsia="Arial" w:hAnsi="Arial"/>
                  <w:sz w:val="16"/>
                  <w:szCs w:val="16"/>
                  <w:color w:val="0000FF"/>
                  <w:w w:val="95"/>
                </w:rPr>
                <w:t>Sotera Health Company Supplemental Retirement Benefit</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tcBorders>
              <w:top w:val="single" w:sz="8" w:color="0000FF"/>
            </w:tcBorders>
            <w:gridSpan w:val="14"/>
          </w:tcPr>
          <w:p>
            <w:pPr>
              <w:spacing w:after="0" w:line="132" w:lineRule="exact"/>
              <w:rPr>
                <w:rFonts w:ascii="Arial" w:cs="Arial" w:eastAsia="Arial" w:hAnsi="Arial"/>
                <w:sz w:val="14"/>
                <w:szCs w:val="14"/>
                <w:color w:val="0000FF"/>
              </w:rPr>
            </w:pPr>
            <w:hyperlink r:id="rId175">
              <w:r>
                <w:rPr>
                  <w:rFonts w:ascii="Arial" w:cs="Arial" w:eastAsia="Arial" w:hAnsi="Arial"/>
                  <w:sz w:val="14"/>
                  <w:szCs w:val="14"/>
                  <w:color w:val="0000FF"/>
                </w:rPr>
                <w:t>Plan, effective as of January 1, 2018</w:t>
              </w:r>
            </w:hyperlink>
          </w:p>
        </w:tc>
        <w:tc>
          <w:tcPr>
            <w:tcW w:w="3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rPr>
            </w:pPr>
            <w:hyperlink r:id="rId176">
              <w:r>
                <w:rPr>
                  <w:rFonts w:ascii="Arial" w:cs="Arial" w:eastAsia="Arial" w:hAnsi="Arial"/>
                  <w:sz w:val="16"/>
                  <w:szCs w:val="16"/>
                  <w:color w:val="0000FF"/>
                </w:rPr>
                <w:t>Sotera Health Company 2020 Omnibus Incentive Plan</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w w:val="88"/>
              </w:rPr>
            </w:pPr>
            <w:hyperlink r:id="rId177">
              <w:r>
                <w:rPr>
                  <w:rFonts w:ascii="Arial" w:cs="Arial" w:eastAsia="Arial" w:hAnsi="Arial"/>
                  <w:sz w:val="16"/>
                  <w:szCs w:val="16"/>
                  <w:color w:val="0000FF"/>
                  <w:w w:val="88"/>
                </w:rPr>
                <w:t>Form of Sotera Health Company 2020 Omnibus Incentive Plan</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20" w:type="dxa"/>
            <w:vAlign w:val="bottom"/>
            <w:tcBorders>
              <w:top w:val="single" w:sz="8" w:color="0000FF"/>
            </w:tcBorders>
            <w:gridSpan w:val="20"/>
          </w:tcPr>
          <w:p>
            <w:pPr>
              <w:spacing w:after="0" w:line="132" w:lineRule="exact"/>
              <w:rPr>
                <w:rFonts w:ascii="Arial" w:cs="Arial" w:eastAsia="Arial" w:hAnsi="Arial"/>
                <w:sz w:val="14"/>
                <w:szCs w:val="14"/>
                <w:color w:val="0000FF"/>
              </w:rPr>
            </w:pPr>
            <w:hyperlink r:id="rId177">
              <w:r>
                <w:rPr>
                  <w:rFonts w:ascii="Arial" w:cs="Arial" w:eastAsia="Arial" w:hAnsi="Arial"/>
                  <w:sz w:val="14"/>
                  <w:szCs w:val="14"/>
                  <w:color w:val="0000FF"/>
                </w:rPr>
                <w:t>Restricted Stock Unit Grant Notice and Agreement</w:t>
              </w:r>
            </w:hyperlink>
          </w:p>
        </w:tc>
        <w:tc>
          <w:tcPr>
            <w:tcW w:w="20" w:type="dxa"/>
            <w:vAlign w:val="bottom"/>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40" w:type="dxa"/>
            <w:vAlign w:val="bottom"/>
            <w:gridSpan w:val="21"/>
          </w:tcPr>
          <w:p>
            <w:pPr>
              <w:spacing w:after="0"/>
              <w:rPr>
                <w:rFonts w:ascii="Arial" w:cs="Arial" w:eastAsia="Arial" w:hAnsi="Arial"/>
                <w:sz w:val="16"/>
                <w:szCs w:val="16"/>
                <w:color w:val="0000FF"/>
                <w:w w:val="88"/>
              </w:rPr>
            </w:pPr>
            <w:hyperlink r:id="rId178">
              <w:r>
                <w:rPr>
                  <w:rFonts w:ascii="Arial" w:cs="Arial" w:eastAsia="Arial" w:hAnsi="Arial"/>
                  <w:sz w:val="16"/>
                  <w:szCs w:val="16"/>
                  <w:color w:val="0000FF"/>
                  <w:w w:val="88"/>
                </w:rPr>
                <w:t>Form of Sotera Health Company 2020 Omnibus Incentive Plan</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20" w:type="dxa"/>
            <w:vAlign w:val="bottom"/>
            <w:tcBorders>
              <w:top w:val="single" w:sz="8" w:color="0000FF"/>
            </w:tcBorders>
            <w:gridSpan w:val="20"/>
          </w:tcPr>
          <w:p>
            <w:pPr>
              <w:spacing w:after="0" w:line="132" w:lineRule="exact"/>
              <w:rPr>
                <w:rFonts w:ascii="Arial" w:cs="Arial" w:eastAsia="Arial" w:hAnsi="Arial"/>
                <w:sz w:val="14"/>
                <w:szCs w:val="14"/>
                <w:color w:val="0000FF"/>
              </w:rPr>
            </w:pPr>
            <w:hyperlink r:id="rId178">
              <w:r>
                <w:rPr>
                  <w:rFonts w:ascii="Arial" w:cs="Arial" w:eastAsia="Arial" w:hAnsi="Arial"/>
                  <w:sz w:val="14"/>
                  <w:szCs w:val="14"/>
                  <w:color w:val="0000FF"/>
                </w:rPr>
                <w:t>Stock Option Grant Notice and Agreement</w:t>
              </w:r>
            </w:hyperlink>
          </w:p>
        </w:tc>
        <w:tc>
          <w:tcPr>
            <w:tcW w:w="20" w:type="dxa"/>
            <w:vAlign w:val="bottom"/>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2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w w:val="88"/>
              </w:rPr>
              <w:t>Filed/Furnished</w:t>
            </w:r>
          </w:p>
        </w:tc>
        <w:tc>
          <w:tcPr>
            <w:tcW w:w="160" w:type="dxa"/>
            <w:vAlign w:val="bottom"/>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1220" w:type="dxa"/>
            <w:vAlign w:val="bottom"/>
            <w:tcBorders>
              <w:top w:val="single" w:sz="8" w:color="auto"/>
            </w:tcBorders>
            <w:vMerge w:val="restart"/>
          </w:tcPr>
          <w:p>
            <w:pPr>
              <w:ind w:left="380"/>
              <w:spacing w:after="0"/>
              <w:rPr>
                <w:sz w:val="20"/>
                <w:szCs w:val="20"/>
                <w:color w:val="auto"/>
              </w:rPr>
            </w:pPr>
            <w:r>
              <w:rPr>
                <w:rFonts w:ascii="Arial" w:cs="Arial" w:eastAsia="Arial" w:hAnsi="Arial"/>
                <w:sz w:val="16"/>
                <w:szCs w:val="16"/>
                <w:b w:val="1"/>
                <w:bCs w:val="1"/>
                <w:color w:val="auto"/>
              </w:rPr>
              <w:t>File No.</w:t>
            </w:r>
          </w:p>
        </w:tc>
        <w:tc>
          <w:tcPr>
            <w:tcW w:w="960" w:type="dxa"/>
            <w:vAlign w:val="bottom"/>
            <w:tcBorders>
              <w:top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Exhibit</w:t>
            </w:r>
          </w:p>
        </w:tc>
        <w:tc>
          <w:tcPr>
            <w:tcW w:w="126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98"/>
        </w:trPr>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Herewith</w:t>
            </w:r>
          </w:p>
        </w:tc>
        <w:tc>
          <w:tcPr>
            <w:tcW w:w="8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10-K</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001-39729</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126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2021-03-09</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60" w:type="dxa"/>
            <w:vAlign w:val="bottom"/>
          </w:tcPr>
          <w:p>
            <w:pPr>
              <w:ind w:left="240"/>
              <w:spacing w:after="0"/>
              <w:rPr>
                <w:sz w:val="20"/>
                <w:szCs w:val="20"/>
                <w:color w:val="auto"/>
              </w:rPr>
            </w:pPr>
            <w:r>
              <w:rPr>
                <w:rFonts w:ascii="Arial" w:cs="Arial" w:eastAsia="Arial" w:hAnsi="Arial"/>
                <w:sz w:val="16"/>
                <w:szCs w:val="16"/>
                <w:color w:val="auto"/>
              </w:rPr>
              <w:t>2021-03-09</w:t>
            </w: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60" w:type="dxa"/>
            <w:vAlign w:val="bottom"/>
          </w:tcPr>
          <w:p>
            <w:pPr>
              <w:ind w:left="240"/>
              <w:spacing w:after="0"/>
              <w:rPr>
                <w:sz w:val="20"/>
                <w:szCs w:val="20"/>
                <w:color w:val="auto"/>
              </w:rPr>
            </w:pPr>
            <w:r>
              <w:rPr>
                <w:rFonts w:ascii="Arial" w:cs="Arial" w:eastAsia="Arial" w:hAnsi="Arial"/>
                <w:sz w:val="16"/>
                <w:szCs w:val="16"/>
                <w:color w:val="auto"/>
              </w:rPr>
              <w:t>2021-03-09</w:t>
            </w: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60" w:type="dxa"/>
            <w:vAlign w:val="bottom"/>
          </w:tcPr>
          <w:p>
            <w:pPr>
              <w:ind w:left="240"/>
              <w:spacing w:after="0"/>
              <w:rPr>
                <w:sz w:val="20"/>
                <w:szCs w:val="20"/>
                <w:color w:val="auto"/>
              </w:rPr>
            </w:pPr>
            <w:r>
              <w:rPr>
                <w:rFonts w:ascii="Arial" w:cs="Arial" w:eastAsia="Arial" w:hAnsi="Arial"/>
                <w:sz w:val="16"/>
                <w:szCs w:val="16"/>
                <w:color w:val="auto"/>
              </w:rPr>
              <w:t>2021-03-09</w:t>
            </w: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r>
        <w:trPr>
          <w:trHeight w:val="51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r>
        <w:trPr>
          <w:trHeight w:val="443"/>
        </w:trPr>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r>
        <w:trPr>
          <w:trHeight w:val="36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60" w:type="dxa"/>
            <w:vAlign w:val="bottom"/>
          </w:tcPr>
          <w:p>
            <w:pPr>
              <w:ind w:left="240"/>
              <w:spacing w:after="0"/>
              <w:rPr>
                <w:sz w:val="20"/>
                <w:szCs w:val="20"/>
                <w:color w:val="auto"/>
              </w:rPr>
            </w:pPr>
            <w:r>
              <w:rPr>
                <w:rFonts w:ascii="Arial" w:cs="Arial" w:eastAsia="Arial" w:hAnsi="Arial"/>
                <w:sz w:val="16"/>
                <w:szCs w:val="16"/>
                <w:color w:val="auto"/>
              </w:rPr>
              <w:t>2020-11-12</w:t>
            </w: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5427" w:space="160"/>
            <w:col w:w="5680"/>
          </w:cols>
          <w:pgMar w:left="313" w:top="135" w:right="31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76135"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35" w:right="319" w:bottom="1440" w:gutter="0" w:footer="0" w:header="0"/>
          <w:type w:val="continuous"/>
        </w:sectPr>
      </w:pPr>
    </w:p>
    <w:bookmarkStart w:id="124" w:name="page125"/>
    <w:bookmarkEnd w:id="12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618490</wp:posOffset>
            </wp:positionV>
            <wp:extent cx="34499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344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 No</w:t>
            </w:r>
          </w:p>
        </w:tc>
        <w:tc>
          <w:tcPr>
            <w:tcW w:w="4100" w:type="dxa"/>
            <w:vAlign w:val="bottom"/>
            <w:gridSpan w:val="29"/>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155"/>
        </w:trPr>
        <w:tc>
          <w:tcPr>
            <w:tcW w:w="130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10.9+</w:t>
            </w:r>
          </w:p>
        </w:tc>
        <w:tc>
          <w:tcPr>
            <w:tcW w:w="160" w:type="dxa"/>
            <w:vAlign w:val="bottom"/>
          </w:tcPr>
          <w:p>
            <w:pPr>
              <w:spacing w:after="0"/>
              <w:rPr>
                <w:sz w:val="13"/>
                <w:szCs w:val="13"/>
                <w:color w:val="auto"/>
              </w:rPr>
            </w:pPr>
          </w:p>
        </w:tc>
        <w:tc>
          <w:tcPr>
            <w:tcW w:w="4100" w:type="dxa"/>
            <w:vAlign w:val="bottom"/>
            <w:tcBorders>
              <w:top w:val="single" w:sz="8" w:color="auto"/>
            </w:tcBorders>
            <w:gridSpan w:val="29"/>
          </w:tcPr>
          <w:p>
            <w:pPr>
              <w:spacing w:after="0" w:line="155" w:lineRule="exact"/>
              <w:rPr>
                <w:rFonts w:ascii="Arial" w:cs="Arial" w:eastAsia="Arial" w:hAnsi="Arial"/>
                <w:sz w:val="16"/>
                <w:szCs w:val="16"/>
                <w:color w:val="0000FF"/>
                <w:w w:val="94"/>
              </w:rPr>
            </w:pPr>
            <w:hyperlink r:id="rId181">
              <w:r>
                <w:rPr>
                  <w:rFonts w:ascii="Arial" w:cs="Arial" w:eastAsia="Arial" w:hAnsi="Arial"/>
                  <w:sz w:val="16"/>
                  <w:szCs w:val="16"/>
                  <w:color w:val="0000FF"/>
                  <w:w w:val="94"/>
                </w:rPr>
                <w:t>Form of Indemnification Agreement entered into between the</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tcBorders>
              <w:top w:val="single" w:sz="8" w:color="0000FF"/>
            </w:tcBorders>
            <w:gridSpan w:val="16"/>
          </w:tcPr>
          <w:p>
            <w:pPr>
              <w:spacing w:after="0" w:line="132" w:lineRule="exact"/>
              <w:rPr>
                <w:rFonts w:ascii="Arial" w:cs="Arial" w:eastAsia="Arial" w:hAnsi="Arial"/>
                <w:sz w:val="14"/>
                <w:szCs w:val="14"/>
                <w:color w:val="0000FF"/>
              </w:rPr>
            </w:pPr>
            <w:hyperlink r:id="rId181">
              <w:r>
                <w:rPr>
                  <w:rFonts w:ascii="Arial" w:cs="Arial" w:eastAsia="Arial" w:hAnsi="Arial"/>
                  <w:sz w:val="14"/>
                  <w:szCs w:val="14"/>
                  <w:color w:val="0000FF"/>
                </w:rPr>
                <w:t>Registrant and each director and executive officer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23"/>
                <w:szCs w:val="23"/>
                <w:color w:val="auto"/>
              </w:rPr>
            </w:pPr>
          </w:p>
        </w:tc>
        <w:tc>
          <w:tcPr>
            <w:tcW w:w="16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88"/>
              </w:rPr>
            </w:pPr>
            <w:hyperlink r:id="rId182">
              <w:r>
                <w:rPr>
                  <w:rFonts w:ascii="Arial" w:cs="Arial" w:eastAsia="Arial" w:hAnsi="Arial"/>
                  <w:sz w:val="16"/>
                  <w:szCs w:val="16"/>
                  <w:color w:val="0000FF"/>
                  <w:w w:val="88"/>
                </w:rPr>
                <w:t>Stockholders’ Agreement</w:t>
              </w:r>
            </w:hyperlink>
          </w:p>
        </w:tc>
        <w:tc>
          <w:tcPr>
            <w:tcW w:w="1500" w:type="dxa"/>
            <w:vAlign w:val="bottom"/>
            <w:tcBorders>
              <w:top w:val="single" w:sz="8" w:color="0000FF"/>
            </w:tcBorders>
          </w:tcPr>
          <w:p>
            <w:pPr>
              <w:spacing w:after="0"/>
              <w:rPr>
                <w:sz w:val="23"/>
                <w:szCs w:val="23"/>
                <w:color w:val="auto"/>
              </w:rPr>
            </w:pPr>
          </w:p>
        </w:tc>
        <w:tc>
          <w:tcPr>
            <w:tcW w:w="1000" w:type="dxa"/>
            <w:vAlign w:val="bottom"/>
            <w:gridSpan w:val="22"/>
          </w:tcPr>
          <w:p>
            <w:pPr>
              <w:spacing w:after="0"/>
              <w:rPr>
                <w:sz w:val="23"/>
                <w:szCs w:val="23"/>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10.11</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2"/>
              </w:rPr>
            </w:pPr>
            <w:hyperlink r:id="rId183">
              <w:r>
                <w:rPr>
                  <w:rFonts w:ascii="Arial" w:cs="Arial" w:eastAsia="Arial" w:hAnsi="Arial"/>
                  <w:sz w:val="16"/>
                  <w:szCs w:val="16"/>
                  <w:color w:val="0000FF"/>
                  <w:w w:val="92"/>
                </w:rPr>
                <w:t>Credit Agreement, dated as of December 13, 2019, among the</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Borders>
              <w:top w:val="single" w:sz="8" w:color="0000FF"/>
            </w:tcBorders>
            <w:gridSpan w:val="22"/>
          </w:tcPr>
          <w:p>
            <w:pPr>
              <w:spacing w:after="0" w:line="132" w:lineRule="exact"/>
              <w:rPr>
                <w:rFonts w:ascii="Arial" w:cs="Arial" w:eastAsia="Arial" w:hAnsi="Arial"/>
                <w:sz w:val="14"/>
                <w:szCs w:val="14"/>
                <w:color w:val="0000FF"/>
              </w:rPr>
            </w:pPr>
            <w:hyperlink r:id="rId183">
              <w:r>
                <w:rPr>
                  <w:rFonts w:ascii="Arial" w:cs="Arial" w:eastAsia="Arial" w:hAnsi="Arial"/>
                  <w:sz w:val="14"/>
                  <w:szCs w:val="14"/>
                  <w:color w:val="0000FF"/>
                </w:rPr>
                <w:t>Registrant, Sotera Health Holdings, LLC, the lenders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Borders>
              <w:top w:val="single" w:sz="8" w:color="0000FF"/>
            </w:tcBorders>
            <w:gridSpan w:val="10"/>
          </w:tcPr>
          <w:p>
            <w:pPr>
              <w:spacing w:after="0" w:line="132" w:lineRule="exact"/>
              <w:rPr>
                <w:rFonts w:ascii="Arial" w:cs="Arial" w:eastAsia="Arial" w:hAnsi="Arial"/>
                <w:sz w:val="14"/>
                <w:szCs w:val="14"/>
                <w:color w:val="0000FF"/>
                <w:w w:val="99"/>
              </w:rPr>
            </w:pPr>
            <w:hyperlink r:id="rId183">
              <w:r>
                <w:rPr>
                  <w:rFonts w:ascii="Arial" w:cs="Arial" w:eastAsia="Arial" w:hAnsi="Arial"/>
                  <w:sz w:val="14"/>
                  <w:szCs w:val="14"/>
                  <w:color w:val="0000FF"/>
                  <w:w w:val="99"/>
                </w:rPr>
                <w:t>issuing banks party thereto and Jefferies Finance LLC, as</w:t>
              </w:r>
            </w:hyperlink>
          </w:p>
        </w:tc>
        <w:tc>
          <w:tcPr>
            <w:tcW w:w="40" w:type="dxa"/>
            <w:vAlign w:val="bottom"/>
          </w:tcPr>
          <w:p>
            <w:pPr>
              <w:spacing w:after="0"/>
              <w:rPr>
                <w:sz w:val="11"/>
                <w:szCs w:val="11"/>
                <w:color w:val="auto"/>
              </w:rPr>
            </w:pPr>
          </w:p>
        </w:tc>
        <w:tc>
          <w:tcPr>
            <w:tcW w:w="480" w:type="dxa"/>
            <w:vAlign w:val="bottom"/>
            <w:gridSpan w:val="18"/>
          </w:tcPr>
          <w:p>
            <w:pPr>
              <w:spacing w:after="0" w:line="132" w:lineRule="exact"/>
              <w:rPr>
                <w:rFonts w:ascii="Arial" w:cs="Arial" w:eastAsia="Arial" w:hAnsi="Arial"/>
                <w:sz w:val="14"/>
                <w:szCs w:val="14"/>
                <w:color w:val="0000FF"/>
              </w:rPr>
            </w:pPr>
            <w:hyperlink r:id="rId183">
              <w:r>
                <w:rPr>
                  <w:rFonts w:ascii="Arial" w:cs="Arial" w:eastAsia="Arial" w:hAnsi="Arial"/>
                  <w:sz w:val="14"/>
                  <w:szCs w:val="14"/>
                  <w:color w:val="0000FF"/>
                </w:rPr>
                <w:t>first</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60" w:type="dxa"/>
            <w:vAlign w:val="bottom"/>
            <w:tcBorders>
              <w:top w:val="single" w:sz="8" w:color="0000FF"/>
              <w:bottom w:val="single" w:sz="8" w:color="0000FF"/>
            </w:tcBorders>
            <w:gridSpan w:val="8"/>
          </w:tcPr>
          <w:p>
            <w:pPr>
              <w:spacing w:after="0" w:line="132" w:lineRule="exact"/>
              <w:rPr>
                <w:rFonts w:ascii="Arial" w:cs="Arial" w:eastAsia="Arial" w:hAnsi="Arial"/>
                <w:sz w:val="14"/>
                <w:szCs w:val="14"/>
                <w:color w:val="0000FF"/>
              </w:rPr>
            </w:pPr>
            <w:hyperlink r:id="rId183">
              <w:r>
                <w:rPr>
                  <w:rFonts w:ascii="Arial" w:cs="Arial" w:eastAsia="Arial" w:hAnsi="Arial"/>
                  <w:sz w:val="14"/>
                  <w:szCs w:val="14"/>
                  <w:color w:val="0000FF"/>
                </w:rPr>
                <w:t>lien administrative agent and first lien collateral agent</w:t>
              </w:r>
            </w:hyperlink>
          </w:p>
        </w:tc>
        <w:tc>
          <w:tcPr>
            <w:tcW w:w="58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0"/>
              </w:rPr>
            </w:pPr>
            <w:hyperlink r:id="rId184">
              <w:r>
                <w:rPr>
                  <w:rFonts w:ascii="Arial" w:cs="Arial" w:eastAsia="Arial" w:hAnsi="Arial"/>
                  <w:sz w:val="16"/>
                  <w:szCs w:val="16"/>
                  <w:color w:val="0000FF"/>
                  <w:w w:val="90"/>
                </w:rPr>
                <w:t>Guarantee Agreement, dated as of December 13, 2019, among</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80" w:type="dxa"/>
            <w:vAlign w:val="bottom"/>
            <w:tcBorders>
              <w:top w:val="single" w:sz="8" w:color="0000FF"/>
            </w:tcBorders>
            <w:gridSpan w:val="23"/>
          </w:tcPr>
          <w:p>
            <w:pPr>
              <w:spacing w:after="0" w:line="132" w:lineRule="exact"/>
              <w:rPr>
                <w:rFonts w:ascii="Arial" w:cs="Arial" w:eastAsia="Arial" w:hAnsi="Arial"/>
                <w:sz w:val="14"/>
                <w:szCs w:val="14"/>
                <w:color w:val="0000FF"/>
              </w:rPr>
            </w:pPr>
            <w:hyperlink r:id="rId184">
              <w:r>
                <w:rPr>
                  <w:rFonts w:ascii="Arial" w:cs="Arial" w:eastAsia="Arial" w:hAnsi="Arial"/>
                  <w:sz w:val="14"/>
                  <w:szCs w:val="14"/>
                  <w:color w:val="0000FF"/>
                </w:rPr>
                <w:t>the Registrant, Sotera Health Holdings, LLC, the other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0" w:type="dxa"/>
            <w:vAlign w:val="bottom"/>
            <w:tcBorders>
              <w:top w:val="single" w:sz="8" w:color="0000FF"/>
            </w:tcBorders>
            <w:gridSpan w:val="9"/>
          </w:tcPr>
          <w:p>
            <w:pPr>
              <w:spacing w:after="0" w:line="132" w:lineRule="exact"/>
              <w:rPr>
                <w:rFonts w:ascii="Arial" w:cs="Arial" w:eastAsia="Arial" w:hAnsi="Arial"/>
                <w:sz w:val="14"/>
                <w:szCs w:val="14"/>
                <w:color w:val="0000FF"/>
                <w:w w:val="99"/>
              </w:rPr>
            </w:pPr>
            <w:hyperlink r:id="rId184">
              <w:r>
                <w:rPr>
                  <w:rFonts w:ascii="Arial" w:cs="Arial" w:eastAsia="Arial" w:hAnsi="Arial"/>
                  <w:sz w:val="14"/>
                  <w:szCs w:val="14"/>
                  <w:color w:val="0000FF"/>
                  <w:w w:val="99"/>
                </w:rPr>
                <w:t>guarantors party thereto and Jefferies Finance LLC, as</w:t>
              </w:r>
            </w:hyperlink>
          </w:p>
        </w:tc>
        <w:tc>
          <w:tcPr>
            <w:tcW w:w="700" w:type="dxa"/>
            <w:vAlign w:val="bottom"/>
            <w:gridSpan w:val="20"/>
          </w:tcPr>
          <w:p>
            <w:pPr>
              <w:ind w:left="20"/>
              <w:spacing w:after="0" w:line="132" w:lineRule="exact"/>
              <w:rPr>
                <w:rFonts w:ascii="Arial" w:cs="Arial" w:eastAsia="Arial" w:hAnsi="Arial"/>
                <w:sz w:val="14"/>
                <w:szCs w:val="14"/>
                <w:color w:val="0000FF"/>
              </w:rPr>
            </w:pPr>
            <w:hyperlink r:id="rId184">
              <w:r>
                <w:rPr>
                  <w:rFonts w:ascii="Arial" w:cs="Arial" w:eastAsia="Arial" w:hAnsi="Arial"/>
                  <w:sz w:val="14"/>
                  <w:szCs w:val="14"/>
                  <w:color w:val="0000FF"/>
                </w:rPr>
                <w:t>first lien</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0000FF"/>
              <w:bottom w:val="single" w:sz="8" w:color="0000FF"/>
            </w:tcBorders>
            <w:gridSpan w:val="3"/>
          </w:tcPr>
          <w:p>
            <w:pPr>
              <w:spacing w:after="0" w:line="132" w:lineRule="exact"/>
              <w:rPr>
                <w:rFonts w:ascii="Arial" w:cs="Arial" w:eastAsia="Arial" w:hAnsi="Arial"/>
                <w:sz w:val="14"/>
                <w:szCs w:val="14"/>
                <w:color w:val="0000FF"/>
              </w:rPr>
            </w:pPr>
            <w:hyperlink r:id="rId184">
              <w:r>
                <w:rPr>
                  <w:rFonts w:ascii="Arial" w:cs="Arial" w:eastAsia="Arial" w:hAnsi="Arial"/>
                  <w:sz w:val="14"/>
                  <w:szCs w:val="14"/>
                  <w:color w:val="0000FF"/>
                </w:rPr>
                <w:t>collateral agent</w:t>
              </w:r>
            </w:hyperlink>
          </w:p>
        </w:tc>
        <w:tc>
          <w:tcPr>
            <w:tcW w:w="310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10.13</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2"/>
              </w:rPr>
            </w:pPr>
            <w:hyperlink r:id="rId185">
              <w:r>
                <w:rPr>
                  <w:rFonts w:ascii="Arial" w:cs="Arial" w:eastAsia="Arial" w:hAnsi="Arial"/>
                  <w:sz w:val="16"/>
                  <w:szCs w:val="16"/>
                  <w:color w:val="0000FF"/>
                  <w:w w:val="92"/>
                </w:rPr>
                <w:t>Collateral Agreement, dated as of December 13, 2019, among</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00" w:type="dxa"/>
            <w:vAlign w:val="bottom"/>
            <w:tcBorders>
              <w:top w:val="single" w:sz="8" w:color="0000FF"/>
            </w:tcBorders>
            <w:gridSpan w:val="19"/>
          </w:tcPr>
          <w:p>
            <w:pPr>
              <w:spacing w:after="0" w:line="132" w:lineRule="exact"/>
              <w:rPr>
                <w:rFonts w:ascii="Arial" w:cs="Arial" w:eastAsia="Arial" w:hAnsi="Arial"/>
                <w:sz w:val="14"/>
                <w:szCs w:val="14"/>
                <w:color w:val="0000FF"/>
              </w:rPr>
            </w:pPr>
            <w:hyperlink r:id="rId185">
              <w:r>
                <w:rPr>
                  <w:rFonts w:ascii="Arial" w:cs="Arial" w:eastAsia="Arial" w:hAnsi="Arial"/>
                  <w:sz w:val="14"/>
                  <w:szCs w:val="14"/>
                  <w:color w:val="0000FF"/>
                </w:rPr>
                <w:t>the Registrant, Sotera Health Holdings, LLC, the other</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0" w:type="dxa"/>
            <w:vAlign w:val="bottom"/>
            <w:tcBorders>
              <w:top w:val="single" w:sz="8" w:color="0000FF"/>
            </w:tcBorders>
            <w:gridSpan w:val="9"/>
          </w:tcPr>
          <w:p>
            <w:pPr>
              <w:spacing w:after="0" w:line="132" w:lineRule="exact"/>
              <w:rPr>
                <w:rFonts w:ascii="Arial" w:cs="Arial" w:eastAsia="Arial" w:hAnsi="Arial"/>
                <w:sz w:val="14"/>
                <w:szCs w:val="14"/>
                <w:color w:val="0000FF"/>
                <w:w w:val="99"/>
              </w:rPr>
            </w:pPr>
            <w:hyperlink r:id="rId185">
              <w:r>
                <w:rPr>
                  <w:rFonts w:ascii="Arial" w:cs="Arial" w:eastAsia="Arial" w:hAnsi="Arial"/>
                  <w:sz w:val="14"/>
                  <w:szCs w:val="14"/>
                  <w:color w:val="0000FF"/>
                  <w:w w:val="99"/>
                </w:rPr>
                <w:t>guarantors party thereto and Jefferies Finance LLC, as</w:t>
              </w:r>
            </w:hyperlink>
          </w:p>
        </w:tc>
        <w:tc>
          <w:tcPr>
            <w:tcW w:w="700" w:type="dxa"/>
            <w:vAlign w:val="bottom"/>
            <w:gridSpan w:val="20"/>
          </w:tcPr>
          <w:p>
            <w:pPr>
              <w:ind w:left="20"/>
              <w:spacing w:after="0" w:line="132" w:lineRule="exact"/>
              <w:rPr>
                <w:rFonts w:ascii="Arial" w:cs="Arial" w:eastAsia="Arial" w:hAnsi="Arial"/>
                <w:sz w:val="14"/>
                <w:szCs w:val="14"/>
                <w:color w:val="0000FF"/>
              </w:rPr>
            </w:pPr>
            <w:hyperlink r:id="rId185">
              <w:r>
                <w:rPr>
                  <w:rFonts w:ascii="Arial" w:cs="Arial" w:eastAsia="Arial" w:hAnsi="Arial"/>
                  <w:sz w:val="14"/>
                  <w:szCs w:val="14"/>
                  <w:color w:val="0000FF"/>
                </w:rPr>
                <w:t>first lien</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0000FF"/>
              <w:bottom w:val="single" w:sz="8" w:color="0000FF"/>
            </w:tcBorders>
            <w:gridSpan w:val="2"/>
          </w:tcPr>
          <w:p>
            <w:pPr>
              <w:spacing w:after="0" w:line="132" w:lineRule="exact"/>
              <w:rPr>
                <w:rFonts w:ascii="Arial" w:cs="Arial" w:eastAsia="Arial" w:hAnsi="Arial"/>
                <w:sz w:val="14"/>
                <w:szCs w:val="14"/>
                <w:color w:val="0000FF"/>
                <w:w w:val="98"/>
              </w:rPr>
            </w:pPr>
            <w:hyperlink r:id="rId185">
              <w:r>
                <w:rPr>
                  <w:rFonts w:ascii="Arial" w:cs="Arial" w:eastAsia="Arial" w:hAnsi="Arial"/>
                  <w:sz w:val="14"/>
                  <w:szCs w:val="14"/>
                  <w:color w:val="0000FF"/>
                  <w:w w:val="98"/>
                </w:rPr>
                <w:t>collateral agent</w:t>
              </w:r>
            </w:hyperlink>
          </w:p>
        </w:tc>
        <w:tc>
          <w:tcPr>
            <w:tcW w:w="312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5"/>
              </w:rPr>
            </w:pPr>
            <w:hyperlink r:id="rId186">
              <w:r>
                <w:rPr>
                  <w:rFonts w:ascii="Arial" w:cs="Arial" w:eastAsia="Arial" w:hAnsi="Arial"/>
                  <w:sz w:val="16"/>
                  <w:szCs w:val="16"/>
                  <w:color w:val="0000FF"/>
                  <w:w w:val="95"/>
                </w:rPr>
                <w:t>Patent Security Agreement, dated as of December 13, 2019,</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20" w:type="dxa"/>
            <w:vAlign w:val="bottom"/>
            <w:tcBorders>
              <w:top w:val="single" w:sz="8" w:color="0000FF"/>
            </w:tcBorders>
            <w:gridSpan w:val="14"/>
          </w:tcPr>
          <w:p>
            <w:pPr>
              <w:spacing w:after="0" w:line="132" w:lineRule="exact"/>
              <w:rPr>
                <w:rFonts w:ascii="Arial" w:cs="Arial" w:eastAsia="Arial" w:hAnsi="Arial"/>
                <w:sz w:val="14"/>
                <w:szCs w:val="14"/>
                <w:color w:val="0000FF"/>
              </w:rPr>
            </w:pPr>
            <w:hyperlink r:id="rId186">
              <w:r>
                <w:rPr>
                  <w:rFonts w:ascii="Arial" w:cs="Arial" w:eastAsia="Arial" w:hAnsi="Arial"/>
                  <w:sz w:val="14"/>
                  <w:szCs w:val="14"/>
                  <w:color w:val="0000FF"/>
                </w:rPr>
                <w:t>between Sterigenics U.S., LLC and Jefferies Finance LLC,</w:t>
              </w:r>
            </w:hyperlink>
          </w:p>
        </w:tc>
        <w:tc>
          <w:tcPr>
            <w:tcW w:w="380" w:type="dxa"/>
            <w:vAlign w:val="bottom"/>
            <w:gridSpan w:val="15"/>
          </w:tcPr>
          <w:p>
            <w:pPr>
              <w:spacing w:after="0" w:line="132" w:lineRule="exact"/>
              <w:rPr>
                <w:rFonts w:ascii="Arial" w:cs="Arial" w:eastAsia="Arial" w:hAnsi="Arial"/>
                <w:sz w:val="14"/>
                <w:szCs w:val="14"/>
                <w:color w:val="0000FF"/>
              </w:rPr>
            </w:pPr>
            <w:hyperlink r:id="rId186">
              <w:r>
                <w:rPr>
                  <w:rFonts w:ascii="Arial" w:cs="Arial" w:eastAsia="Arial" w:hAnsi="Arial"/>
                  <w:sz w:val="14"/>
                  <w:szCs w:val="14"/>
                  <w:color w:val="0000FF"/>
                </w:rPr>
                <w:t>as</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0000FF"/>
              <w:bottom w:val="single" w:sz="8" w:color="0000FF"/>
            </w:tcBorders>
            <w:gridSpan w:val="3"/>
          </w:tcPr>
          <w:p>
            <w:pPr>
              <w:spacing w:after="0" w:line="132" w:lineRule="exact"/>
              <w:rPr>
                <w:rFonts w:ascii="Arial" w:cs="Arial" w:eastAsia="Arial" w:hAnsi="Arial"/>
                <w:sz w:val="14"/>
                <w:szCs w:val="14"/>
                <w:color w:val="0000FF"/>
              </w:rPr>
            </w:pPr>
            <w:hyperlink r:id="rId186">
              <w:r>
                <w:rPr>
                  <w:rFonts w:ascii="Arial" w:cs="Arial" w:eastAsia="Arial" w:hAnsi="Arial"/>
                  <w:sz w:val="14"/>
                  <w:szCs w:val="14"/>
                  <w:color w:val="0000FF"/>
                </w:rPr>
                <w:t>collateral agent</w:t>
              </w:r>
            </w:hyperlink>
          </w:p>
        </w:tc>
        <w:tc>
          <w:tcPr>
            <w:tcW w:w="288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8"/>
              </w:rPr>
            </w:pPr>
            <w:hyperlink r:id="rId187">
              <w:r>
                <w:rPr>
                  <w:rFonts w:ascii="Arial" w:cs="Arial" w:eastAsia="Arial" w:hAnsi="Arial"/>
                  <w:sz w:val="16"/>
                  <w:szCs w:val="16"/>
                  <w:color w:val="0000FF"/>
                  <w:w w:val="98"/>
                </w:rPr>
                <w:t>Trademark Security Agreement, dated as of December 13,</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11"/>
          </w:tcPr>
          <w:p>
            <w:pPr>
              <w:spacing w:after="0" w:line="132" w:lineRule="exact"/>
              <w:rPr>
                <w:rFonts w:ascii="Arial" w:cs="Arial" w:eastAsia="Arial" w:hAnsi="Arial"/>
                <w:sz w:val="14"/>
                <w:szCs w:val="14"/>
                <w:color w:val="0000FF"/>
                <w:w w:val="97"/>
              </w:rPr>
            </w:pPr>
            <w:hyperlink r:id="rId187">
              <w:r>
                <w:rPr>
                  <w:rFonts w:ascii="Arial" w:cs="Arial" w:eastAsia="Arial" w:hAnsi="Arial"/>
                  <w:sz w:val="14"/>
                  <w:szCs w:val="14"/>
                  <w:color w:val="0000FF"/>
                  <w:w w:val="97"/>
                </w:rPr>
                <w:t>2019, between Sterigenics U.S., LLC and Jefferies Finance</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bottom w:val="single" w:sz="8" w:color="0000FF"/>
            </w:tcBorders>
            <w:gridSpan w:val="5"/>
          </w:tcPr>
          <w:p>
            <w:pPr>
              <w:spacing w:after="0" w:line="132" w:lineRule="exact"/>
              <w:rPr>
                <w:rFonts w:ascii="Arial" w:cs="Arial" w:eastAsia="Arial" w:hAnsi="Arial"/>
                <w:sz w:val="14"/>
                <w:szCs w:val="14"/>
                <w:color w:val="0000FF"/>
              </w:rPr>
            </w:pPr>
            <w:hyperlink r:id="rId187">
              <w:r>
                <w:rPr>
                  <w:rFonts w:ascii="Arial" w:cs="Arial" w:eastAsia="Arial" w:hAnsi="Arial"/>
                  <w:sz w:val="14"/>
                  <w:szCs w:val="14"/>
                  <w:color w:val="0000FF"/>
                </w:rPr>
                <w:t>LLC, as collateral agent</w:t>
              </w:r>
            </w:hyperlink>
          </w:p>
        </w:tc>
        <w:tc>
          <w:tcPr>
            <w:tcW w:w="2180" w:type="dxa"/>
            <w:vAlign w:val="bottom"/>
            <w:gridSpan w:val="8"/>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10.16</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8"/>
              </w:rPr>
            </w:pPr>
            <w:hyperlink r:id="rId188">
              <w:r>
                <w:rPr>
                  <w:rFonts w:ascii="Arial" w:cs="Arial" w:eastAsia="Arial" w:hAnsi="Arial"/>
                  <w:sz w:val="16"/>
                  <w:szCs w:val="16"/>
                  <w:color w:val="0000FF"/>
                  <w:w w:val="98"/>
                </w:rPr>
                <w:t>Trademark Security Agreement, dated as of December 13,</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00" w:type="dxa"/>
            <w:vAlign w:val="bottom"/>
            <w:gridSpan w:val="29"/>
          </w:tcPr>
          <w:p>
            <w:pPr>
              <w:spacing w:after="0" w:line="132" w:lineRule="exact"/>
              <w:rPr>
                <w:rFonts w:ascii="Arial" w:cs="Arial" w:eastAsia="Arial" w:hAnsi="Arial"/>
                <w:sz w:val="14"/>
                <w:szCs w:val="14"/>
                <w:color w:val="0000FF"/>
              </w:rPr>
            </w:pPr>
            <w:hyperlink r:id="rId188">
              <w:r>
                <w:rPr>
                  <w:rFonts w:ascii="Arial" w:cs="Arial" w:eastAsia="Arial" w:hAnsi="Arial"/>
                  <w:sz w:val="14"/>
                  <w:szCs w:val="14"/>
                  <w:color w:val="0000FF"/>
                </w:rPr>
                <w:t>2019, between Nelson Laboratories, LLC and Jefferies Finance</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top w:val="single" w:sz="8" w:color="0000FF"/>
              <w:bottom w:val="single" w:sz="8" w:color="0000FF"/>
            </w:tcBorders>
            <w:gridSpan w:val="5"/>
          </w:tcPr>
          <w:p>
            <w:pPr>
              <w:spacing w:after="0" w:line="132" w:lineRule="exact"/>
              <w:rPr>
                <w:rFonts w:ascii="Arial" w:cs="Arial" w:eastAsia="Arial" w:hAnsi="Arial"/>
                <w:sz w:val="14"/>
                <w:szCs w:val="14"/>
                <w:color w:val="0000FF"/>
              </w:rPr>
            </w:pPr>
            <w:hyperlink r:id="rId188">
              <w:r>
                <w:rPr>
                  <w:rFonts w:ascii="Arial" w:cs="Arial" w:eastAsia="Arial" w:hAnsi="Arial"/>
                  <w:sz w:val="14"/>
                  <w:szCs w:val="14"/>
                  <w:color w:val="0000FF"/>
                </w:rPr>
                <w:t>LLC, as collateral agent</w:t>
              </w:r>
            </w:hyperlink>
          </w:p>
        </w:tc>
        <w:tc>
          <w:tcPr>
            <w:tcW w:w="2560" w:type="dxa"/>
            <w:vAlign w:val="bottom"/>
            <w:tcBorders>
              <w:top w:val="single" w:sz="8" w:color="0000FF"/>
            </w:tcBorders>
            <w:gridSpan w:val="2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8"/>
              </w:rPr>
            </w:pPr>
            <w:hyperlink r:id="rId189">
              <w:r>
                <w:rPr>
                  <w:rFonts w:ascii="Arial" w:cs="Arial" w:eastAsia="Arial" w:hAnsi="Arial"/>
                  <w:sz w:val="16"/>
                  <w:szCs w:val="16"/>
                  <w:color w:val="0000FF"/>
                  <w:w w:val="98"/>
                </w:rPr>
                <w:t>Trademark Security Agreement, dated as of December 13,</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00" w:type="dxa"/>
            <w:vAlign w:val="bottom"/>
            <w:gridSpan w:val="29"/>
          </w:tcPr>
          <w:p>
            <w:pPr>
              <w:spacing w:after="0" w:line="132" w:lineRule="exact"/>
              <w:rPr>
                <w:rFonts w:ascii="Arial" w:cs="Arial" w:eastAsia="Arial" w:hAnsi="Arial"/>
                <w:sz w:val="14"/>
                <w:szCs w:val="14"/>
                <w:color w:val="0000FF"/>
              </w:rPr>
            </w:pPr>
            <w:hyperlink r:id="rId189">
              <w:r>
                <w:rPr>
                  <w:rFonts w:ascii="Arial" w:cs="Arial" w:eastAsia="Arial" w:hAnsi="Arial"/>
                  <w:sz w:val="14"/>
                  <w:szCs w:val="14"/>
                  <w:color w:val="0000FF"/>
                </w:rPr>
                <w:t>2019, between Sotera Health LLC and Jefferies Finance LLC,</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20" w:type="dxa"/>
            <w:vAlign w:val="bottom"/>
            <w:tcBorders>
              <w:top w:val="single" w:sz="8" w:color="0000FF"/>
            </w:tcBorders>
            <w:gridSpan w:val="20"/>
          </w:tcPr>
          <w:p>
            <w:pPr>
              <w:spacing w:after="0" w:line="132" w:lineRule="exact"/>
              <w:rPr>
                <w:rFonts w:ascii="Arial" w:cs="Arial" w:eastAsia="Arial" w:hAnsi="Arial"/>
                <w:sz w:val="14"/>
                <w:szCs w:val="14"/>
                <w:color w:val="0000FF"/>
              </w:rPr>
            </w:pPr>
            <w:hyperlink r:id="rId189">
              <w:r>
                <w:rPr>
                  <w:rFonts w:ascii="Arial" w:cs="Arial" w:eastAsia="Arial" w:hAnsi="Arial"/>
                  <w:sz w:val="14"/>
                  <w:szCs w:val="14"/>
                  <w:color w:val="0000FF"/>
                </w:rPr>
                <w:t>as collateral agent</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23"/>
                <w:szCs w:val="23"/>
                <w:color w:val="auto"/>
              </w:rPr>
            </w:pPr>
          </w:p>
        </w:tc>
        <w:tc>
          <w:tcPr>
            <w:tcW w:w="3620" w:type="dxa"/>
            <w:vAlign w:val="bottom"/>
            <w:tcBorders>
              <w:bottom w:val="single" w:sz="8" w:color="0000FF"/>
            </w:tcBorders>
            <w:gridSpan w:val="11"/>
          </w:tcPr>
          <w:p>
            <w:pPr>
              <w:spacing w:after="0"/>
              <w:rPr>
                <w:rFonts w:ascii="Arial" w:cs="Arial" w:eastAsia="Arial" w:hAnsi="Arial"/>
                <w:sz w:val="16"/>
                <w:szCs w:val="16"/>
                <w:color w:val="0000FF"/>
                <w:w w:val="88"/>
              </w:rPr>
            </w:pPr>
            <w:hyperlink r:id="rId190">
              <w:r>
                <w:rPr>
                  <w:rFonts w:ascii="Arial" w:cs="Arial" w:eastAsia="Arial" w:hAnsi="Arial"/>
                  <w:sz w:val="16"/>
                  <w:szCs w:val="16"/>
                  <w:color w:val="0000FF"/>
                  <w:w w:val="88"/>
                </w:rPr>
                <w:t>Copyright Security Agreement, dated as of December 13,</w:t>
              </w:r>
            </w:hyperlink>
          </w:p>
        </w:tc>
        <w:tc>
          <w:tcPr>
            <w:tcW w:w="480" w:type="dxa"/>
            <w:vAlign w:val="bottom"/>
            <w:gridSpan w:val="18"/>
          </w:tcPr>
          <w:p>
            <w:pPr>
              <w:spacing w:after="0"/>
              <w:rPr>
                <w:sz w:val="23"/>
                <w:szCs w:val="23"/>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00" w:type="dxa"/>
            <w:vAlign w:val="bottom"/>
            <w:gridSpan w:val="29"/>
          </w:tcPr>
          <w:p>
            <w:pPr>
              <w:spacing w:after="0" w:line="132" w:lineRule="exact"/>
              <w:rPr>
                <w:rFonts w:ascii="Arial" w:cs="Arial" w:eastAsia="Arial" w:hAnsi="Arial"/>
                <w:sz w:val="14"/>
                <w:szCs w:val="14"/>
                <w:color w:val="0000FF"/>
              </w:rPr>
            </w:pPr>
            <w:hyperlink r:id="rId190">
              <w:r>
                <w:rPr>
                  <w:rFonts w:ascii="Arial" w:cs="Arial" w:eastAsia="Arial" w:hAnsi="Arial"/>
                  <w:sz w:val="14"/>
                  <w:szCs w:val="14"/>
                  <w:color w:val="0000FF"/>
                </w:rPr>
                <w:t>2019, among Jefferies Finance LLC and Nelson Laboratories,</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top w:val="single" w:sz="8" w:color="0000FF"/>
              <w:bottom w:val="single" w:sz="8" w:color="0000FF"/>
            </w:tcBorders>
            <w:gridSpan w:val="5"/>
          </w:tcPr>
          <w:p>
            <w:pPr>
              <w:spacing w:after="0" w:line="132" w:lineRule="exact"/>
              <w:rPr>
                <w:rFonts w:ascii="Arial" w:cs="Arial" w:eastAsia="Arial" w:hAnsi="Arial"/>
                <w:sz w:val="14"/>
                <w:szCs w:val="14"/>
                <w:color w:val="0000FF"/>
              </w:rPr>
            </w:pPr>
            <w:hyperlink r:id="rId190">
              <w:r>
                <w:rPr>
                  <w:rFonts w:ascii="Arial" w:cs="Arial" w:eastAsia="Arial" w:hAnsi="Arial"/>
                  <w:sz w:val="14"/>
                  <w:szCs w:val="14"/>
                  <w:color w:val="0000FF"/>
                </w:rPr>
                <w:t>LLC, as collateral agent</w:t>
              </w:r>
            </w:hyperlink>
          </w:p>
        </w:tc>
        <w:tc>
          <w:tcPr>
            <w:tcW w:w="2380" w:type="dxa"/>
            <w:vAlign w:val="bottom"/>
            <w:tcBorders>
              <w:top w:val="single" w:sz="8" w:color="0000FF"/>
            </w:tcBorders>
            <w:gridSpan w:val="13"/>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71"/>
        </w:trPr>
        <w:tc>
          <w:tcPr>
            <w:tcW w:w="1300" w:type="dxa"/>
            <w:vAlign w:val="bottom"/>
          </w:tcPr>
          <w:p>
            <w:pPr>
              <w:spacing w:after="0"/>
              <w:rPr>
                <w:sz w:val="20"/>
                <w:szCs w:val="20"/>
                <w:color w:val="auto"/>
              </w:rPr>
            </w:pPr>
            <w:r>
              <w:rPr>
                <w:rFonts w:ascii="Arial" w:cs="Arial" w:eastAsia="Arial" w:hAnsi="Arial"/>
                <w:sz w:val="16"/>
                <w:szCs w:val="16"/>
                <w:color w:val="auto"/>
              </w:rPr>
              <w:t>10.19</w:t>
            </w:r>
          </w:p>
        </w:tc>
        <w:tc>
          <w:tcPr>
            <w:tcW w:w="160" w:type="dxa"/>
            <w:vAlign w:val="bottom"/>
          </w:tcPr>
          <w:p>
            <w:pPr>
              <w:spacing w:after="0"/>
              <w:rPr>
                <w:sz w:val="23"/>
                <w:szCs w:val="23"/>
                <w:color w:val="auto"/>
              </w:rPr>
            </w:pPr>
          </w:p>
        </w:tc>
        <w:tc>
          <w:tcPr>
            <w:tcW w:w="4100" w:type="dxa"/>
            <w:vAlign w:val="bottom"/>
            <w:gridSpan w:val="29"/>
          </w:tcPr>
          <w:p>
            <w:pPr>
              <w:spacing w:after="0"/>
              <w:rPr>
                <w:rFonts w:ascii="Arial" w:cs="Arial" w:eastAsia="Arial" w:hAnsi="Arial"/>
                <w:sz w:val="16"/>
                <w:szCs w:val="16"/>
                <w:color w:val="0000FF"/>
                <w:w w:val="92"/>
              </w:rPr>
            </w:pPr>
            <w:hyperlink r:id="rId191">
              <w:r>
                <w:rPr>
                  <w:rFonts w:ascii="Arial" w:cs="Arial" w:eastAsia="Arial" w:hAnsi="Arial"/>
                  <w:sz w:val="16"/>
                  <w:szCs w:val="16"/>
                  <w:color w:val="0000FF"/>
                  <w:w w:val="92"/>
                </w:rPr>
                <w:t>First Lien Pari Passu Intercreditor Agreement, dated as of July</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0" w:type="dxa"/>
            <w:vAlign w:val="bottom"/>
            <w:tcBorders>
              <w:top w:val="single" w:sz="8" w:color="0000FF"/>
              <w:bottom w:val="single" w:sz="8" w:color="0000FF"/>
            </w:tcBorders>
            <w:gridSpan w:val="24"/>
          </w:tcPr>
          <w:p>
            <w:pPr>
              <w:spacing w:after="0" w:line="132" w:lineRule="exact"/>
              <w:rPr>
                <w:rFonts w:ascii="Arial" w:cs="Arial" w:eastAsia="Arial" w:hAnsi="Arial"/>
                <w:sz w:val="14"/>
                <w:szCs w:val="14"/>
                <w:color w:val="0000FF"/>
              </w:rPr>
            </w:pPr>
            <w:hyperlink r:id="rId191">
              <w:r>
                <w:rPr>
                  <w:rFonts w:ascii="Arial" w:cs="Arial" w:eastAsia="Arial" w:hAnsi="Arial"/>
                  <w:sz w:val="14"/>
                  <w:szCs w:val="14"/>
                  <w:color w:val="0000FF"/>
                </w:rPr>
                <w:t>31, 2020, among Sotera Health Holdings, LLC, the Registrant,</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20" w:type="dxa"/>
            <w:vAlign w:val="bottom"/>
            <w:gridSpan w:val="25"/>
          </w:tcPr>
          <w:p>
            <w:pPr>
              <w:spacing w:after="0" w:line="132" w:lineRule="exact"/>
              <w:rPr>
                <w:rFonts w:ascii="Arial" w:cs="Arial" w:eastAsia="Arial" w:hAnsi="Arial"/>
                <w:sz w:val="14"/>
                <w:szCs w:val="14"/>
                <w:color w:val="0000FF"/>
              </w:rPr>
            </w:pPr>
            <w:hyperlink r:id="rId191">
              <w:r>
                <w:rPr>
                  <w:rFonts w:ascii="Arial" w:cs="Arial" w:eastAsia="Arial" w:hAnsi="Arial"/>
                  <w:sz w:val="14"/>
                  <w:szCs w:val="14"/>
                  <w:color w:val="0000FF"/>
                </w:rPr>
                <w:t>Jefferies Finance LLC as Collateral Agent and Authorized</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tcBorders>
              <w:top w:val="single" w:sz="8" w:color="0000FF"/>
            </w:tcBorders>
            <w:gridSpan w:val="12"/>
          </w:tcPr>
          <w:p>
            <w:pPr>
              <w:spacing w:after="0" w:line="132" w:lineRule="exact"/>
              <w:rPr>
                <w:rFonts w:ascii="Arial" w:cs="Arial" w:eastAsia="Arial" w:hAnsi="Arial"/>
                <w:sz w:val="14"/>
                <w:szCs w:val="14"/>
                <w:color w:val="0000FF"/>
                <w:w w:val="98"/>
              </w:rPr>
            </w:pPr>
            <w:hyperlink r:id="rId191">
              <w:r>
                <w:rPr>
                  <w:rFonts w:ascii="Arial" w:cs="Arial" w:eastAsia="Arial" w:hAnsi="Arial"/>
                  <w:sz w:val="14"/>
                  <w:szCs w:val="14"/>
                  <w:color w:val="0000FF"/>
                  <w:w w:val="98"/>
                </w:rPr>
                <w:t>Representative, and Wilmington Trust, National Association</w:t>
              </w:r>
            </w:hyperlink>
          </w:p>
        </w:tc>
        <w:tc>
          <w:tcPr>
            <w:tcW w:w="160" w:type="dxa"/>
            <w:vAlign w:val="bottom"/>
            <w:gridSpan w:val="3"/>
          </w:tcPr>
          <w:p>
            <w:pPr>
              <w:spacing w:after="0"/>
              <w:rPr>
                <w:sz w:val="11"/>
                <w:szCs w:val="11"/>
                <w:color w:val="auto"/>
              </w:rPr>
            </w:pPr>
          </w:p>
        </w:tc>
        <w:tc>
          <w:tcPr>
            <w:tcW w:w="300" w:type="dxa"/>
            <w:vAlign w:val="bottom"/>
            <w:gridSpan w:val="14"/>
          </w:tcPr>
          <w:p>
            <w:pPr>
              <w:spacing w:after="0" w:line="132" w:lineRule="exact"/>
              <w:rPr>
                <w:rFonts w:ascii="Arial" w:cs="Arial" w:eastAsia="Arial" w:hAnsi="Arial"/>
                <w:sz w:val="14"/>
                <w:szCs w:val="14"/>
                <w:color w:val="0000FF"/>
              </w:rPr>
            </w:pPr>
            <w:hyperlink r:id="rId191">
              <w:r>
                <w:rPr>
                  <w:rFonts w:ascii="Arial" w:cs="Arial" w:eastAsia="Arial" w:hAnsi="Arial"/>
                  <w:sz w:val="14"/>
                  <w:szCs w:val="14"/>
                  <w:color w:val="0000FF"/>
                </w:rPr>
                <w:t>as</w:t>
              </w:r>
            </w:hyperlink>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40" w:type="dxa"/>
            <w:vAlign w:val="bottom"/>
            <w:tcBorders>
              <w:top w:val="single" w:sz="8" w:color="0000FF"/>
            </w:tcBorders>
            <w:gridSpan w:val="26"/>
          </w:tcPr>
          <w:p>
            <w:pPr>
              <w:spacing w:after="0" w:line="132" w:lineRule="exact"/>
              <w:rPr>
                <w:rFonts w:ascii="Arial" w:cs="Arial" w:eastAsia="Arial" w:hAnsi="Arial"/>
                <w:sz w:val="14"/>
                <w:szCs w:val="14"/>
                <w:color w:val="0000FF"/>
              </w:rPr>
            </w:pPr>
            <w:hyperlink r:id="rId191">
              <w:r>
                <w:rPr>
                  <w:rFonts w:ascii="Arial" w:cs="Arial" w:eastAsia="Arial" w:hAnsi="Arial"/>
                  <w:sz w:val="14"/>
                  <w:szCs w:val="14"/>
                  <w:color w:val="0000FF"/>
                </w:rPr>
                <w:t>Additional First Lien Collateral Agent and Initial Authorized</w:t>
              </w:r>
            </w:hyperlink>
          </w:p>
        </w:tc>
        <w:tc>
          <w:tcPr>
            <w:tcW w:w="60" w:type="dxa"/>
            <w:vAlign w:val="bottom"/>
            <w:gridSpan w:val="3"/>
          </w:tcPr>
          <w:p>
            <w:pPr>
              <w:spacing w:after="0"/>
              <w:rPr>
                <w:sz w:val="11"/>
                <w:szCs w:val="1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tcBorders>
              <w:top w:val="single" w:sz="8" w:color="0000FF"/>
            </w:tcBorders>
            <w:gridSpan w:val="15"/>
          </w:tcPr>
          <w:p>
            <w:pPr>
              <w:spacing w:after="0" w:line="132" w:lineRule="exact"/>
              <w:rPr>
                <w:rFonts w:ascii="Arial" w:cs="Arial" w:eastAsia="Arial" w:hAnsi="Arial"/>
                <w:sz w:val="14"/>
                <w:szCs w:val="14"/>
                <w:color w:val="0000FF"/>
              </w:rPr>
            </w:pPr>
            <w:hyperlink r:id="rId191">
              <w:r>
                <w:rPr>
                  <w:rFonts w:ascii="Arial" w:cs="Arial" w:eastAsia="Arial" w:hAnsi="Arial"/>
                  <w:sz w:val="14"/>
                  <w:szCs w:val="14"/>
                  <w:color w:val="0000FF"/>
                </w:rPr>
                <w:t>Representative</w:t>
              </w:r>
            </w:hyperlink>
          </w:p>
        </w:tc>
        <w:tc>
          <w:tcPr>
            <w:tcW w:w="300" w:type="dxa"/>
            <w:vAlign w:val="bottom"/>
            <w:gridSpan w:val="14"/>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w w:val="92"/>
              </w:rPr>
              <w:t>Incorporated by Reference</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22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88"/>
              </w:rPr>
              <w:t>Filed/Furnished</w:t>
            </w: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12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File No.</w:t>
            </w:r>
          </w:p>
        </w:tc>
        <w:tc>
          <w:tcPr>
            <w:tcW w:w="10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Exhibit</w:t>
            </w:r>
          </w:p>
        </w:tc>
        <w:tc>
          <w:tcPr>
            <w:tcW w:w="11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98"/>
        </w:trPr>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Herewith</w:t>
            </w:r>
          </w:p>
        </w:tc>
        <w:tc>
          <w:tcPr>
            <w:tcW w:w="8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S-1/A</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Borders>
              <w:top w:val="single" w:sz="8" w:color="auto"/>
            </w:tcBorders>
          </w:tcPr>
          <w:p>
            <w:pPr>
              <w:jc w:val="center"/>
              <w:ind w:right="42"/>
              <w:spacing w:after="0"/>
              <w:rPr>
                <w:sz w:val="20"/>
                <w:szCs w:val="20"/>
                <w:color w:val="auto"/>
              </w:rPr>
            </w:pPr>
            <w:r>
              <w:rPr>
                <w:rFonts w:ascii="Arial" w:cs="Arial" w:eastAsia="Arial" w:hAnsi="Arial"/>
                <w:sz w:val="16"/>
                <w:szCs w:val="16"/>
                <w:color w:val="auto"/>
                <w:w w:val="89"/>
              </w:rPr>
              <w:t>10.8</w:t>
            </w:r>
          </w:p>
        </w:tc>
        <w:tc>
          <w:tcPr>
            <w:tcW w:w="11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2020-11-02</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10.9</w:t>
            </w:r>
          </w:p>
        </w:tc>
        <w:tc>
          <w:tcPr>
            <w:tcW w:w="1140" w:type="dxa"/>
            <w:vAlign w:val="bottom"/>
          </w:tcPr>
          <w:p>
            <w:pPr>
              <w:ind w:left="120"/>
              <w:spacing w:after="0"/>
              <w:rPr>
                <w:sz w:val="20"/>
                <w:szCs w:val="20"/>
                <w:color w:val="auto"/>
              </w:rPr>
            </w:pPr>
            <w:r>
              <w:rPr>
                <w:rFonts w:ascii="Arial" w:cs="Arial" w:eastAsia="Arial" w:hAnsi="Arial"/>
                <w:sz w:val="16"/>
                <w:szCs w:val="16"/>
                <w:color w:val="auto"/>
              </w:rPr>
              <w:t>2021-03-09</w:t>
            </w:r>
          </w:p>
        </w:tc>
        <w:tc>
          <w:tcPr>
            <w:tcW w:w="0" w:type="dxa"/>
            <w:vAlign w:val="bottom"/>
          </w:tcPr>
          <w:p>
            <w:pPr>
              <w:spacing w:after="0"/>
              <w:rPr>
                <w:sz w:val="1"/>
                <w:szCs w:val="1"/>
                <w:color w:val="auto"/>
              </w:rPr>
            </w:pPr>
          </w:p>
        </w:tc>
      </w:tr>
      <w:tr>
        <w:trPr>
          <w:trHeight w:val="51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10.10</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746"/>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62"/>
              <w:spacing w:after="0"/>
              <w:rPr>
                <w:sz w:val="20"/>
                <w:szCs w:val="20"/>
                <w:color w:val="auto"/>
              </w:rPr>
            </w:pPr>
            <w:r>
              <w:rPr>
                <w:rFonts w:ascii="Arial" w:cs="Arial" w:eastAsia="Arial" w:hAnsi="Arial"/>
                <w:sz w:val="16"/>
                <w:szCs w:val="16"/>
                <w:color w:val="auto"/>
                <w:w w:val="84"/>
              </w:rPr>
              <w:t>10.11</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746"/>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10.12</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676"/>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10.13</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595"/>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10.14</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595"/>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10.15</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595"/>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10.16</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595"/>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10.17</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816"/>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10.25</w:t>
            </w:r>
          </w:p>
        </w:tc>
        <w:tc>
          <w:tcPr>
            <w:tcW w:w="1140" w:type="dxa"/>
            <w:vAlign w:val="bottom"/>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5420" w:space="160"/>
            <w:col w:w="5680"/>
          </w:cols>
          <w:pgMar w:left="320" w:top="135" w:right="31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76835</wp:posOffset>
            </wp:positionV>
            <wp:extent cx="717613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type w:val="continuous"/>
        </w:sectPr>
      </w:pPr>
    </w:p>
    <w:bookmarkStart w:id="125" w:name="page126"/>
    <w:bookmarkEnd w:id="12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w w:val="92"/>
              </w:rPr>
              <w:t>Incorporated by Reference</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3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Exhibit No</w:t>
            </w:r>
          </w:p>
        </w:tc>
        <w:tc>
          <w:tcPr>
            <w:tcW w:w="160" w:type="dxa"/>
            <w:vAlign w:val="bottom"/>
            <w:vMerge w:val="restart"/>
          </w:tcPr>
          <w:p>
            <w:pPr>
              <w:spacing w:after="0"/>
              <w:rPr>
                <w:sz w:val="12"/>
                <w:szCs w:val="1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160" w:type="dxa"/>
            <w:vAlign w:val="bottom"/>
            <w:vMerge w:val="restart"/>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88"/>
              </w:rPr>
              <w:t>Filed/Furnished</w:t>
            </w: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File No.</w:t>
            </w:r>
          </w:p>
        </w:tc>
        <w:tc>
          <w:tcPr>
            <w:tcW w:w="108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89"/>
              </w:rPr>
              <w:t>Exhibit</w:t>
            </w:r>
          </w:p>
        </w:tc>
        <w:tc>
          <w:tcPr>
            <w:tcW w:w="11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98"/>
        </w:trPr>
        <w:tc>
          <w:tcPr>
            <w:tcW w:w="13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960" w:type="dxa"/>
            <w:vAlign w:val="bottom"/>
            <w:tcBorders>
              <w:bottom w:val="single" w:sz="8" w:color="auto"/>
            </w:tcBorders>
            <w:gridSpan w:val="3"/>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Herewith</w:t>
            </w:r>
          </w:p>
        </w:tc>
        <w:tc>
          <w:tcPr>
            <w:tcW w:w="16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jc w:val="right"/>
              <w:ind w:right="862"/>
              <w:spacing w:after="0" w:line="155" w:lineRule="exact"/>
              <w:rPr>
                <w:sz w:val="20"/>
                <w:szCs w:val="20"/>
                <w:color w:val="auto"/>
              </w:rPr>
            </w:pPr>
            <w:r>
              <w:rPr>
                <w:rFonts w:ascii="Arial" w:cs="Arial" w:eastAsia="Arial" w:hAnsi="Arial"/>
                <w:sz w:val="16"/>
                <w:szCs w:val="16"/>
                <w:color w:val="auto"/>
                <w:w w:val="84"/>
              </w:rPr>
              <w:t>10.20</w:t>
            </w:r>
          </w:p>
        </w:tc>
        <w:tc>
          <w:tcPr>
            <w:tcW w:w="160" w:type="dxa"/>
            <w:vAlign w:val="bottom"/>
          </w:tcPr>
          <w:p>
            <w:pPr>
              <w:spacing w:after="0"/>
              <w:rPr>
                <w:sz w:val="13"/>
                <w:szCs w:val="13"/>
                <w:color w:val="auto"/>
              </w:rPr>
            </w:pPr>
          </w:p>
        </w:tc>
        <w:tc>
          <w:tcPr>
            <w:tcW w:w="4120" w:type="dxa"/>
            <w:vAlign w:val="bottom"/>
            <w:gridSpan w:val="4"/>
          </w:tcPr>
          <w:p>
            <w:pPr>
              <w:spacing w:after="0" w:line="155" w:lineRule="exact"/>
              <w:rPr>
                <w:rFonts w:ascii="Arial" w:cs="Arial" w:eastAsia="Arial" w:hAnsi="Arial"/>
                <w:sz w:val="16"/>
                <w:szCs w:val="16"/>
                <w:color w:val="0000FF"/>
                <w:w w:val="99"/>
              </w:rPr>
            </w:pPr>
            <w:hyperlink r:id="rId193">
              <w:r>
                <w:rPr>
                  <w:rFonts w:ascii="Arial" w:cs="Arial" w:eastAsia="Arial" w:hAnsi="Arial"/>
                  <w:sz w:val="16"/>
                  <w:szCs w:val="16"/>
                  <w:color w:val="0000FF"/>
                  <w:w w:val="99"/>
                </w:rPr>
                <w:t>First Lien Collateral Agreement, dated as of July 31, 2020,</w:t>
              </w:r>
            </w:hyperlink>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20" w:type="dxa"/>
            <w:vAlign w:val="bottom"/>
            <w:gridSpan w:val="4"/>
          </w:tcPr>
          <w:p>
            <w:pPr>
              <w:spacing w:after="0" w:line="132" w:lineRule="exact"/>
              <w:rPr>
                <w:rFonts w:ascii="Arial" w:cs="Arial" w:eastAsia="Arial" w:hAnsi="Arial"/>
                <w:sz w:val="14"/>
                <w:szCs w:val="14"/>
                <w:color w:val="0000FF"/>
              </w:rPr>
            </w:pPr>
            <w:hyperlink r:id="rId193">
              <w:r>
                <w:rPr>
                  <w:rFonts w:ascii="Arial" w:cs="Arial" w:eastAsia="Arial" w:hAnsi="Arial"/>
                  <w:sz w:val="14"/>
                  <w:szCs w:val="14"/>
                  <w:color w:val="0000FF"/>
                </w:rPr>
                <w:t>among the Registrant, Sotera Health Holdings, LLC, the other</w:t>
              </w:r>
            </w:hyperlink>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8"/>
              </w:rPr>
              <w:t>S-1</w:t>
            </w:r>
          </w:p>
        </w:tc>
        <w:tc>
          <w:tcPr>
            <w:tcW w:w="1220" w:type="dxa"/>
            <w:vAlign w:val="bottom"/>
            <w:vMerge w:val="restart"/>
          </w:tcPr>
          <w:p>
            <w:pPr>
              <w:jc w:val="right"/>
              <w:ind w:right="142"/>
              <w:spacing w:after="0"/>
              <w:rPr>
                <w:sz w:val="20"/>
                <w:szCs w:val="20"/>
                <w:color w:val="auto"/>
              </w:rPr>
            </w:pPr>
            <w:r>
              <w:rPr>
                <w:rFonts w:ascii="Arial" w:cs="Arial" w:eastAsia="Arial" w:hAnsi="Arial"/>
                <w:sz w:val="16"/>
                <w:szCs w:val="16"/>
                <w:color w:val="auto"/>
              </w:rPr>
              <w:t>333-249648</w:t>
            </w:r>
          </w:p>
        </w:tc>
        <w:tc>
          <w:tcPr>
            <w:tcW w:w="1080" w:type="dxa"/>
            <w:vAlign w:val="bottom"/>
            <w:vMerge w:val="restart"/>
          </w:tcPr>
          <w:p>
            <w:pPr>
              <w:jc w:val="right"/>
              <w:ind w:right="342"/>
              <w:spacing w:after="0"/>
              <w:rPr>
                <w:sz w:val="20"/>
                <w:szCs w:val="20"/>
                <w:color w:val="auto"/>
              </w:rPr>
            </w:pPr>
            <w:r>
              <w:rPr>
                <w:rFonts w:ascii="Arial" w:cs="Arial" w:eastAsia="Arial" w:hAnsi="Arial"/>
                <w:sz w:val="16"/>
                <w:szCs w:val="16"/>
                <w:color w:val="auto"/>
              </w:rPr>
              <w:t>10.26</w:t>
            </w:r>
          </w:p>
        </w:tc>
        <w:tc>
          <w:tcPr>
            <w:tcW w:w="1140" w:type="dxa"/>
            <w:vAlign w:val="bottom"/>
            <w:vMerge w:val="restart"/>
          </w:tcPr>
          <w:p>
            <w:pPr>
              <w:ind w:left="120"/>
              <w:spacing w:after="0"/>
              <w:rPr>
                <w:sz w:val="20"/>
                <w:szCs w:val="20"/>
                <w:color w:val="auto"/>
              </w:rPr>
            </w:pPr>
            <w:r>
              <w:rPr>
                <w:rFonts w:ascii="Arial" w:cs="Arial" w:eastAsia="Arial" w:hAnsi="Arial"/>
                <w:sz w:val="16"/>
                <w:szCs w:val="16"/>
                <w:color w:val="auto"/>
              </w:rPr>
              <w:t>2020-10-23</w:t>
            </w: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60" w:type="dxa"/>
            <w:vAlign w:val="bottom"/>
            <w:tcBorders>
              <w:top w:val="single" w:sz="8" w:color="0000FF"/>
            </w:tcBorders>
            <w:gridSpan w:val="2"/>
            <w:vMerge w:val="restart"/>
          </w:tcPr>
          <w:p>
            <w:pPr>
              <w:spacing w:after="0" w:line="133" w:lineRule="exact"/>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grantors party thereto and Wilmington Trust, National</w:t>
              </w:r>
            </w:hyperlink>
          </w:p>
        </w:tc>
        <w:tc>
          <w:tcPr>
            <w:tcW w:w="260" w:type="dxa"/>
            <w:vAlign w:val="bottom"/>
            <w:gridSpan w:val="2"/>
            <w:vMerge w:val="restart"/>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60" w:type="dxa"/>
            <w:vAlign w:val="bottom"/>
            <w:gridSpan w:val="2"/>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60"/>
        <w:spacing w:after="0"/>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Association, as first lien notes collateral agent</w:t>
        </w:r>
      </w:hyperlink>
    </w:p>
    <w:p>
      <w:pPr>
        <w:sectPr>
          <w:pgSz w:w="11900" w:h="16838" w:orient="portrait"/>
          <w:cols w:equalWidth="0" w:num="1">
            <w:col w:w="11260"/>
          </w:cols>
          <w:pgMar w:left="320" w:top="135" w:right="31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rPr>
              <w:t>10.21</w:t>
            </w:r>
          </w:p>
        </w:tc>
        <w:tc>
          <w:tcPr>
            <w:tcW w:w="3900" w:type="dxa"/>
            <w:vAlign w:val="bottom"/>
            <w:tcBorders>
              <w:bottom w:val="single" w:sz="8" w:color="0000FF"/>
            </w:tcBorders>
            <w:gridSpan w:val="8"/>
          </w:tcPr>
          <w:p>
            <w:pPr>
              <w:spacing w:after="0"/>
              <w:rPr>
                <w:rFonts w:ascii="Arial" w:cs="Arial" w:eastAsia="Arial" w:hAnsi="Arial"/>
                <w:sz w:val="16"/>
                <w:szCs w:val="16"/>
                <w:color w:val="0000FF"/>
                <w:w w:val="86"/>
              </w:rPr>
            </w:pPr>
            <w:hyperlink r:id="rId194">
              <w:r>
                <w:rPr>
                  <w:rFonts w:ascii="Arial" w:cs="Arial" w:eastAsia="Arial" w:hAnsi="Arial"/>
                  <w:sz w:val="16"/>
                  <w:szCs w:val="16"/>
                  <w:color w:val="0000FF"/>
                  <w:w w:val="86"/>
                </w:rPr>
                <w:t>Patent Security Agreement, dated as of July 31, 2020, between</w:t>
              </w:r>
            </w:hyperlink>
          </w:p>
        </w:tc>
      </w:tr>
      <w:tr>
        <w:trPr>
          <w:trHeight w:val="132"/>
        </w:trPr>
        <w:tc>
          <w:tcPr>
            <w:tcW w:w="1460" w:type="dxa"/>
            <w:vAlign w:val="bottom"/>
          </w:tcPr>
          <w:p>
            <w:pPr>
              <w:spacing w:after="0"/>
              <w:rPr>
                <w:sz w:val="11"/>
                <w:szCs w:val="11"/>
                <w:color w:val="auto"/>
              </w:rPr>
            </w:pPr>
          </w:p>
        </w:tc>
        <w:tc>
          <w:tcPr>
            <w:tcW w:w="3900" w:type="dxa"/>
            <w:vAlign w:val="bottom"/>
            <w:gridSpan w:val="8"/>
          </w:tcPr>
          <w:p>
            <w:pPr>
              <w:spacing w:after="0" w:line="132" w:lineRule="exact"/>
              <w:rPr>
                <w:rFonts w:ascii="Arial" w:cs="Arial" w:eastAsia="Arial" w:hAnsi="Arial"/>
                <w:sz w:val="14"/>
                <w:szCs w:val="14"/>
                <w:color w:val="0000FF"/>
              </w:rPr>
            </w:pPr>
            <w:hyperlink r:id="rId194">
              <w:r>
                <w:rPr>
                  <w:rFonts w:ascii="Arial" w:cs="Arial" w:eastAsia="Arial" w:hAnsi="Arial"/>
                  <w:sz w:val="14"/>
                  <w:szCs w:val="14"/>
                  <w:color w:val="0000FF"/>
                </w:rPr>
                <w:t>Sterigenics U.S., LLC and Wilmington Trust, National</w:t>
              </w:r>
            </w:hyperlink>
          </w:p>
        </w:tc>
      </w:tr>
      <w:tr>
        <w:trPr>
          <w:trHeight w:val="132"/>
        </w:trPr>
        <w:tc>
          <w:tcPr>
            <w:tcW w:w="1460" w:type="dxa"/>
            <w:vAlign w:val="bottom"/>
          </w:tcPr>
          <w:p>
            <w:pPr>
              <w:spacing w:after="0"/>
              <w:rPr>
                <w:sz w:val="11"/>
                <w:szCs w:val="11"/>
                <w:color w:val="auto"/>
              </w:rPr>
            </w:pPr>
          </w:p>
        </w:tc>
        <w:tc>
          <w:tcPr>
            <w:tcW w:w="3400" w:type="dxa"/>
            <w:vAlign w:val="bottom"/>
            <w:tcBorders>
              <w:top w:val="single" w:sz="8" w:color="0000FF"/>
            </w:tcBorders>
            <w:gridSpan w:val="2"/>
          </w:tcPr>
          <w:p>
            <w:pPr>
              <w:spacing w:after="0" w:line="132" w:lineRule="exact"/>
              <w:rPr>
                <w:rFonts w:ascii="Arial" w:cs="Arial" w:eastAsia="Arial" w:hAnsi="Arial"/>
                <w:sz w:val="14"/>
                <w:szCs w:val="14"/>
                <w:color w:val="0000FF"/>
              </w:rPr>
            </w:pPr>
            <w:hyperlink r:id="rId194">
              <w:r>
                <w:rPr>
                  <w:rFonts w:ascii="Arial" w:cs="Arial" w:eastAsia="Arial" w:hAnsi="Arial"/>
                  <w:sz w:val="14"/>
                  <w:szCs w:val="14"/>
                  <w:color w:val="0000FF"/>
                </w:rPr>
                <w:t>Association, as first lien notes collateral agent</w:t>
              </w:r>
            </w:hyperlink>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10.22</w:t>
            </w:r>
          </w:p>
        </w:tc>
        <w:tc>
          <w:tcPr>
            <w:tcW w:w="3640" w:type="dxa"/>
            <w:vAlign w:val="bottom"/>
            <w:tcBorders>
              <w:bottom w:val="single" w:sz="8" w:color="0000FF"/>
            </w:tcBorders>
            <w:gridSpan w:val="6"/>
          </w:tcPr>
          <w:p>
            <w:pPr>
              <w:spacing w:after="0"/>
              <w:rPr>
                <w:rFonts w:ascii="Arial" w:cs="Arial" w:eastAsia="Arial" w:hAnsi="Arial"/>
                <w:sz w:val="16"/>
                <w:szCs w:val="16"/>
                <w:color w:val="0000FF"/>
                <w:w w:val="87"/>
              </w:rPr>
            </w:pPr>
            <w:hyperlink r:id="rId195">
              <w:r>
                <w:rPr>
                  <w:rFonts w:ascii="Arial" w:cs="Arial" w:eastAsia="Arial" w:hAnsi="Arial"/>
                  <w:sz w:val="16"/>
                  <w:szCs w:val="16"/>
                  <w:color w:val="0000FF"/>
                  <w:w w:val="87"/>
                </w:rPr>
                <w:t>Trademark Security Agreement, dated as of July 31, 2020,</w:t>
              </w:r>
            </w:hyperlink>
          </w:p>
        </w:tc>
        <w:tc>
          <w:tcPr>
            <w:tcW w:w="260" w:type="dxa"/>
            <w:vAlign w:val="bottom"/>
            <w:gridSpan w:val="2"/>
          </w:tcPr>
          <w:p>
            <w:pPr>
              <w:spacing w:after="0"/>
              <w:rPr>
                <w:sz w:val="23"/>
                <w:szCs w:val="23"/>
                <w:color w:val="auto"/>
              </w:rPr>
            </w:pPr>
          </w:p>
        </w:tc>
      </w:tr>
      <w:tr>
        <w:trPr>
          <w:trHeight w:val="132"/>
        </w:trPr>
        <w:tc>
          <w:tcPr>
            <w:tcW w:w="1460" w:type="dxa"/>
            <w:vAlign w:val="bottom"/>
          </w:tcPr>
          <w:p>
            <w:pPr>
              <w:spacing w:after="0"/>
              <w:rPr>
                <w:sz w:val="11"/>
                <w:szCs w:val="11"/>
                <w:color w:val="auto"/>
              </w:rPr>
            </w:pPr>
          </w:p>
        </w:tc>
        <w:tc>
          <w:tcPr>
            <w:tcW w:w="3900" w:type="dxa"/>
            <w:vAlign w:val="bottom"/>
            <w:gridSpan w:val="8"/>
          </w:tcPr>
          <w:p>
            <w:pPr>
              <w:spacing w:after="0" w:line="132" w:lineRule="exact"/>
              <w:rPr>
                <w:rFonts w:ascii="Arial" w:cs="Arial" w:eastAsia="Arial" w:hAnsi="Arial"/>
                <w:sz w:val="14"/>
                <w:szCs w:val="14"/>
                <w:color w:val="0000FF"/>
              </w:rPr>
            </w:pPr>
            <w:hyperlink r:id="rId195">
              <w:r>
                <w:rPr>
                  <w:rFonts w:ascii="Arial" w:cs="Arial" w:eastAsia="Arial" w:hAnsi="Arial"/>
                  <w:sz w:val="14"/>
                  <w:szCs w:val="14"/>
                  <w:color w:val="0000FF"/>
                </w:rPr>
                <w:t>between Sotera Health Holdings LLC and Wilmington Trust,</w:t>
              </w:r>
            </w:hyperlink>
          </w:p>
        </w:tc>
      </w:tr>
      <w:tr>
        <w:trPr>
          <w:trHeight w:val="132"/>
        </w:trPr>
        <w:tc>
          <w:tcPr>
            <w:tcW w:w="1460" w:type="dxa"/>
            <w:vAlign w:val="bottom"/>
          </w:tcPr>
          <w:p>
            <w:pPr>
              <w:spacing w:after="0"/>
              <w:rPr>
                <w:sz w:val="11"/>
                <w:szCs w:val="11"/>
                <w:color w:val="auto"/>
              </w:rPr>
            </w:pPr>
          </w:p>
        </w:tc>
        <w:tc>
          <w:tcPr>
            <w:tcW w:w="3800" w:type="dxa"/>
            <w:vAlign w:val="bottom"/>
            <w:tcBorders>
              <w:top w:val="single" w:sz="8" w:color="0000FF"/>
            </w:tcBorders>
            <w:gridSpan w:val="7"/>
          </w:tcPr>
          <w:p>
            <w:pPr>
              <w:spacing w:after="0" w:line="132" w:lineRule="exact"/>
              <w:rPr>
                <w:rFonts w:ascii="Arial" w:cs="Arial" w:eastAsia="Arial" w:hAnsi="Arial"/>
                <w:sz w:val="14"/>
                <w:szCs w:val="14"/>
                <w:color w:val="0000FF"/>
              </w:rPr>
            </w:pPr>
            <w:hyperlink r:id="rId195">
              <w:r>
                <w:rPr>
                  <w:rFonts w:ascii="Arial" w:cs="Arial" w:eastAsia="Arial" w:hAnsi="Arial"/>
                  <w:sz w:val="14"/>
                  <w:szCs w:val="14"/>
                  <w:color w:val="0000FF"/>
                </w:rPr>
                <w:t>National Association, as first lien notes collateral agent</w:t>
              </w:r>
            </w:hyperlink>
          </w:p>
        </w:tc>
        <w:tc>
          <w:tcPr>
            <w:tcW w:w="10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10.23†</w:t>
            </w:r>
          </w:p>
        </w:tc>
        <w:tc>
          <w:tcPr>
            <w:tcW w:w="3900" w:type="dxa"/>
            <w:vAlign w:val="bottom"/>
            <w:gridSpan w:val="8"/>
          </w:tcPr>
          <w:p>
            <w:pPr>
              <w:spacing w:after="0"/>
              <w:rPr>
                <w:rFonts w:ascii="Arial" w:cs="Arial" w:eastAsia="Arial" w:hAnsi="Arial"/>
                <w:sz w:val="16"/>
                <w:szCs w:val="16"/>
                <w:color w:val="0000FF"/>
                <w:w w:val="95"/>
              </w:rPr>
            </w:pPr>
            <w:hyperlink r:id="rId196">
              <w:r>
                <w:rPr>
                  <w:rFonts w:ascii="Arial" w:cs="Arial" w:eastAsia="Arial" w:hAnsi="Arial"/>
                  <w:sz w:val="16"/>
                  <w:szCs w:val="16"/>
                  <w:color w:val="0000FF"/>
                  <w:w w:val="95"/>
                </w:rPr>
                <w:t>Copyright Security Agreement, dated as of July 31, 2020,</w:t>
              </w:r>
            </w:hyperlink>
          </w:p>
        </w:tc>
      </w:tr>
      <w:tr>
        <w:trPr>
          <w:trHeight w:val="132"/>
        </w:trPr>
        <w:tc>
          <w:tcPr>
            <w:tcW w:w="1460" w:type="dxa"/>
            <w:vAlign w:val="bottom"/>
          </w:tcPr>
          <w:p>
            <w:pPr>
              <w:spacing w:after="0"/>
              <w:rPr>
                <w:sz w:val="11"/>
                <w:szCs w:val="11"/>
                <w:color w:val="auto"/>
              </w:rPr>
            </w:pPr>
          </w:p>
        </w:tc>
        <w:tc>
          <w:tcPr>
            <w:tcW w:w="3600" w:type="dxa"/>
            <w:vAlign w:val="bottom"/>
            <w:tcBorders>
              <w:top w:val="single" w:sz="8" w:color="0000FF"/>
              <w:bottom w:val="single" w:sz="8" w:color="0000FF"/>
            </w:tcBorders>
            <w:gridSpan w:val="5"/>
          </w:tcPr>
          <w:p>
            <w:pPr>
              <w:spacing w:after="0" w:line="132" w:lineRule="exact"/>
              <w:rPr>
                <w:rFonts w:ascii="Arial" w:cs="Arial" w:eastAsia="Arial" w:hAnsi="Arial"/>
                <w:sz w:val="14"/>
                <w:szCs w:val="14"/>
                <w:color w:val="0000FF"/>
              </w:rPr>
            </w:pPr>
            <w:hyperlink r:id="rId196">
              <w:r>
                <w:rPr>
                  <w:rFonts w:ascii="Arial" w:cs="Arial" w:eastAsia="Arial" w:hAnsi="Arial"/>
                  <w:sz w:val="14"/>
                  <w:szCs w:val="14"/>
                  <w:color w:val="0000FF"/>
                </w:rPr>
                <w:t>between Nelson Laboratories, LLC and Wilmington Trust,</w:t>
              </w:r>
            </w:hyperlink>
          </w:p>
        </w:tc>
        <w:tc>
          <w:tcPr>
            <w:tcW w:w="40" w:type="dxa"/>
            <w:vAlign w:val="bottom"/>
            <w:tcBorders>
              <w:bottom w:val="single" w:sz="8" w:color="0000FF"/>
            </w:tcBorders>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3640" w:type="dxa"/>
            <w:vAlign w:val="bottom"/>
            <w:gridSpan w:val="6"/>
          </w:tcPr>
          <w:p>
            <w:pPr>
              <w:spacing w:after="0" w:line="132" w:lineRule="exact"/>
              <w:rPr>
                <w:rFonts w:ascii="Arial" w:cs="Arial" w:eastAsia="Arial" w:hAnsi="Arial"/>
                <w:sz w:val="14"/>
                <w:szCs w:val="14"/>
                <w:color w:val="0000FF"/>
              </w:rPr>
            </w:pPr>
            <w:hyperlink r:id="rId196">
              <w:r>
                <w:rPr>
                  <w:rFonts w:ascii="Arial" w:cs="Arial" w:eastAsia="Arial" w:hAnsi="Arial"/>
                  <w:sz w:val="14"/>
                  <w:szCs w:val="14"/>
                  <w:color w:val="0000FF"/>
                </w:rPr>
                <w:t>National Association, as first lien notes collateral agent</w:t>
              </w:r>
            </w:hyperlink>
          </w:p>
        </w:tc>
        <w:tc>
          <w:tcPr>
            <w:tcW w:w="260" w:type="dxa"/>
            <w:vAlign w:val="bottom"/>
            <w:gridSpan w:val="2"/>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10.24+</w:t>
            </w:r>
          </w:p>
        </w:tc>
        <w:tc>
          <w:tcPr>
            <w:tcW w:w="3900" w:type="dxa"/>
            <w:vAlign w:val="bottom"/>
            <w:gridSpan w:val="8"/>
          </w:tcPr>
          <w:p>
            <w:pPr>
              <w:spacing w:after="0"/>
              <w:rPr>
                <w:rFonts w:ascii="Arial" w:cs="Arial" w:eastAsia="Arial" w:hAnsi="Arial"/>
                <w:sz w:val="16"/>
                <w:szCs w:val="16"/>
                <w:color w:val="0000FF"/>
                <w:w w:val="94"/>
              </w:rPr>
            </w:pPr>
            <w:hyperlink r:id="rId197">
              <w:r>
                <w:rPr>
                  <w:rFonts w:ascii="Arial" w:cs="Arial" w:eastAsia="Arial" w:hAnsi="Arial"/>
                  <w:sz w:val="16"/>
                  <w:szCs w:val="16"/>
                  <w:color w:val="0000FF"/>
                  <w:w w:val="94"/>
                </w:rPr>
                <w:t>Restated Supply Agreement, dated as of October 6, 2020,</w:t>
              </w:r>
            </w:hyperlink>
          </w:p>
        </w:tc>
      </w:tr>
      <w:tr>
        <w:trPr>
          <w:trHeight w:val="133"/>
        </w:trPr>
        <w:tc>
          <w:tcPr>
            <w:tcW w:w="1460" w:type="dxa"/>
            <w:vAlign w:val="bottom"/>
          </w:tcPr>
          <w:p>
            <w:pPr>
              <w:spacing w:after="0"/>
              <w:rPr>
                <w:sz w:val="11"/>
                <w:szCs w:val="11"/>
                <w:color w:val="auto"/>
              </w:rPr>
            </w:pPr>
          </w:p>
        </w:tc>
        <w:tc>
          <w:tcPr>
            <w:tcW w:w="3580" w:type="dxa"/>
            <w:vAlign w:val="bottom"/>
            <w:tcBorders>
              <w:top w:val="single" w:sz="8" w:color="0000FF"/>
            </w:tcBorders>
            <w:gridSpan w:val="4"/>
          </w:tcPr>
          <w:p>
            <w:pPr>
              <w:spacing w:after="0" w:line="133" w:lineRule="exact"/>
              <w:rPr>
                <w:rFonts w:ascii="Arial" w:cs="Arial" w:eastAsia="Arial" w:hAnsi="Arial"/>
                <w:sz w:val="14"/>
                <w:szCs w:val="14"/>
                <w:u w:val="single" w:color="auto"/>
                <w:color w:val="0000FF"/>
                <w:w w:val="99"/>
              </w:rPr>
            </w:pPr>
            <w:hyperlink r:id="rId197">
              <w:r>
                <w:rPr>
                  <w:rFonts w:ascii="Arial" w:cs="Arial" w:eastAsia="Arial" w:hAnsi="Arial"/>
                  <w:sz w:val="14"/>
                  <w:szCs w:val="14"/>
                  <w:u w:val="single" w:color="auto"/>
                  <w:color w:val="0000FF"/>
                  <w:w w:val="99"/>
                </w:rPr>
                <w:t>between Balchem Corporation and Sterigenics U.S., LLC,</w:t>
              </w:r>
            </w:hyperlink>
          </w:p>
        </w:tc>
        <w:tc>
          <w:tcPr>
            <w:tcW w:w="320" w:type="dxa"/>
            <w:vAlign w:val="bottom"/>
            <w:gridSpan w:val="4"/>
          </w:tcPr>
          <w:p>
            <w:pPr>
              <w:spacing w:after="0"/>
              <w:rPr>
                <w:sz w:val="11"/>
                <w:szCs w:val="11"/>
                <w:color w:val="auto"/>
              </w:rPr>
            </w:pPr>
          </w:p>
        </w:tc>
      </w:tr>
    </w:tbl>
    <w:p>
      <w:pPr>
        <w:ind w:left="1460"/>
        <w:spacing w:after="0" w:line="225" w:lineRule="auto"/>
        <w:rPr>
          <w:rFonts w:ascii="Arial" w:cs="Arial" w:eastAsia="Arial" w:hAnsi="Arial"/>
          <w:sz w:val="14"/>
          <w:szCs w:val="14"/>
          <w:u w:val="single" w:color="auto"/>
          <w:color w:val="0000FF"/>
        </w:rPr>
      </w:pPr>
      <w:hyperlink r:id="rId197">
        <w:r>
          <w:rPr>
            <w:rFonts w:ascii="Arial" w:cs="Arial" w:eastAsia="Arial" w:hAnsi="Arial"/>
            <w:sz w:val="14"/>
            <w:szCs w:val="14"/>
            <w:u w:val="single" w:color="auto"/>
            <w:color w:val="0000FF"/>
          </w:rPr>
          <w:t>Sterigenics S. De R.L. De C.V., Sterigenics Costa Rica S.R.L.</w:t>
        </w:r>
      </w:hyperlink>
    </w:p>
    <w:p>
      <w:pPr>
        <w:spacing w:after="0" w:line="1" w:lineRule="exact"/>
        <w:rPr>
          <w:sz w:val="20"/>
          <w:szCs w:val="20"/>
          <w:color w:val="auto"/>
        </w:rPr>
      </w:pPr>
    </w:p>
    <w:p>
      <w:pPr>
        <w:ind w:left="1460"/>
        <w:spacing w:after="0"/>
        <w:rPr>
          <w:rFonts w:ascii="Arial" w:cs="Arial" w:eastAsia="Arial" w:hAnsi="Arial"/>
          <w:sz w:val="16"/>
          <w:szCs w:val="16"/>
          <w:u w:val="single" w:color="auto"/>
          <w:color w:val="0000FF"/>
        </w:rPr>
      </w:pPr>
      <w:hyperlink r:id="rId197">
        <w:r>
          <w:rPr>
            <w:rFonts w:ascii="Arial" w:cs="Arial" w:eastAsia="Arial" w:hAnsi="Arial"/>
            <w:sz w:val="16"/>
            <w:szCs w:val="16"/>
            <w:u w:val="single" w:color="auto"/>
            <w:color w:val="0000FF"/>
          </w:rPr>
          <w:t>and Sterigenics EO Canada, Inc.</w:t>
        </w:r>
      </w:hyperlink>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10.27</w:t>
            </w:r>
          </w:p>
        </w:tc>
        <w:tc>
          <w:tcPr>
            <w:tcW w:w="1000" w:type="dxa"/>
            <w:vAlign w:val="bottom"/>
          </w:tcPr>
          <w:p>
            <w:pPr>
              <w:jc w:val="right"/>
              <w:spacing w:after="0"/>
              <w:rPr>
                <w:sz w:val="20"/>
                <w:szCs w:val="20"/>
                <w:color w:val="auto"/>
              </w:rPr>
            </w:pPr>
            <w:r>
              <w:rPr>
                <w:rFonts w:ascii="Arial" w:cs="Arial" w:eastAsia="Arial" w:hAnsi="Arial"/>
                <w:sz w:val="16"/>
                <w:szCs w:val="16"/>
                <w:color w:val="auto"/>
              </w:rPr>
              <w:t>2020-10-23</w:t>
            </w:r>
          </w:p>
        </w:tc>
      </w:tr>
      <w:tr>
        <w:trPr>
          <w:trHeight w:val="595"/>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10.28</w:t>
            </w:r>
          </w:p>
        </w:tc>
        <w:tc>
          <w:tcPr>
            <w:tcW w:w="1000" w:type="dxa"/>
            <w:vAlign w:val="bottom"/>
          </w:tcPr>
          <w:p>
            <w:pPr>
              <w:jc w:val="right"/>
              <w:spacing w:after="0"/>
              <w:rPr>
                <w:sz w:val="20"/>
                <w:szCs w:val="20"/>
                <w:color w:val="auto"/>
              </w:rPr>
            </w:pPr>
            <w:r>
              <w:rPr>
                <w:rFonts w:ascii="Arial" w:cs="Arial" w:eastAsia="Arial" w:hAnsi="Arial"/>
                <w:sz w:val="16"/>
                <w:szCs w:val="16"/>
                <w:color w:val="auto"/>
              </w:rPr>
              <w:t>2020-10-23</w:t>
            </w:r>
          </w:p>
        </w:tc>
      </w:tr>
      <w:tr>
        <w:trPr>
          <w:trHeight w:val="595"/>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10.29</w:t>
            </w:r>
          </w:p>
        </w:tc>
        <w:tc>
          <w:tcPr>
            <w:tcW w:w="1000" w:type="dxa"/>
            <w:vAlign w:val="bottom"/>
          </w:tcPr>
          <w:p>
            <w:pPr>
              <w:jc w:val="right"/>
              <w:spacing w:after="0"/>
              <w:rPr>
                <w:sz w:val="20"/>
                <w:szCs w:val="20"/>
                <w:color w:val="auto"/>
              </w:rPr>
            </w:pPr>
            <w:r>
              <w:rPr>
                <w:rFonts w:ascii="Arial" w:cs="Arial" w:eastAsia="Arial" w:hAnsi="Arial"/>
                <w:sz w:val="16"/>
                <w:szCs w:val="16"/>
                <w:color w:val="auto"/>
              </w:rPr>
              <w:t>2020-10-23</w:t>
            </w:r>
          </w:p>
        </w:tc>
      </w:tr>
      <w:tr>
        <w:trPr>
          <w:trHeight w:val="664"/>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10.30</w:t>
            </w:r>
          </w:p>
        </w:tc>
        <w:tc>
          <w:tcPr>
            <w:tcW w:w="1000" w:type="dxa"/>
            <w:vAlign w:val="bottom"/>
          </w:tcPr>
          <w:p>
            <w:pPr>
              <w:jc w:val="right"/>
              <w:spacing w:after="0"/>
              <w:rPr>
                <w:sz w:val="20"/>
                <w:szCs w:val="20"/>
                <w:color w:val="auto"/>
              </w:rPr>
            </w:pPr>
            <w:r>
              <w:rPr>
                <w:rFonts w:ascii="Arial" w:cs="Arial" w:eastAsia="Arial" w:hAnsi="Arial"/>
                <w:sz w:val="16"/>
                <w:szCs w:val="16"/>
                <w:color w:val="auto"/>
              </w:rPr>
              <w:t>2020-11-18</w:t>
            </w:r>
          </w:p>
        </w:tc>
      </w:tr>
    </w:tbl>
    <w:p>
      <w:pPr>
        <w:spacing w:after="0" w:line="306" w:lineRule="exact"/>
        <w:rPr>
          <w:sz w:val="20"/>
          <w:szCs w:val="20"/>
          <w:color w:val="auto"/>
        </w:rPr>
      </w:pPr>
    </w:p>
    <w:p>
      <w:pPr>
        <w:sectPr>
          <w:pgSz w:w="11900" w:h="16838" w:orient="portrait"/>
          <w:cols w:equalWidth="0" w:num="2">
            <w:col w:w="6480" w:space="720"/>
            <w:col w:w="4060"/>
          </w:cols>
          <w:pgMar w:left="320" w:top="135"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rPr>
              <w:t>10.25+</w:t>
            </w:r>
          </w:p>
        </w:tc>
        <w:tc>
          <w:tcPr>
            <w:tcW w:w="3800" w:type="dxa"/>
            <w:vAlign w:val="bottom"/>
            <w:tcBorders>
              <w:bottom w:val="single" w:sz="8" w:color="0000FF"/>
            </w:tcBorders>
            <w:gridSpan w:val="12"/>
          </w:tcPr>
          <w:p>
            <w:pPr>
              <w:spacing w:after="0"/>
              <w:rPr>
                <w:rFonts w:ascii="Arial" w:cs="Arial" w:eastAsia="Arial" w:hAnsi="Arial"/>
                <w:sz w:val="16"/>
                <w:szCs w:val="16"/>
                <w:color w:val="0000FF"/>
                <w:w w:val="88"/>
              </w:rPr>
            </w:pPr>
            <w:hyperlink r:id="rId198">
              <w:r>
                <w:rPr>
                  <w:rFonts w:ascii="Arial" w:cs="Arial" w:eastAsia="Arial" w:hAnsi="Arial"/>
                  <w:sz w:val="16"/>
                  <w:szCs w:val="16"/>
                  <w:color w:val="0000FF"/>
                  <w:w w:val="88"/>
                </w:rPr>
                <w:t>Form of Restricted Stock Agreement and Acknowledgement</w:t>
              </w:r>
            </w:hyperlink>
          </w:p>
        </w:tc>
        <w:tc>
          <w:tcPr>
            <w:tcW w:w="40" w:type="dxa"/>
            <w:vAlign w:val="bottom"/>
            <w:gridSpan w:val="2"/>
          </w:tcPr>
          <w:p>
            <w:pPr>
              <w:spacing w:after="0"/>
              <w:rPr>
                <w:sz w:val="16"/>
                <w:szCs w:val="16"/>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10.26+</w:t>
            </w:r>
          </w:p>
        </w:tc>
        <w:tc>
          <w:tcPr>
            <w:tcW w:w="3840" w:type="dxa"/>
            <w:vAlign w:val="bottom"/>
            <w:gridSpan w:val="14"/>
          </w:tcPr>
          <w:p>
            <w:pPr>
              <w:spacing w:after="0"/>
              <w:rPr>
                <w:rFonts w:ascii="Arial" w:cs="Arial" w:eastAsia="Arial" w:hAnsi="Arial"/>
                <w:sz w:val="16"/>
                <w:szCs w:val="16"/>
                <w:color w:val="0000FF"/>
              </w:rPr>
            </w:pPr>
            <w:hyperlink r:id="rId199">
              <w:r>
                <w:rPr>
                  <w:rFonts w:ascii="Arial" w:cs="Arial" w:eastAsia="Arial" w:hAnsi="Arial"/>
                  <w:sz w:val="16"/>
                  <w:szCs w:val="16"/>
                  <w:color w:val="0000FF"/>
                </w:rPr>
                <w:t>Non-Employee Director Compensation Policy</w:t>
              </w:r>
            </w:hyperlink>
          </w:p>
        </w:tc>
      </w:tr>
      <w:tr>
        <w:trPr>
          <w:trHeight w:val="20"/>
        </w:trPr>
        <w:tc>
          <w:tcPr>
            <w:tcW w:w="14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10.27</w:t>
            </w:r>
          </w:p>
        </w:tc>
        <w:tc>
          <w:tcPr>
            <w:tcW w:w="3840" w:type="dxa"/>
            <w:vAlign w:val="bottom"/>
            <w:gridSpan w:val="14"/>
          </w:tcPr>
          <w:p>
            <w:pPr>
              <w:spacing w:after="0"/>
              <w:rPr>
                <w:rFonts w:ascii="Arial" w:cs="Arial" w:eastAsia="Arial" w:hAnsi="Arial"/>
                <w:sz w:val="16"/>
                <w:szCs w:val="16"/>
                <w:color w:val="0000FF"/>
                <w:w w:val="89"/>
              </w:rPr>
            </w:pPr>
            <w:hyperlink r:id="rId200">
              <w:r>
                <w:rPr>
                  <w:rFonts w:ascii="Arial" w:cs="Arial" w:eastAsia="Arial" w:hAnsi="Arial"/>
                  <w:sz w:val="16"/>
                  <w:szCs w:val="16"/>
                  <w:color w:val="0000FF"/>
                  <w:w w:val="89"/>
                </w:rPr>
                <w:t>Employment Agreement by and between Sotera Health LLC</w:t>
              </w:r>
            </w:hyperlink>
          </w:p>
        </w:tc>
      </w:tr>
      <w:tr>
        <w:trPr>
          <w:trHeight w:val="132"/>
        </w:trPr>
        <w:tc>
          <w:tcPr>
            <w:tcW w:w="146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2"/>
          </w:tcPr>
          <w:p>
            <w:pPr>
              <w:spacing w:after="0" w:line="132" w:lineRule="exact"/>
              <w:rPr>
                <w:rFonts w:ascii="Arial" w:cs="Arial" w:eastAsia="Arial" w:hAnsi="Arial"/>
                <w:sz w:val="14"/>
                <w:szCs w:val="14"/>
                <w:color w:val="0000FF"/>
                <w:w w:val="99"/>
              </w:rPr>
            </w:pPr>
            <w:hyperlink r:id="rId200">
              <w:r>
                <w:rPr>
                  <w:rFonts w:ascii="Arial" w:cs="Arial" w:eastAsia="Arial" w:hAnsi="Arial"/>
                  <w:sz w:val="14"/>
                  <w:szCs w:val="14"/>
                  <w:color w:val="0000FF"/>
                  <w:w w:val="99"/>
                </w:rPr>
                <w:t>and Michael P. Rutz, dated as of May 21, 2020</w:t>
              </w:r>
            </w:hyperlink>
          </w:p>
        </w:tc>
        <w:tc>
          <w:tcPr>
            <w:tcW w:w="86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10.28</w:t>
            </w:r>
          </w:p>
        </w:tc>
        <w:tc>
          <w:tcPr>
            <w:tcW w:w="3540" w:type="dxa"/>
            <w:vAlign w:val="bottom"/>
            <w:tcBorders>
              <w:bottom w:val="single" w:sz="8" w:color="0000FF"/>
            </w:tcBorders>
            <w:gridSpan w:val="7"/>
          </w:tcPr>
          <w:p>
            <w:pPr>
              <w:spacing w:after="0"/>
              <w:rPr>
                <w:rFonts w:ascii="Arial" w:cs="Arial" w:eastAsia="Arial" w:hAnsi="Arial"/>
                <w:sz w:val="16"/>
                <w:szCs w:val="16"/>
                <w:color w:val="0000FF"/>
                <w:w w:val="90"/>
              </w:rPr>
            </w:pPr>
            <w:hyperlink r:id="rId201">
              <w:r>
                <w:rPr>
                  <w:rFonts w:ascii="Arial" w:cs="Arial" w:eastAsia="Arial" w:hAnsi="Arial"/>
                  <w:sz w:val="16"/>
                  <w:szCs w:val="16"/>
                  <w:color w:val="0000FF"/>
                  <w:w w:val="90"/>
                </w:rPr>
                <w:t>Incremental Facility Amendment to the First Lien Credit</w:t>
              </w:r>
            </w:hyperlink>
          </w:p>
        </w:tc>
        <w:tc>
          <w:tcPr>
            <w:tcW w:w="300" w:type="dxa"/>
            <w:vAlign w:val="bottom"/>
            <w:gridSpan w:val="7"/>
          </w:tcPr>
          <w:p>
            <w:pPr>
              <w:spacing w:after="0"/>
              <w:rPr>
                <w:sz w:val="23"/>
                <w:szCs w:val="23"/>
                <w:color w:val="auto"/>
              </w:rPr>
            </w:pPr>
          </w:p>
        </w:tc>
      </w:tr>
      <w:tr>
        <w:trPr>
          <w:trHeight w:val="132"/>
        </w:trPr>
        <w:tc>
          <w:tcPr>
            <w:tcW w:w="1460" w:type="dxa"/>
            <w:vAlign w:val="bottom"/>
          </w:tcPr>
          <w:p>
            <w:pPr>
              <w:spacing w:after="0"/>
              <w:rPr>
                <w:sz w:val="11"/>
                <w:szCs w:val="11"/>
                <w:color w:val="auto"/>
              </w:rPr>
            </w:pPr>
          </w:p>
        </w:tc>
        <w:tc>
          <w:tcPr>
            <w:tcW w:w="3840" w:type="dxa"/>
            <w:vAlign w:val="bottom"/>
            <w:gridSpan w:val="14"/>
          </w:tcPr>
          <w:p>
            <w:pPr>
              <w:spacing w:after="0" w:line="132" w:lineRule="exact"/>
              <w:rPr>
                <w:rFonts w:ascii="Arial" w:cs="Arial" w:eastAsia="Arial" w:hAnsi="Arial"/>
                <w:sz w:val="14"/>
                <w:szCs w:val="14"/>
                <w:color w:val="0000FF"/>
              </w:rPr>
            </w:pPr>
            <w:hyperlink r:id="rId201">
              <w:r>
                <w:rPr>
                  <w:rFonts w:ascii="Arial" w:cs="Arial" w:eastAsia="Arial" w:hAnsi="Arial"/>
                  <w:sz w:val="14"/>
                  <w:szCs w:val="14"/>
                  <w:color w:val="0000FF"/>
                </w:rPr>
                <w:t>Agreement, dated as of December 17, 2020, among Sotera</w:t>
              </w:r>
            </w:hyperlink>
          </w:p>
        </w:tc>
      </w:tr>
      <w:tr>
        <w:trPr>
          <w:trHeight w:val="132"/>
        </w:trPr>
        <w:tc>
          <w:tcPr>
            <w:tcW w:w="1460" w:type="dxa"/>
            <w:vAlign w:val="bottom"/>
          </w:tcPr>
          <w:p>
            <w:pPr>
              <w:spacing w:after="0"/>
              <w:rPr>
                <w:sz w:val="11"/>
                <w:szCs w:val="11"/>
                <w:color w:val="auto"/>
              </w:rPr>
            </w:pPr>
          </w:p>
        </w:tc>
        <w:tc>
          <w:tcPr>
            <w:tcW w:w="3640" w:type="dxa"/>
            <w:vAlign w:val="bottom"/>
            <w:tcBorders>
              <w:top w:val="single" w:sz="8" w:color="0000FF"/>
            </w:tcBorders>
            <w:gridSpan w:val="8"/>
          </w:tcPr>
          <w:p>
            <w:pPr>
              <w:spacing w:after="0" w:line="132" w:lineRule="exact"/>
              <w:rPr>
                <w:rFonts w:ascii="Arial" w:cs="Arial" w:eastAsia="Arial" w:hAnsi="Arial"/>
                <w:sz w:val="14"/>
                <w:szCs w:val="14"/>
                <w:color w:val="0000FF"/>
              </w:rPr>
            </w:pPr>
            <w:hyperlink r:id="rId201">
              <w:r>
                <w:rPr>
                  <w:rFonts w:ascii="Arial" w:cs="Arial" w:eastAsia="Arial" w:hAnsi="Arial"/>
                  <w:sz w:val="14"/>
                  <w:szCs w:val="14"/>
                  <w:color w:val="0000FF"/>
                </w:rPr>
                <w:t>Health Company, Sotera Health Holdings, LLC, the</w:t>
              </w:r>
            </w:hyperlink>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460" w:type="dxa"/>
            <w:vAlign w:val="bottom"/>
          </w:tcPr>
          <w:p>
            <w:pPr>
              <w:spacing w:after="0"/>
              <w:rPr>
                <w:sz w:val="11"/>
                <w:szCs w:val="11"/>
                <w:color w:val="auto"/>
              </w:rPr>
            </w:pPr>
          </w:p>
        </w:tc>
        <w:tc>
          <w:tcPr>
            <w:tcW w:w="3840" w:type="dxa"/>
            <w:vAlign w:val="bottom"/>
            <w:gridSpan w:val="14"/>
          </w:tcPr>
          <w:p>
            <w:pPr>
              <w:spacing w:after="0" w:line="132" w:lineRule="exact"/>
              <w:rPr>
                <w:rFonts w:ascii="Arial" w:cs="Arial" w:eastAsia="Arial" w:hAnsi="Arial"/>
                <w:sz w:val="14"/>
                <w:szCs w:val="14"/>
                <w:color w:val="0000FF"/>
              </w:rPr>
            </w:pPr>
            <w:hyperlink r:id="rId201">
              <w:r>
                <w:rPr>
                  <w:rFonts w:ascii="Arial" w:cs="Arial" w:eastAsia="Arial" w:hAnsi="Arial"/>
                  <w:sz w:val="14"/>
                  <w:szCs w:val="14"/>
                  <w:color w:val="0000FF"/>
                </w:rPr>
                <w:t>Incremental Amendment Revolving Lends party thereto,</w:t>
              </w:r>
            </w:hyperlink>
          </w:p>
        </w:tc>
      </w:tr>
      <w:tr>
        <w:trPr>
          <w:trHeight w:val="20"/>
        </w:trPr>
        <w:tc>
          <w:tcPr>
            <w:tcW w:w="14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460" w:type="dxa"/>
            <w:vAlign w:val="bottom"/>
          </w:tcPr>
          <w:p>
            <w:pPr>
              <w:spacing w:after="0"/>
              <w:rPr>
                <w:sz w:val="11"/>
                <w:szCs w:val="11"/>
                <w:color w:val="auto"/>
              </w:rPr>
            </w:pPr>
          </w:p>
        </w:tc>
        <w:tc>
          <w:tcPr>
            <w:tcW w:w="3840" w:type="dxa"/>
            <w:vAlign w:val="bottom"/>
            <w:gridSpan w:val="14"/>
          </w:tcPr>
          <w:p>
            <w:pPr>
              <w:spacing w:after="0" w:line="132" w:lineRule="exact"/>
              <w:rPr>
                <w:rFonts w:ascii="Arial" w:cs="Arial" w:eastAsia="Arial" w:hAnsi="Arial"/>
                <w:sz w:val="14"/>
                <w:szCs w:val="14"/>
                <w:color w:val="0000FF"/>
              </w:rPr>
            </w:pPr>
            <w:hyperlink r:id="rId201">
              <w:r>
                <w:rPr>
                  <w:rFonts w:ascii="Arial" w:cs="Arial" w:eastAsia="Arial" w:hAnsi="Arial"/>
                  <w:sz w:val="14"/>
                  <w:szCs w:val="14"/>
                  <w:color w:val="0000FF"/>
                </w:rPr>
                <w:t>Jefferies Finance LLC, as First Lien Administrative Agent,</w:t>
              </w:r>
            </w:hyperlink>
          </w:p>
        </w:tc>
      </w:tr>
      <w:tr>
        <w:trPr>
          <w:trHeight w:val="132"/>
        </w:trPr>
        <w:tc>
          <w:tcPr>
            <w:tcW w:w="1460" w:type="dxa"/>
            <w:vAlign w:val="bottom"/>
          </w:tcPr>
          <w:p>
            <w:pPr>
              <w:spacing w:after="0"/>
              <w:rPr>
                <w:sz w:val="11"/>
                <w:szCs w:val="11"/>
                <w:color w:val="auto"/>
              </w:rPr>
            </w:pPr>
          </w:p>
        </w:tc>
        <w:tc>
          <w:tcPr>
            <w:tcW w:w="3680" w:type="dxa"/>
            <w:vAlign w:val="bottom"/>
            <w:tcBorders>
              <w:top w:val="single" w:sz="8" w:color="0000FF"/>
            </w:tcBorders>
            <w:gridSpan w:val="9"/>
          </w:tcPr>
          <w:p>
            <w:pPr>
              <w:spacing w:after="0" w:line="132" w:lineRule="exact"/>
              <w:rPr>
                <w:rFonts w:ascii="Arial" w:cs="Arial" w:eastAsia="Arial" w:hAnsi="Arial"/>
                <w:sz w:val="14"/>
                <w:szCs w:val="14"/>
                <w:color w:val="0000FF"/>
              </w:rPr>
            </w:pPr>
            <w:hyperlink r:id="rId201">
              <w:r>
                <w:rPr>
                  <w:rFonts w:ascii="Arial" w:cs="Arial" w:eastAsia="Arial" w:hAnsi="Arial"/>
                  <w:sz w:val="14"/>
                  <w:szCs w:val="14"/>
                  <w:color w:val="0000FF"/>
                </w:rPr>
                <w:t>each Issuing Bank and the Other Loan Parties</w:t>
              </w:r>
            </w:hyperlink>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10.29</w:t>
            </w:r>
          </w:p>
        </w:tc>
        <w:tc>
          <w:tcPr>
            <w:tcW w:w="3840" w:type="dxa"/>
            <w:vAlign w:val="bottom"/>
            <w:gridSpan w:val="14"/>
          </w:tcPr>
          <w:p>
            <w:pPr>
              <w:spacing w:after="0"/>
              <w:rPr>
                <w:rFonts w:ascii="Arial" w:cs="Arial" w:eastAsia="Arial" w:hAnsi="Arial"/>
                <w:sz w:val="16"/>
                <w:szCs w:val="16"/>
                <w:color w:val="0000FF"/>
                <w:w w:val="90"/>
              </w:rPr>
            </w:pPr>
            <w:hyperlink r:id="rId202">
              <w:r>
                <w:rPr>
                  <w:rFonts w:ascii="Arial" w:cs="Arial" w:eastAsia="Arial" w:hAnsi="Arial"/>
                  <w:sz w:val="16"/>
                  <w:szCs w:val="16"/>
                  <w:color w:val="0000FF"/>
                  <w:w w:val="90"/>
                </w:rPr>
                <w:t>Refinancing Amendment to the First Lien Credit Agreement,</w:t>
              </w:r>
            </w:hyperlink>
          </w:p>
        </w:tc>
      </w:tr>
      <w:tr>
        <w:trPr>
          <w:trHeight w:val="132"/>
        </w:trPr>
        <w:tc>
          <w:tcPr>
            <w:tcW w:w="146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12"/>
          </w:tcPr>
          <w:p>
            <w:pPr>
              <w:spacing w:after="0" w:line="132" w:lineRule="exact"/>
              <w:rPr>
                <w:rFonts w:ascii="Arial" w:cs="Arial" w:eastAsia="Arial" w:hAnsi="Arial"/>
                <w:sz w:val="14"/>
                <w:szCs w:val="14"/>
                <w:color w:val="0000FF"/>
                <w:w w:val="97"/>
              </w:rPr>
            </w:pPr>
            <w:hyperlink r:id="rId202">
              <w:r>
                <w:rPr>
                  <w:rFonts w:ascii="Arial" w:cs="Arial" w:eastAsia="Arial" w:hAnsi="Arial"/>
                  <w:sz w:val="14"/>
                  <w:szCs w:val="14"/>
                  <w:color w:val="0000FF"/>
                  <w:w w:val="97"/>
                </w:rPr>
                <w:t>dated as of January 20, 2021, among Sotera Health Company,</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3840" w:type="dxa"/>
            <w:vAlign w:val="bottom"/>
            <w:gridSpan w:val="14"/>
          </w:tcPr>
          <w:p>
            <w:pPr>
              <w:spacing w:after="0" w:line="132" w:lineRule="exact"/>
              <w:rPr>
                <w:rFonts w:ascii="Arial" w:cs="Arial" w:eastAsia="Arial" w:hAnsi="Arial"/>
                <w:sz w:val="14"/>
                <w:szCs w:val="14"/>
                <w:color w:val="0000FF"/>
              </w:rPr>
            </w:pPr>
            <w:hyperlink r:id="rId202">
              <w:r>
                <w:rPr>
                  <w:rFonts w:ascii="Arial" w:cs="Arial" w:eastAsia="Arial" w:hAnsi="Arial"/>
                  <w:sz w:val="14"/>
                  <w:szCs w:val="14"/>
                  <w:color w:val="0000FF"/>
                </w:rPr>
                <w:t>Sotera Health Holdings, LLC, the Refinancing Lenders Party</w:t>
              </w:r>
            </w:hyperlink>
          </w:p>
        </w:tc>
      </w:tr>
      <w:tr>
        <w:trPr>
          <w:trHeight w:val="132"/>
        </w:trPr>
        <w:tc>
          <w:tcPr>
            <w:tcW w:w="1460" w:type="dxa"/>
            <w:vAlign w:val="bottom"/>
          </w:tcPr>
          <w:p>
            <w:pPr>
              <w:spacing w:after="0"/>
              <w:rPr>
                <w:sz w:val="11"/>
                <w:szCs w:val="11"/>
                <w:color w:val="auto"/>
              </w:rPr>
            </w:pPr>
          </w:p>
        </w:tc>
        <w:tc>
          <w:tcPr>
            <w:tcW w:w="3820" w:type="dxa"/>
            <w:vAlign w:val="bottom"/>
            <w:tcBorders>
              <w:top w:val="single" w:sz="8" w:color="0000FF"/>
            </w:tcBorders>
            <w:gridSpan w:val="13"/>
          </w:tcPr>
          <w:p>
            <w:pPr>
              <w:spacing w:after="0" w:line="132" w:lineRule="exact"/>
              <w:rPr>
                <w:rFonts w:ascii="Arial" w:cs="Arial" w:eastAsia="Arial" w:hAnsi="Arial"/>
                <w:sz w:val="14"/>
                <w:szCs w:val="14"/>
                <w:color w:val="0000FF"/>
              </w:rPr>
            </w:pPr>
            <w:hyperlink r:id="rId202">
              <w:r>
                <w:rPr>
                  <w:rFonts w:ascii="Arial" w:cs="Arial" w:eastAsia="Arial" w:hAnsi="Arial"/>
                  <w:sz w:val="14"/>
                  <w:szCs w:val="14"/>
                  <w:color w:val="0000FF"/>
                </w:rPr>
                <w:t>thereto, the Revolving Lenders party to the First Lien Credit</w:t>
              </w:r>
            </w:hyperlink>
          </w:p>
        </w:tc>
        <w:tc>
          <w:tcPr>
            <w:tcW w:w="20" w:type="dxa"/>
            <w:vAlign w:val="bottom"/>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4"/>
          </w:tcPr>
          <w:p>
            <w:pPr>
              <w:spacing w:after="0" w:line="132" w:lineRule="exact"/>
              <w:rPr>
                <w:rFonts w:ascii="Arial" w:cs="Arial" w:eastAsia="Arial" w:hAnsi="Arial"/>
                <w:sz w:val="14"/>
                <w:szCs w:val="14"/>
                <w:color w:val="0000FF"/>
              </w:rPr>
            </w:pPr>
            <w:hyperlink r:id="rId202">
              <w:r>
                <w:rPr>
                  <w:rFonts w:ascii="Arial" w:cs="Arial" w:eastAsia="Arial" w:hAnsi="Arial"/>
                  <w:sz w:val="14"/>
                  <w:szCs w:val="14"/>
                  <w:color w:val="0000FF"/>
                </w:rPr>
                <w:t>Agreement and Jefferies Finance LLC, as First Lien</w:t>
              </w:r>
            </w:hyperlink>
          </w:p>
        </w:tc>
        <w:tc>
          <w:tcPr>
            <w:tcW w:w="520" w:type="dxa"/>
            <w:vAlign w:val="bottom"/>
            <w:tcBorders>
              <w:top w:val="single" w:sz="8" w:color="0000FF"/>
            </w:tcBorders>
            <w:gridSpan w:val="6"/>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3340" w:type="dxa"/>
            <w:vAlign w:val="bottom"/>
            <w:tcBorders>
              <w:bottom w:val="single" w:sz="8" w:color="0000FF"/>
            </w:tcBorders>
            <w:gridSpan w:val="5"/>
          </w:tcPr>
          <w:p>
            <w:pPr>
              <w:spacing w:after="0" w:line="132" w:lineRule="exact"/>
              <w:rPr>
                <w:rFonts w:ascii="Arial" w:cs="Arial" w:eastAsia="Arial" w:hAnsi="Arial"/>
                <w:sz w:val="14"/>
                <w:szCs w:val="14"/>
                <w:color w:val="0000FF"/>
              </w:rPr>
            </w:pPr>
            <w:hyperlink r:id="rId202">
              <w:r>
                <w:rPr>
                  <w:rFonts w:ascii="Arial" w:cs="Arial" w:eastAsia="Arial" w:hAnsi="Arial"/>
                  <w:sz w:val="14"/>
                  <w:szCs w:val="14"/>
                  <w:color w:val="0000FF"/>
                </w:rPr>
                <w:t>Administrative Agent and First Lien Collateral Agent</w:t>
              </w:r>
            </w:hyperlink>
          </w:p>
        </w:tc>
        <w:tc>
          <w:tcPr>
            <w:tcW w:w="500" w:type="dxa"/>
            <w:vAlign w:val="bottom"/>
            <w:gridSpan w:val="9"/>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10.31</w:t>
            </w:r>
          </w:p>
        </w:tc>
        <w:tc>
          <w:tcPr>
            <w:tcW w:w="1000" w:type="dxa"/>
            <w:vAlign w:val="bottom"/>
          </w:tcPr>
          <w:p>
            <w:pPr>
              <w:jc w:val="right"/>
              <w:spacing w:after="0"/>
              <w:rPr>
                <w:sz w:val="20"/>
                <w:szCs w:val="20"/>
                <w:color w:val="auto"/>
              </w:rPr>
            </w:pPr>
            <w:r>
              <w:rPr>
                <w:rFonts w:ascii="Arial" w:cs="Arial" w:eastAsia="Arial" w:hAnsi="Arial"/>
                <w:sz w:val="16"/>
                <w:szCs w:val="16"/>
                <w:color w:val="auto"/>
              </w:rPr>
              <w:t>2020-11-12</w:t>
            </w:r>
          </w:p>
        </w:tc>
      </w:tr>
      <w:tr>
        <w:trPr>
          <w:trHeight w:val="291"/>
        </w:trPr>
        <w:tc>
          <w:tcPr>
            <w:tcW w:w="620" w:type="dxa"/>
            <w:vAlign w:val="bottom"/>
          </w:tcPr>
          <w:p>
            <w:pPr>
              <w:jc w:val="center"/>
              <w:ind w:right="162"/>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333-249648</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10.32</w:t>
            </w:r>
          </w:p>
        </w:tc>
        <w:tc>
          <w:tcPr>
            <w:tcW w:w="1000" w:type="dxa"/>
            <w:vAlign w:val="bottom"/>
          </w:tcPr>
          <w:p>
            <w:pPr>
              <w:jc w:val="right"/>
              <w:spacing w:after="0"/>
              <w:rPr>
                <w:sz w:val="20"/>
                <w:szCs w:val="20"/>
                <w:color w:val="auto"/>
              </w:rPr>
            </w:pPr>
            <w:r>
              <w:rPr>
                <w:rFonts w:ascii="Arial" w:cs="Arial" w:eastAsia="Arial" w:hAnsi="Arial"/>
                <w:sz w:val="16"/>
                <w:szCs w:val="16"/>
                <w:color w:val="auto"/>
              </w:rPr>
              <w:t>2020-11-12</w:t>
            </w:r>
          </w:p>
        </w:tc>
      </w:tr>
      <w:tr>
        <w:trPr>
          <w:trHeight w:val="361"/>
        </w:trPr>
        <w:tc>
          <w:tcPr>
            <w:tcW w:w="620" w:type="dxa"/>
            <w:vAlign w:val="bottom"/>
          </w:tcPr>
          <w:p>
            <w:pPr>
              <w:jc w:val="center"/>
              <w:ind w:right="182"/>
              <w:spacing w:after="0"/>
              <w:rPr>
                <w:sz w:val="20"/>
                <w:szCs w:val="20"/>
                <w:color w:val="auto"/>
              </w:rPr>
            </w:pPr>
            <w:r>
              <w:rPr>
                <w:rFonts w:ascii="Arial" w:cs="Arial" w:eastAsia="Arial" w:hAnsi="Arial"/>
                <w:sz w:val="16"/>
                <w:szCs w:val="16"/>
                <w:color w:val="auto"/>
                <w:w w:val="94"/>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10.26</w:t>
            </w:r>
          </w:p>
        </w:tc>
        <w:tc>
          <w:tcPr>
            <w:tcW w:w="1000" w:type="dxa"/>
            <w:vAlign w:val="bottom"/>
          </w:tcPr>
          <w:p>
            <w:pPr>
              <w:jc w:val="right"/>
              <w:spacing w:after="0"/>
              <w:rPr>
                <w:sz w:val="20"/>
                <w:szCs w:val="20"/>
                <w:color w:val="auto"/>
              </w:rPr>
            </w:pPr>
            <w:r>
              <w:rPr>
                <w:rFonts w:ascii="Arial" w:cs="Arial" w:eastAsia="Arial" w:hAnsi="Arial"/>
                <w:sz w:val="16"/>
                <w:szCs w:val="16"/>
                <w:color w:val="auto"/>
              </w:rPr>
              <w:t>2021-03-09</w:t>
            </w:r>
          </w:p>
        </w:tc>
      </w:tr>
      <w:tr>
        <w:trPr>
          <w:trHeight w:val="746"/>
        </w:trPr>
        <w:tc>
          <w:tcPr>
            <w:tcW w:w="620" w:type="dxa"/>
            <w:vAlign w:val="bottom"/>
          </w:tcPr>
          <w:p>
            <w:pPr>
              <w:jc w:val="center"/>
              <w:ind w:right="182"/>
              <w:spacing w:after="0"/>
              <w:rPr>
                <w:sz w:val="20"/>
                <w:szCs w:val="20"/>
                <w:color w:val="auto"/>
              </w:rPr>
            </w:pPr>
            <w:r>
              <w:rPr>
                <w:rFonts w:ascii="Arial" w:cs="Arial" w:eastAsia="Arial" w:hAnsi="Arial"/>
                <w:sz w:val="16"/>
                <w:szCs w:val="16"/>
                <w:color w:val="auto"/>
                <w:w w:val="94"/>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10.27</w:t>
            </w:r>
          </w:p>
        </w:tc>
        <w:tc>
          <w:tcPr>
            <w:tcW w:w="1000" w:type="dxa"/>
            <w:vAlign w:val="bottom"/>
          </w:tcPr>
          <w:p>
            <w:pPr>
              <w:jc w:val="right"/>
              <w:spacing w:after="0"/>
              <w:rPr>
                <w:sz w:val="20"/>
                <w:szCs w:val="20"/>
                <w:color w:val="auto"/>
              </w:rPr>
            </w:pPr>
            <w:r>
              <w:rPr>
                <w:rFonts w:ascii="Arial" w:cs="Arial" w:eastAsia="Arial" w:hAnsi="Arial"/>
                <w:sz w:val="16"/>
                <w:szCs w:val="16"/>
                <w:color w:val="auto"/>
              </w:rPr>
              <w:t>2021-03-09</w:t>
            </w:r>
          </w:p>
        </w:tc>
      </w:tr>
      <w:tr>
        <w:trPr>
          <w:trHeight w:val="1049"/>
        </w:trPr>
        <w:tc>
          <w:tcPr>
            <w:tcW w:w="620" w:type="dxa"/>
            <w:vAlign w:val="bottom"/>
          </w:tcPr>
          <w:p>
            <w:pPr>
              <w:jc w:val="center"/>
              <w:ind w:right="182"/>
              <w:spacing w:after="0"/>
              <w:rPr>
                <w:sz w:val="20"/>
                <w:szCs w:val="20"/>
                <w:color w:val="auto"/>
              </w:rPr>
            </w:pPr>
            <w:r>
              <w:rPr>
                <w:rFonts w:ascii="Arial" w:cs="Arial" w:eastAsia="Arial" w:hAnsi="Arial"/>
                <w:sz w:val="16"/>
                <w:szCs w:val="16"/>
                <w:color w:val="auto"/>
                <w:w w:val="94"/>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86"/>
              </w:rPr>
              <w:t>001-39729</w:t>
            </w: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10.28</w:t>
            </w:r>
          </w:p>
        </w:tc>
        <w:tc>
          <w:tcPr>
            <w:tcW w:w="1000" w:type="dxa"/>
            <w:vAlign w:val="bottom"/>
          </w:tcPr>
          <w:p>
            <w:pPr>
              <w:jc w:val="right"/>
              <w:spacing w:after="0"/>
              <w:rPr>
                <w:sz w:val="20"/>
                <w:szCs w:val="20"/>
                <w:color w:val="auto"/>
              </w:rPr>
            </w:pPr>
            <w:r>
              <w:rPr>
                <w:rFonts w:ascii="Arial" w:cs="Arial" w:eastAsia="Arial" w:hAnsi="Arial"/>
                <w:sz w:val="16"/>
                <w:szCs w:val="16"/>
                <w:color w:val="auto"/>
              </w:rPr>
              <w:t>2021-03-09</w:t>
            </w:r>
          </w:p>
        </w:tc>
      </w:tr>
    </w:tbl>
    <w:p>
      <w:pPr>
        <w:spacing w:after="0" w:line="562" w:lineRule="exact"/>
        <w:rPr>
          <w:sz w:val="20"/>
          <w:szCs w:val="20"/>
          <w:color w:val="auto"/>
        </w:rPr>
      </w:pPr>
    </w:p>
    <w:p>
      <w:pPr>
        <w:sectPr>
          <w:pgSz w:w="11900" w:h="16838" w:orient="portrait"/>
          <w:cols w:equalWidth="0" w:num="2">
            <w:col w:w="6480" w:space="720"/>
            <w:col w:w="4060"/>
          </w:cols>
          <w:pgMar w:left="320" w:top="135" w:right="31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76835</wp:posOffset>
            </wp:positionV>
            <wp:extent cx="717613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type w:val="continuous"/>
        </w:sectPr>
      </w:pPr>
    </w:p>
    <w:bookmarkStart w:id="126" w:name="page127"/>
    <w:bookmarkEnd w:id="12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w w:val="92"/>
              </w:rPr>
              <w:t>Incorporated by Reference</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3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Exhibit No</w:t>
            </w:r>
          </w:p>
        </w:tc>
        <w:tc>
          <w:tcPr>
            <w:tcW w:w="160" w:type="dxa"/>
            <w:vAlign w:val="bottom"/>
            <w:vMerge w:val="restart"/>
          </w:tcPr>
          <w:p>
            <w:pPr>
              <w:spacing w:after="0"/>
              <w:rPr>
                <w:sz w:val="12"/>
                <w:szCs w:val="12"/>
                <w:color w:val="auto"/>
              </w:rPr>
            </w:pPr>
          </w:p>
        </w:tc>
        <w:tc>
          <w:tcPr>
            <w:tcW w:w="39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160" w:type="dxa"/>
            <w:vAlign w:val="bottom"/>
            <w:vMerge w:val="restart"/>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88"/>
              </w:rPr>
              <w:t>Filed/Furnished</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File No.</w:t>
            </w:r>
          </w:p>
        </w:tc>
        <w:tc>
          <w:tcPr>
            <w:tcW w:w="110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89"/>
              </w:rPr>
              <w:t>Exhibit</w:t>
            </w:r>
          </w:p>
        </w:tc>
        <w:tc>
          <w:tcPr>
            <w:tcW w:w="11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98"/>
        </w:trPr>
        <w:tc>
          <w:tcPr>
            <w:tcW w:w="13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960" w:type="dxa"/>
            <w:vAlign w:val="bottom"/>
            <w:tcBorders>
              <w:bottom w:val="single" w:sz="8" w:color="auto"/>
            </w:tcBorders>
            <w:gridSpan w:val="4"/>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Herewith</w:t>
            </w:r>
          </w:p>
        </w:tc>
        <w:tc>
          <w:tcPr>
            <w:tcW w:w="16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jc w:val="right"/>
              <w:ind w:right="862"/>
              <w:spacing w:after="0" w:line="155" w:lineRule="exact"/>
              <w:rPr>
                <w:sz w:val="20"/>
                <w:szCs w:val="20"/>
                <w:color w:val="auto"/>
              </w:rPr>
            </w:pPr>
            <w:r>
              <w:rPr>
                <w:rFonts w:ascii="Arial" w:cs="Arial" w:eastAsia="Arial" w:hAnsi="Arial"/>
                <w:sz w:val="16"/>
                <w:szCs w:val="16"/>
                <w:color w:val="auto"/>
                <w:w w:val="84"/>
              </w:rPr>
              <w:t>10.30</w:t>
            </w:r>
          </w:p>
        </w:tc>
        <w:tc>
          <w:tcPr>
            <w:tcW w:w="160" w:type="dxa"/>
            <w:vAlign w:val="bottom"/>
          </w:tcPr>
          <w:p>
            <w:pPr>
              <w:spacing w:after="0"/>
              <w:rPr>
                <w:sz w:val="13"/>
                <w:szCs w:val="13"/>
                <w:color w:val="auto"/>
              </w:rPr>
            </w:pPr>
          </w:p>
        </w:tc>
        <w:tc>
          <w:tcPr>
            <w:tcW w:w="4120" w:type="dxa"/>
            <w:vAlign w:val="bottom"/>
            <w:gridSpan w:val="5"/>
          </w:tcPr>
          <w:p>
            <w:pPr>
              <w:spacing w:after="0" w:line="155" w:lineRule="exact"/>
              <w:rPr>
                <w:rFonts w:ascii="Arial" w:cs="Arial" w:eastAsia="Arial" w:hAnsi="Arial"/>
                <w:sz w:val="16"/>
                <w:szCs w:val="16"/>
                <w:color w:val="0000FF"/>
              </w:rPr>
            </w:pPr>
            <w:hyperlink r:id="rId204">
              <w:r>
                <w:rPr>
                  <w:rFonts w:ascii="Arial" w:cs="Arial" w:eastAsia="Arial" w:hAnsi="Arial"/>
                  <w:sz w:val="16"/>
                  <w:szCs w:val="16"/>
                  <w:color w:val="0000FF"/>
                </w:rPr>
                <w:t>Revolving Facilities Amendment to the First Lien Credit</w:t>
              </w:r>
            </w:hyperlink>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40" w:type="dxa"/>
            <w:vAlign w:val="bottom"/>
            <w:tcBorders>
              <w:top w:val="single" w:sz="8" w:color="0000FF"/>
            </w:tcBorders>
          </w:tcPr>
          <w:p>
            <w:pPr>
              <w:spacing w:after="0" w:line="132" w:lineRule="exact"/>
              <w:rPr>
                <w:rFonts w:ascii="Arial" w:cs="Arial" w:eastAsia="Arial" w:hAnsi="Arial"/>
                <w:sz w:val="14"/>
                <w:szCs w:val="14"/>
                <w:color w:val="0000FF"/>
              </w:rPr>
            </w:pPr>
            <w:hyperlink r:id="rId204">
              <w:r>
                <w:rPr>
                  <w:rFonts w:ascii="Arial" w:cs="Arial" w:eastAsia="Arial" w:hAnsi="Arial"/>
                  <w:sz w:val="14"/>
                  <w:szCs w:val="14"/>
                  <w:color w:val="0000FF"/>
                </w:rPr>
                <w:t>Agreement, dated as of March 26, 2021, among Sotera</w:t>
              </w:r>
            </w:hyperlink>
          </w:p>
        </w:tc>
        <w:tc>
          <w:tcPr>
            <w:tcW w:w="580" w:type="dxa"/>
            <w:vAlign w:val="bottom"/>
            <w:gridSpan w:val="4"/>
          </w:tcPr>
          <w:p>
            <w:pPr>
              <w:spacing w:after="0" w:line="132" w:lineRule="exact"/>
              <w:rPr>
                <w:rFonts w:ascii="Arial" w:cs="Arial" w:eastAsia="Arial" w:hAnsi="Arial"/>
                <w:sz w:val="14"/>
                <w:szCs w:val="14"/>
                <w:color w:val="0000FF"/>
              </w:rPr>
            </w:pPr>
            <w:hyperlink r:id="rId204">
              <w:r>
                <w:rPr>
                  <w:rFonts w:ascii="Arial" w:cs="Arial" w:eastAsia="Arial" w:hAnsi="Arial"/>
                  <w:sz w:val="14"/>
                  <w:szCs w:val="14"/>
                  <w:color w:val="0000FF"/>
                </w:rPr>
                <w:t>Health</w:t>
              </w:r>
            </w:hyperlink>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Borders>
              <w:top w:val="single" w:sz="8" w:color="0000FF"/>
              <w:bottom w:val="single" w:sz="8" w:color="0000FF"/>
            </w:tcBorders>
            <w:gridSpan w:val="2"/>
          </w:tcPr>
          <w:p>
            <w:pPr>
              <w:spacing w:after="0" w:line="132" w:lineRule="exact"/>
              <w:rPr>
                <w:rFonts w:ascii="Arial" w:cs="Arial" w:eastAsia="Arial" w:hAnsi="Arial"/>
                <w:sz w:val="14"/>
                <w:szCs w:val="14"/>
                <w:color w:val="0000FF"/>
              </w:rPr>
            </w:pPr>
            <w:hyperlink r:id="rId204">
              <w:r>
                <w:rPr>
                  <w:rFonts w:ascii="Arial" w:cs="Arial" w:eastAsia="Arial" w:hAnsi="Arial"/>
                  <w:sz w:val="14"/>
                  <w:szCs w:val="14"/>
                  <w:color w:val="0000FF"/>
                </w:rPr>
                <w:t>Company, Sotera Health Holdings, LLC, the Refinancing</w:t>
              </w:r>
            </w:hyperlink>
          </w:p>
        </w:tc>
        <w:tc>
          <w:tcPr>
            <w:tcW w:w="280" w:type="dxa"/>
            <w:vAlign w:val="bottom"/>
            <w:tcBorders>
              <w:top w:val="single" w:sz="8" w:color="0000FF"/>
            </w:tcBorders>
          </w:tcPr>
          <w:p>
            <w:pPr>
              <w:spacing w:after="0"/>
              <w:rPr>
                <w:sz w:val="11"/>
                <w:szCs w:val="11"/>
                <w:color w:val="auto"/>
              </w:rPr>
            </w:pPr>
          </w:p>
        </w:tc>
        <w:tc>
          <w:tcPr>
            <w:tcW w:w="260" w:type="dxa"/>
            <w:vAlign w:val="bottom"/>
            <w:gridSpan w:val="2"/>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10-Q</w:t>
            </w:r>
          </w:p>
        </w:tc>
        <w:tc>
          <w:tcPr>
            <w:tcW w:w="1180" w:type="dxa"/>
            <w:vAlign w:val="bottom"/>
            <w:vMerge w:val="restart"/>
          </w:tcPr>
          <w:p>
            <w:pPr>
              <w:jc w:val="right"/>
              <w:ind w:right="162"/>
              <w:spacing w:after="0"/>
              <w:rPr>
                <w:sz w:val="20"/>
                <w:szCs w:val="20"/>
                <w:color w:val="auto"/>
              </w:rPr>
            </w:pPr>
            <w:r>
              <w:rPr>
                <w:rFonts w:ascii="Arial" w:cs="Arial" w:eastAsia="Arial" w:hAnsi="Arial"/>
                <w:sz w:val="16"/>
                <w:szCs w:val="16"/>
                <w:color w:val="auto"/>
              </w:rPr>
              <w:t>001-39729</w:t>
            </w:r>
          </w:p>
        </w:tc>
        <w:tc>
          <w:tcPr>
            <w:tcW w:w="1100" w:type="dxa"/>
            <w:vAlign w:val="bottom"/>
            <w:vMerge w:val="restart"/>
          </w:tcPr>
          <w:p>
            <w:pPr>
              <w:jc w:val="right"/>
              <w:ind w:right="382"/>
              <w:spacing w:after="0"/>
              <w:rPr>
                <w:sz w:val="20"/>
                <w:szCs w:val="20"/>
                <w:color w:val="auto"/>
              </w:rPr>
            </w:pPr>
            <w:r>
              <w:rPr>
                <w:rFonts w:ascii="Arial" w:cs="Arial" w:eastAsia="Arial" w:hAnsi="Arial"/>
                <w:sz w:val="16"/>
                <w:szCs w:val="16"/>
                <w:color w:val="auto"/>
              </w:rPr>
              <w:t>10.2</w:t>
            </w:r>
          </w:p>
        </w:tc>
        <w:tc>
          <w:tcPr>
            <w:tcW w:w="1140" w:type="dxa"/>
            <w:vAlign w:val="bottom"/>
            <w:vMerge w:val="restart"/>
          </w:tcPr>
          <w:p>
            <w:pPr>
              <w:ind w:left="120"/>
              <w:spacing w:after="0"/>
              <w:rPr>
                <w:sz w:val="20"/>
                <w:szCs w:val="20"/>
                <w:color w:val="auto"/>
              </w:rPr>
            </w:pPr>
            <w:r>
              <w:rPr>
                <w:rFonts w:ascii="Arial" w:cs="Arial" w:eastAsia="Arial" w:hAnsi="Arial"/>
                <w:sz w:val="16"/>
                <w:szCs w:val="16"/>
                <w:color w:val="auto"/>
              </w:rPr>
              <w:t>2021-05-13</w:t>
            </w: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120" w:type="dxa"/>
            <w:vAlign w:val="bottom"/>
            <w:gridSpan w:val="5"/>
            <w:vMerge w:val="restart"/>
          </w:tcPr>
          <w:p>
            <w:pPr>
              <w:spacing w:after="0" w:line="133" w:lineRule="exact"/>
              <w:rPr>
                <w:rFonts w:ascii="Arial" w:cs="Arial" w:eastAsia="Arial" w:hAnsi="Arial"/>
                <w:sz w:val="14"/>
                <w:szCs w:val="14"/>
                <w:u w:val="single" w:color="auto"/>
                <w:color w:val="0000FF"/>
              </w:rPr>
            </w:pPr>
            <w:hyperlink r:id="rId204">
              <w:r>
                <w:rPr>
                  <w:rFonts w:ascii="Arial" w:cs="Arial" w:eastAsia="Arial" w:hAnsi="Arial"/>
                  <w:sz w:val="14"/>
                  <w:szCs w:val="14"/>
                  <w:u w:val="single" w:color="auto"/>
                  <w:color w:val="0000FF"/>
                </w:rPr>
                <w:t>Lenders Party thereto, the Revolving Lenders party to the First</w:t>
              </w:r>
            </w:hyperlink>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12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60"/>
        <w:spacing w:after="0" w:line="197" w:lineRule="auto"/>
        <w:rPr>
          <w:rFonts w:ascii="Arial" w:cs="Arial" w:eastAsia="Arial" w:hAnsi="Arial"/>
          <w:sz w:val="16"/>
          <w:szCs w:val="16"/>
          <w:u w:val="single" w:color="auto"/>
          <w:color w:val="0000FF"/>
        </w:rPr>
      </w:pPr>
      <w:hyperlink r:id="rId204">
        <w:r>
          <w:rPr>
            <w:rFonts w:ascii="Arial" w:cs="Arial" w:eastAsia="Arial" w:hAnsi="Arial"/>
            <w:sz w:val="16"/>
            <w:szCs w:val="16"/>
            <w:u w:val="single" w:color="auto"/>
            <w:color w:val="0000FF"/>
          </w:rPr>
          <w:t>Lien Credit Agreement and Jefferies Finance LLC, as First</w:t>
        </w:r>
      </w:hyperlink>
    </w:p>
    <w:p>
      <w:pPr>
        <w:spacing w:after="0" w:line="1" w:lineRule="exact"/>
        <w:rPr>
          <w:sz w:val="20"/>
          <w:szCs w:val="20"/>
          <w:color w:val="auto"/>
        </w:rPr>
      </w:pPr>
    </w:p>
    <w:p>
      <w:pPr>
        <w:ind w:left="1460"/>
        <w:spacing w:after="0"/>
        <w:rPr>
          <w:rFonts w:ascii="Arial" w:cs="Arial" w:eastAsia="Arial" w:hAnsi="Arial"/>
          <w:sz w:val="16"/>
          <w:szCs w:val="16"/>
          <w:u w:val="single" w:color="auto"/>
          <w:color w:val="0000FF"/>
        </w:rPr>
      </w:pPr>
      <w:hyperlink r:id="rId204">
        <w:r>
          <w:rPr>
            <w:rFonts w:ascii="Arial" w:cs="Arial" w:eastAsia="Arial" w:hAnsi="Arial"/>
            <w:sz w:val="16"/>
            <w:szCs w:val="16"/>
            <w:u w:val="single" w:color="auto"/>
            <w:color w:val="0000FF"/>
          </w:rPr>
          <w:t>Lien Administrative Agent and First Lien Collateral Agent</w:t>
        </w:r>
      </w:hyperlink>
    </w:p>
    <w:p>
      <w:pPr>
        <w:sectPr>
          <w:pgSz w:w="11900" w:h="16838" w:orient="portrait"/>
          <w:cols w:equalWidth="0" w:num="1">
            <w:col w:w="11260"/>
          </w:cols>
          <w:pgMar w:left="320" w:top="135" w:right="31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rPr>
              <w:t>10.31</w:t>
            </w:r>
          </w:p>
        </w:tc>
        <w:tc>
          <w:tcPr>
            <w:tcW w:w="3960" w:type="dxa"/>
            <w:vAlign w:val="bottom"/>
            <w:gridSpan w:val="13"/>
          </w:tcPr>
          <w:p>
            <w:pPr>
              <w:spacing w:after="0"/>
              <w:rPr>
                <w:rFonts w:ascii="Arial" w:cs="Arial" w:eastAsia="Arial" w:hAnsi="Arial"/>
                <w:sz w:val="16"/>
                <w:szCs w:val="16"/>
                <w:color w:val="0000FF"/>
              </w:rPr>
            </w:pPr>
            <w:hyperlink w:anchor="page144">
              <w:r>
                <w:rPr>
                  <w:rFonts w:ascii="Arial" w:cs="Arial" w:eastAsia="Arial" w:hAnsi="Arial"/>
                  <w:sz w:val="16"/>
                  <w:szCs w:val="16"/>
                  <w:color w:val="0000FF"/>
                </w:rPr>
                <w:t>Amendment to First Lien Credit Agreement, dated as of</w:t>
              </w:r>
            </w:hyperlink>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460" w:type="dxa"/>
            <w:vAlign w:val="bottom"/>
          </w:tcPr>
          <w:p>
            <w:pPr>
              <w:spacing w:after="0"/>
              <w:rPr>
                <w:sz w:val="11"/>
                <w:szCs w:val="11"/>
                <w:color w:val="auto"/>
              </w:rPr>
            </w:pPr>
          </w:p>
        </w:tc>
        <w:tc>
          <w:tcPr>
            <w:tcW w:w="3960" w:type="dxa"/>
            <w:vAlign w:val="bottom"/>
            <w:gridSpan w:val="13"/>
          </w:tcPr>
          <w:p>
            <w:pPr>
              <w:spacing w:after="0" w:line="132" w:lineRule="exact"/>
              <w:rPr>
                <w:rFonts w:ascii="Arial" w:cs="Arial" w:eastAsia="Arial" w:hAnsi="Arial"/>
                <w:sz w:val="14"/>
                <w:szCs w:val="14"/>
                <w:color w:val="0000FF"/>
              </w:rPr>
            </w:pPr>
            <w:hyperlink w:anchor="page144">
              <w:r>
                <w:rPr>
                  <w:rFonts w:ascii="Arial" w:cs="Arial" w:eastAsia="Arial" w:hAnsi="Arial"/>
                  <w:sz w:val="14"/>
                  <w:szCs w:val="14"/>
                  <w:color w:val="0000FF"/>
                </w:rPr>
                <w:t>December 23, 2021 by and among Sotera Health Company,</w:t>
              </w:r>
            </w:hyperlink>
          </w:p>
        </w:tc>
      </w:tr>
      <w:tr>
        <w:trPr>
          <w:trHeight w:val="132"/>
        </w:trPr>
        <w:tc>
          <w:tcPr>
            <w:tcW w:w="1460" w:type="dxa"/>
            <w:vAlign w:val="bottom"/>
          </w:tcPr>
          <w:p>
            <w:pPr>
              <w:spacing w:after="0"/>
              <w:rPr>
                <w:sz w:val="11"/>
                <w:szCs w:val="11"/>
                <w:color w:val="auto"/>
              </w:rPr>
            </w:pPr>
          </w:p>
        </w:tc>
        <w:tc>
          <w:tcPr>
            <w:tcW w:w="3700" w:type="dxa"/>
            <w:vAlign w:val="bottom"/>
            <w:tcBorders>
              <w:top w:val="single" w:sz="8" w:color="0000FF"/>
            </w:tcBorders>
            <w:gridSpan w:val="11"/>
          </w:tcPr>
          <w:p>
            <w:pPr>
              <w:spacing w:after="0" w:line="132" w:lineRule="exact"/>
              <w:rPr>
                <w:rFonts w:ascii="Arial" w:cs="Arial" w:eastAsia="Arial" w:hAnsi="Arial"/>
                <w:sz w:val="14"/>
                <w:szCs w:val="14"/>
                <w:color w:val="0000FF"/>
              </w:rPr>
            </w:pPr>
            <w:hyperlink w:anchor="page144">
              <w:r>
                <w:rPr>
                  <w:rFonts w:ascii="Arial" w:cs="Arial" w:eastAsia="Arial" w:hAnsi="Arial"/>
                  <w:sz w:val="14"/>
                  <w:szCs w:val="14"/>
                  <w:color w:val="0000FF"/>
                </w:rPr>
                <w:t>Sotera Health Holdings, LLC, and JPMorgan Chase Bank,</w:t>
              </w:r>
            </w:hyperlink>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3640" w:type="dxa"/>
            <w:vAlign w:val="bottom"/>
            <w:tcBorders>
              <w:top w:val="single" w:sz="8" w:color="0000FF"/>
            </w:tcBorders>
            <w:gridSpan w:val="9"/>
          </w:tcPr>
          <w:p>
            <w:pPr>
              <w:spacing w:after="0" w:line="132" w:lineRule="exact"/>
              <w:rPr>
                <w:rFonts w:ascii="Arial" w:cs="Arial" w:eastAsia="Arial" w:hAnsi="Arial"/>
                <w:sz w:val="14"/>
                <w:szCs w:val="14"/>
                <w:color w:val="0000FF"/>
              </w:rPr>
            </w:pPr>
            <w:hyperlink w:anchor="page144">
              <w:r>
                <w:rPr>
                  <w:rFonts w:ascii="Arial" w:cs="Arial" w:eastAsia="Arial" w:hAnsi="Arial"/>
                  <w:sz w:val="14"/>
                  <w:szCs w:val="14"/>
                  <w:color w:val="0000FF"/>
                </w:rPr>
                <w:t>N.A. as First Lien Administrative Agent and First Lien</w:t>
              </w:r>
            </w:hyperlink>
          </w:p>
        </w:tc>
        <w:tc>
          <w:tcPr>
            <w:tcW w:w="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460" w:type="dxa"/>
            <w:vAlign w:val="bottom"/>
          </w:tcPr>
          <w:p>
            <w:pPr>
              <w:spacing w:after="0"/>
              <w:rPr>
                <w:sz w:val="11"/>
                <w:szCs w:val="11"/>
                <w:color w:val="auto"/>
              </w:rPr>
            </w:pPr>
          </w:p>
        </w:tc>
        <w:tc>
          <w:tcPr>
            <w:tcW w:w="1040" w:type="dxa"/>
            <w:vAlign w:val="bottom"/>
            <w:tcBorders>
              <w:top w:val="single" w:sz="8" w:color="0000FF"/>
              <w:bottom w:val="single" w:sz="8" w:color="0000FF"/>
            </w:tcBorders>
          </w:tcPr>
          <w:p>
            <w:pPr>
              <w:spacing w:after="0" w:line="132" w:lineRule="exact"/>
              <w:rPr>
                <w:rFonts w:ascii="Arial" w:cs="Arial" w:eastAsia="Arial" w:hAnsi="Arial"/>
                <w:sz w:val="14"/>
                <w:szCs w:val="14"/>
                <w:color w:val="0000FF"/>
              </w:rPr>
            </w:pPr>
            <w:hyperlink w:anchor="page144">
              <w:r>
                <w:rPr>
                  <w:rFonts w:ascii="Arial" w:cs="Arial" w:eastAsia="Arial" w:hAnsi="Arial"/>
                  <w:sz w:val="14"/>
                  <w:szCs w:val="14"/>
                  <w:color w:val="0000FF"/>
                </w:rPr>
                <w:t>Collateral Agent</w:t>
              </w:r>
            </w:hyperlink>
          </w:p>
        </w:tc>
        <w:tc>
          <w:tcPr>
            <w:tcW w:w="2380" w:type="dxa"/>
            <w:vAlign w:val="bottom"/>
            <w:tcBorders>
              <w:top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21.1</w:t>
            </w:r>
          </w:p>
        </w:tc>
        <w:tc>
          <w:tcPr>
            <w:tcW w:w="122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174">
              <w:r>
                <w:rPr>
                  <w:rFonts w:ascii="Arial" w:cs="Arial" w:eastAsia="Arial" w:hAnsi="Arial"/>
                  <w:sz w:val="16"/>
                  <w:szCs w:val="16"/>
                  <w:color w:val="0000FF"/>
                  <w:w w:val="89"/>
                </w:rPr>
                <w:t>List of Subsidiaries</w:t>
              </w:r>
            </w:hyperlink>
          </w:p>
        </w:tc>
        <w:tc>
          <w:tcPr>
            <w:tcW w:w="2740" w:type="dxa"/>
            <w:vAlign w:val="bottom"/>
            <w:gridSpan w:val="10"/>
          </w:tcPr>
          <w:p>
            <w:pPr>
              <w:spacing w:after="0"/>
              <w:rPr>
                <w:sz w:val="23"/>
                <w:szCs w:val="23"/>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23.1</w:t>
            </w:r>
          </w:p>
        </w:tc>
        <w:tc>
          <w:tcPr>
            <w:tcW w:w="3960" w:type="dxa"/>
            <w:vAlign w:val="bottom"/>
            <w:gridSpan w:val="13"/>
          </w:tcPr>
          <w:p>
            <w:pPr>
              <w:spacing w:after="0"/>
              <w:rPr>
                <w:rFonts w:ascii="Arial" w:cs="Arial" w:eastAsia="Arial" w:hAnsi="Arial"/>
                <w:sz w:val="16"/>
                <w:szCs w:val="16"/>
                <w:color w:val="0000FF"/>
                <w:w w:val="88"/>
              </w:rPr>
            </w:pPr>
            <w:hyperlink w:anchor="page175">
              <w:r>
                <w:rPr>
                  <w:rFonts w:ascii="Arial" w:cs="Arial" w:eastAsia="Arial" w:hAnsi="Arial"/>
                  <w:sz w:val="16"/>
                  <w:szCs w:val="16"/>
                  <w:color w:val="0000FF"/>
                  <w:w w:val="88"/>
                </w:rPr>
                <w:t>Consent of Ernst &amp; Young LLP, Independent Registered Public</w:t>
              </w:r>
            </w:hyperlink>
          </w:p>
        </w:tc>
      </w:tr>
      <w:tr>
        <w:trPr>
          <w:trHeight w:val="132"/>
        </w:trPr>
        <w:tc>
          <w:tcPr>
            <w:tcW w:w="146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2"/>
          </w:tcPr>
          <w:p>
            <w:pPr>
              <w:spacing w:after="0" w:line="132" w:lineRule="exact"/>
              <w:rPr>
                <w:rFonts w:ascii="Arial" w:cs="Arial" w:eastAsia="Arial" w:hAnsi="Arial"/>
                <w:sz w:val="14"/>
                <w:szCs w:val="14"/>
                <w:color w:val="0000FF"/>
              </w:rPr>
            </w:pPr>
            <w:hyperlink w:anchor="page175">
              <w:r>
                <w:rPr>
                  <w:rFonts w:ascii="Arial" w:cs="Arial" w:eastAsia="Arial" w:hAnsi="Arial"/>
                  <w:sz w:val="14"/>
                  <w:szCs w:val="14"/>
                  <w:color w:val="0000FF"/>
                </w:rPr>
                <w:t>Accounting Firm</w:t>
              </w:r>
            </w:hyperlink>
          </w:p>
        </w:tc>
        <w:tc>
          <w:tcPr>
            <w:tcW w:w="286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31.1</w:t>
            </w:r>
          </w:p>
        </w:tc>
        <w:tc>
          <w:tcPr>
            <w:tcW w:w="3480" w:type="dxa"/>
            <w:vAlign w:val="bottom"/>
            <w:tcBorders>
              <w:bottom w:val="single" w:sz="8" w:color="0000FF"/>
            </w:tcBorders>
            <w:gridSpan w:val="6"/>
          </w:tcPr>
          <w:p>
            <w:pPr>
              <w:spacing w:after="0"/>
              <w:rPr>
                <w:rFonts w:ascii="Arial" w:cs="Arial" w:eastAsia="Arial" w:hAnsi="Arial"/>
                <w:sz w:val="16"/>
                <w:szCs w:val="16"/>
                <w:color w:val="0000FF"/>
                <w:w w:val="91"/>
              </w:rPr>
            </w:pPr>
            <w:hyperlink w:anchor="page176">
              <w:r>
                <w:rPr>
                  <w:rFonts w:ascii="Arial" w:cs="Arial" w:eastAsia="Arial" w:hAnsi="Arial"/>
                  <w:sz w:val="16"/>
                  <w:szCs w:val="16"/>
                  <w:color w:val="0000FF"/>
                  <w:w w:val="91"/>
                </w:rPr>
                <w:t>Certification of Principal Executive Officer pursuant to</w:t>
              </w:r>
            </w:hyperlink>
          </w:p>
        </w:tc>
        <w:tc>
          <w:tcPr>
            <w:tcW w:w="480" w:type="dxa"/>
            <w:vAlign w:val="bottom"/>
            <w:gridSpan w:val="7"/>
          </w:tcPr>
          <w:p>
            <w:pPr>
              <w:spacing w:after="0"/>
              <w:rPr>
                <w:sz w:val="23"/>
                <w:szCs w:val="23"/>
                <w:color w:val="auto"/>
              </w:rPr>
            </w:pPr>
          </w:p>
        </w:tc>
      </w:tr>
      <w:tr>
        <w:trPr>
          <w:trHeight w:val="132"/>
        </w:trPr>
        <w:tc>
          <w:tcPr>
            <w:tcW w:w="1460" w:type="dxa"/>
            <w:vAlign w:val="bottom"/>
          </w:tcPr>
          <w:p>
            <w:pPr>
              <w:spacing w:after="0"/>
              <w:rPr>
                <w:sz w:val="11"/>
                <w:szCs w:val="11"/>
                <w:color w:val="auto"/>
              </w:rPr>
            </w:pPr>
          </w:p>
        </w:tc>
        <w:tc>
          <w:tcPr>
            <w:tcW w:w="3960" w:type="dxa"/>
            <w:vAlign w:val="bottom"/>
            <w:gridSpan w:val="13"/>
          </w:tcPr>
          <w:p>
            <w:pPr>
              <w:spacing w:after="0" w:line="132" w:lineRule="exact"/>
              <w:rPr>
                <w:rFonts w:ascii="Arial" w:cs="Arial" w:eastAsia="Arial" w:hAnsi="Arial"/>
                <w:sz w:val="14"/>
                <w:szCs w:val="14"/>
                <w:color w:val="0000FF"/>
              </w:rPr>
            </w:pPr>
            <w:hyperlink w:anchor="page176">
              <w:r>
                <w:rPr>
                  <w:rFonts w:ascii="Arial" w:cs="Arial" w:eastAsia="Arial" w:hAnsi="Arial"/>
                  <w:sz w:val="14"/>
                  <w:szCs w:val="14"/>
                  <w:color w:val="0000FF"/>
                </w:rPr>
                <w:t>Exchange Act Rules 13a-14(a) and 15d-14(a), as adopted</w:t>
              </w:r>
            </w:hyperlink>
          </w:p>
        </w:tc>
      </w:tr>
      <w:tr>
        <w:trPr>
          <w:trHeight w:val="20"/>
        </w:trPr>
        <w:tc>
          <w:tcPr>
            <w:tcW w:w="146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32"/>
        </w:trPr>
        <w:tc>
          <w:tcPr>
            <w:tcW w:w="1460" w:type="dxa"/>
            <w:vAlign w:val="bottom"/>
          </w:tcPr>
          <w:p>
            <w:pPr>
              <w:spacing w:after="0"/>
              <w:rPr>
                <w:sz w:val="11"/>
                <w:szCs w:val="11"/>
                <w:color w:val="auto"/>
              </w:rPr>
            </w:pPr>
          </w:p>
        </w:tc>
        <w:tc>
          <w:tcPr>
            <w:tcW w:w="3960" w:type="dxa"/>
            <w:vAlign w:val="bottom"/>
            <w:gridSpan w:val="13"/>
          </w:tcPr>
          <w:p>
            <w:pPr>
              <w:spacing w:after="0" w:line="132" w:lineRule="exact"/>
              <w:rPr>
                <w:rFonts w:ascii="Arial" w:cs="Arial" w:eastAsia="Arial" w:hAnsi="Arial"/>
                <w:sz w:val="14"/>
                <w:szCs w:val="14"/>
                <w:color w:val="0000FF"/>
              </w:rPr>
            </w:pPr>
            <w:hyperlink w:anchor="page176">
              <w:r>
                <w:rPr>
                  <w:rFonts w:ascii="Arial" w:cs="Arial" w:eastAsia="Arial" w:hAnsi="Arial"/>
                  <w:sz w:val="14"/>
                  <w:szCs w:val="14"/>
                  <w:color w:val="0000FF"/>
                </w:rPr>
                <w:t>pursuant to Section 302 of the Sarbanes-Oxley Act of 2002</w:t>
              </w:r>
            </w:hyperlink>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31.2</w:t>
            </w:r>
          </w:p>
        </w:tc>
        <w:tc>
          <w:tcPr>
            <w:tcW w:w="340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0"/>
              </w:rPr>
            </w:pPr>
            <w:hyperlink w:anchor="page177">
              <w:r>
                <w:rPr>
                  <w:rFonts w:ascii="Arial" w:cs="Arial" w:eastAsia="Arial" w:hAnsi="Arial"/>
                  <w:sz w:val="16"/>
                  <w:szCs w:val="16"/>
                  <w:color w:val="0000FF"/>
                  <w:w w:val="90"/>
                </w:rPr>
                <w:t>Certification of Principal Financial Officer pursuant to</w:t>
              </w:r>
            </w:hyperlink>
          </w:p>
        </w:tc>
        <w:tc>
          <w:tcPr>
            <w:tcW w:w="280" w:type="dxa"/>
            <w:vAlign w:val="bottom"/>
            <w:tcBorders>
              <w:top w:val="single" w:sz="8" w:color="0000FF"/>
            </w:tcBorders>
            <w:gridSpan w:val="6"/>
          </w:tcPr>
          <w:p>
            <w:pPr>
              <w:spacing w:after="0"/>
              <w:rPr>
                <w:sz w:val="23"/>
                <w:szCs w:val="23"/>
                <w:color w:val="auto"/>
              </w:rPr>
            </w:pPr>
          </w:p>
        </w:tc>
        <w:tc>
          <w:tcPr>
            <w:tcW w:w="280" w:type="dxa"/>
            <w:vAlign w:val="bottom"/>
            <w:gridSpan w:val="3"/>
          </w:tcPr>
          <w:p>
            <w:pPr>
              <w:spacing w:after="0"/>
              <w:rPr>
                <w:sz w:val="23"/>
                <w:szCs w:val="23"/>
                <w:color w:val="auto"/>
              </w:rPr>
            </w:pPr>
          </w:p>
        </w:tc>
      </w:tr>
      <w:tr>
        <w:trPr>
          <w:trHeight w:val="132"/>
        </w:trPr>
        <w:tc>
          <w:tcPr>
            <w:tcW w:w="1460" w:type="dxa"/>
            <w:vAlign w:val="bottom"/>
          </w:tcPr>
          <w:p>
            <w:pPr>
              <w:spacing w:after="0"/>
              <w:rPr>
                <w:sz w:val="11"/>
                <w:szCs w:val="11"/>
                <w:color w:val="auto"/>
              </w:rPr>
            </w:pPr>
          </w:p>
        </w:tc>
        <w:tc>
          <w:tcPr>
            <w:tcW w:w="3960" w:type="dxa"/>
            <w:vAlign w:val="bottom"/>
            <w:gridSpan w:val="13"/>
          </w:tcPr>
          <w:p>
            <w:pPr>
              <w:spacing w:after="0" w:line="132" w:lineRule="exact"/>
              <w:rPr>
                <w:rFonts w:ascii="Arial" w:cs="Arial" w:eastAsia="Arial" w:hAnsi="Arial"/>
                <w:sz w:val="14"/>
                <w:szCs w:val="14"/>
                <w:color w:val="0000FF"/>
              </w:rPr>
            </w:pPr>
            <w:hyperlink w:anchor="page177">
              <w:r>
                <w:rPr>
                  <w:rFonts w:ascii="Arial" w:cs="Arial" w:eastAsia="Arial" w:hAnsi="Arial"/>
                  <w:sz w:val="14"/>
                  <w:szCs w:val="14"/>
                  <w:color w:val="0000FF"/>
                </w:rPr>
                <w:t>Exchange Act Rules 13a-14(a) and 15d-14(a), as adopted</w:t>
              </w:r>
            </w:hyperlink>
          </w:p>
        </w:tc>
      </w:tr>
      <w:tr>
        <w:trPr>
          <w:trHeight w:val="20"/>
        </w:trPr>
        <w:tc>
          <w:tcPr>
            <w:tcW w:w="1460" w:type="dxa"/>
            <w:vAlign w:val="bottom"/>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32"/>
        </w:trPr>
        <w:tc>
          <w:tcPr>
            <w:tcW w:w="1460" w:type="dxa"/>
            <w:vAlign w:val="bottom"/>
          </w:tcPr>
          <w:p>
            <w:pPr>
              <w:spacing w:after="0"/>
              <w:rPr>
                <w:sz w:val="11"/>
                <w:szCs w:val="11"/>
                <w:color w:val="auto"/>
              </w:rPr>
            </w:pPr>
          </w:p>
        </w:tc>
        <w:tc>
          <w:tcPr>
            <w:tcW w:w="3960" w:type="dxa"/>
            <w:vAlign w:val="bottom"/>
            <w:gridSpan w:val="13"/>
          </w:tcPr>
          <w:p>
            <w:pPr>
              <w:spacing w:after="0" w:line="132" w:lineRule="exact"/>
              <w:rPr>
                <w:rFonts w:ascii="Arial" w:cs="Arial" w:eastAsia="Arial" w:hAnsi="Arial"/>
                <w:sz w:val="14"/>
                <w:szCs w:val="14"/>
                <w:color w:val="0000FF"/>
              </w:rPr>
            </w:pPr>
            <w:hyperlink w:anchor="page177">
              <w:r>
                <w:rPr>
                  <w:rFonts w:ascii="Arial" w:cs="Arial" w:eastAsia="Arial" w:hAnsi="Arial"/>
                  <w:sz w:val="14"/>
                  <w:szCs w:val="14"/>
                  <w:color w:val="0000FF"/>
                </w:rPr>
                <w:t>pursuant to Section 302 of the Sarbanes-Oxley Act of 2002</w:t>
              </w:r>
            </w:hyperlink>
          </w:p>
        </w:tc>
      </w:tr>
      <w:tr>
        <w:trPr>
          <w:trHeight w:val="271"/>
        </w:trPr>
        <w:tc>
          <w:tcPr>
            <w:tcW w:w="1460" w:type="dxa"/>
            <w:vAlign w:val="bottom"/>
          </w:tcPr>
          <w:p>
            <w:pPr>
              <w:spacing w:after="0"/>
              <w:rPr>
                <w:sz w:val="20"/>
                <w:szCs w:val="20"/>
                <w:color w:val="auto"/>
              </w:rPr>
            </w:pPr>
            <w:r>
              <w:rPr>
                <w:rFonts w:ascii="Arial" w:cs="Arial" w:eastAsia="Arial" w:hAnsi="Arial"/>
                <w:sz w:val="16"/>
                <w:szCs w:val="16"/>
                <w:color w:val="auto"/>
              </w:rPr>
              <w:t>32.1</w:t>
            </w:r>
          </w:p>
        </w:tc>
        <w:tc>
          <w:tcPr>
            <w:tcW w:w="3680" w:type="dxa"/>
            <w:vAlign w:val="bottom"/>
            <w:tcBorders>
              <w:top w:val="single" w:sz="8" w:color="0000FF"/>
            </w:tcBorders>
            <w:gridSpan w:val="10"/>
          </w:tcPr>
          <w:p>
            <w:pPr>
              <w:spacing w:after="0"/>
              <w:rPr>
                <w:rFonts w:ascii="Arial" w:cs="Arial" w:eastAsia="Arial" w:hAnsi="Arial"/>
                <w:sz w:val="16"/>
                <w:szCs w:val="16"/>
                <w:color w:val="0000FF"/>
                <w:w w:val="91"/>
              </w:rPr>
            </w:pPr>
            <w:hyperlink w:anchor="page178">
              <w:r>
                <w:rPr>
                  <w:rFonts w:ascii="Arial" w:cs="Arial" w:eastAsia="Arial" w:hAnsi="Arial"/>
                  <w:sz w:val="16"/>
                  <w:szCs w:val="16"/>
                  <w:color w:val="0000FF"/>
                  <w:w w:val="91"/>
                </w:rPr>
                <w:t>Certifications of Principal Executive Officer and Principal</w:t>
              </w:r>
            </w:hyperlink>
          </w:p>
        </w:tc>
        <w:tc>
          <w:tcPr>
            <w:tcW w:w="280" w:type="dxa"/>
            <w:vAlign w:val="bottom"/>
            <w:gridSpan w:val="3"/>
          </w:tcPr>
          <w:p>
            <w:pPr>
              <w:spacing w:after="0"/>
              <w:rPr>
                <w:sz w:val="23"/>
                <w:szCs w:val="23"/>
                <w:color w:val="auto"/>
              </w:rPr>
            </w:pPr>
          </w:p>
        </w:tc>
      </w:tr>
      <w:tr>
        <w:trPr>
          <w:trHeight w:val="133"/>
        </w:trPr>
        <w:tc>
          <w:tcPr>
            <w:tcW w:w="1460" w:type="dxa"/>
            <w:vAlign w:val="bottom"/>
          </w:tcPr>
          <w:p>
            <w:pPr>
              <w:spacing w:after="0"/>
              <w:rPr>
                <w:sz w:val="11"/>
                <w:szCs w:val="11"/>
                <w:color w:val="auto"/>
              </w:rPr>
            </w:pPr>
          </w:p>
        </w:tc>
        <w:tc>
          <w:tcPr>
            <w:tcW w:w="3620" w:type="dxa"/>
            <w:vAlign w:val="bottom"/>
            <w:tcBorders>
              <w:top w:val="single" w:sz="8" w:color="0000FF"/>
            </w:tcBorders>
            <w:gridSpan w:val="8"/>
          </w:tcPr>
          <w:p>
            <w:pPr>
              <w:spacing w:after="0" w:line="133" w:lineRule="exact"/>
              <w:rPr>
                <w:rFonts w:ascii="Arial" w:cs="Arial" w:eastAsia="Arial" w:hAnsi="Arial"/>
                <w:sz w:val="14"/>
                <w:szCs w:val="14"/>
                <w:u w:val="single" w:color="auto"/>
                <w:color w:val="0000FF"/>
              </w:rPr>
            </w:pPr>
            <w:hyperlink w:anchor="page178">
              <w:r>
                <w:rPr>
                  <w:rFonts w:ascii="Arial" w:cs="Arial" w:eastAsia="Arial" w:hAnsi="Arial"/>
                  <w:sz w:val="14"/>
                  <w:szCs w:val="14"/>
                  <w:u w:val="single" w:color="auto"/>
                  <w:color w:val="0000FF"/>
                </w:rPr>
                <w:t>Financial Officer pursuant to 18 U.S.C. Section 1350, as</w:t>
              </w:r>
            </w:hyperlink>
          </w:p>
        </w:tc>
        <w:tc>
          <w:tcPr>
            <w:tcW w:w="340" w:type="dxa"/>
            <w:vAlign w:val="bottom"/>
            <w:gridSpan w:val="5"/>
          </w:tcPr>
          <w:p>
            <w:pPr>
              <w:spacing w:after="0"/>
              <w:rPr>
                <w:sz w:val="11"/>
                <w:szCs w:val="11"/>
                <w:color w:val="auto"/>
              </w:rPr>
            </w:pPr>
          </w:p>
        </w:tc>
      </w:tr>
    </w:tbl>
    <w:p>
      <w:pPr>
        <w:ind w:left="1460" w:right="80"/>
        <w:spacing w:after="0" w:line="219" w:lineRule="auto"/>
        <w:rPr>
          <w:rFonts w:ascii="Arial" w:cs="Arial" w:eastAsia="Arial" w:hAnsi="Arial"/>
          <w:sz w:val="16"/>
          <w:szCs w:val="16"/>
          <w:u w:val="single" w:color="auto"/>
          <w:color w:val="0000FF"/>
        </w:rPr>
      </w:pPr>
      <w:hyperlink w:anchor="page178">
        <w:r>
          <w:rPr>
            <w:rFonts w:ascii="Arial" w:cs="Arial" w:eastAsia="Arial" w:hAnsi="Arial"/>
            <w:sz w:val="16"/>
            <w:szCs w:val="16"/>
            <w:u w:val="single" w:color="auto"/>
            <w:color w:val="0000FF"/>
          </w:rPr>
          <w:t>adopted pursuant to Section 906 of the Sarbanes-Oxley Act of</w:t>
        </w:r>
      </w:hyperlink>
      <w:r>
        <w:rPr>
          <w:rFonts w:ascii="Arial" w:cs="Arial" w:eastAsia="Arial" w:hAnsi="Arial"/>
          <w:sz w:val="16"/>
          <w:szCs w:val="16"/>
          <w:u w:val="single" w:color="auto"/>
          <w:color w:val="0000FF"/>
        </w:rPr>
        <w:t xml:space="preserve"> </w:t>
      </w:r>
      <w:hyperlink w:anchor="page178">
        <w:r>
          <w:rPr>
            <w:rFonts w:ascii="Arial" w:cs="Arial" w:eastAsia="Arial" w:hAnsi="Arial"/>
            <w:sz w:val="16"/>
            <w:szCs w:val="16"/>
            <w:u w:val="single" w:color="auto"/>
            <w:color w:val="0000FF"/>
          </w:rPr>
          <w:t>2002</w:t>
        </w:r>
      </w:hyperlink>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40" w:lineRule="exact"/>
        <w:rPr>
          <w:sz w:val="20"/>
          <w:szCs w:val="20"/>
          <w:color w:val="auto"/>
        </w:rPr>
      </w:pPr>
    </w:p>
    <w:p>
      <w:pPr>
        <w:sectPr>
          <w:pgSz w:w="11900" w:h="16838" w:orient="portrait"/>
          <w:cols w:equalWidth="0" w:num="2">
            <w:col w:w="5400" w:space="720"/>
            <w:col w:w="5140"/>
          </w:cols>
          <w:pgMar w:left="320" w:top="135" w:right="3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020" w:type="dxa"/>
            <w:vAlign w:val="bottom"/>
          </w:tcPr>
          <w:p>
            <w:pPr>
              <w:spacing w:after="0"/>
              <w:rPr>
                <w:sz w:val="20"/>
                <w:szCs w:val="20"/>
                <w:color w:val="auto"/>
              </w:rPr>
            </w:pPr>
            <w:r>
              <w:rPr>
                <w:rFonts w:ascii="Arial" w:cs="Arial" w:eastAsia="Arial" w:hAnsi="Arial"/>
                <w:sz w:val="16"/>
                <w:szCs w:val="16"/>
                <w:color w:val="auto"/>
              </w:rPr>
              <w:t>101.INS</w:t>
            </w:r>
          </w:p>
        </w:tc>
        <w:tc>
          <w:tcPr>
            <w:tcW w:w="4420" w:type="dxa"/>
            <w:vAlign w:val="bottom"/>
          </w:tcPr>
          <w:p>
            <w:pPr>
              <w:ind w:left="440"/>
              <w:spacing w:after="0"/>
              <w:rPr>
                <w:sz w:val="20"/>
                <w:szCs w:val="20"/>
                <w:color w:val="auto"/>
              </w:rPr>
            </w:pPr>
            <w:r>
              <w:rPr>
                <w:rFonts w:ascii="Arial" w:cs="Arial" w:eastAsia="Arial" w:hAnsi="Arial"/>
                <w:sz w:val="16"/>
                <w:szCs w:val="16"/>
                <w:color w:val="auto"/>
              </w:rPr>
              <w:t>Inline XBRL Instance Document - The XBRL Instance</w:t>
            </w: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420" w:type="dxa"/>
            <w:vAlign w:val="bottom"/>
          </w:tcPr>
          <w:p>
            <w:pPr>
              <w:ind w:left="440"/>
              <w:spacing w:after="0"/>
              <w:rPr>
                <w:sz w:val="20"/>
                <w:szCs w:val="20"/>
                <w:color w:val="auto"/>
              </w:rPr>
            </w:pPr>
            <w:r>
              <w:rPr>
                <w:rFonts w:ascii="Arial" w:cs="Arial" w:eastAsia="Arial" w:hAnsi="Arial"/>
                <w:sz w:val="16"/>
                <w:szCs w:val="16"/>
                <w:color w:val="auto"/>
                <w:w w:val="88"/>
              </w:rPr>
              <w:t>Document does not appear in the Interactive Data File because</w:t>
            </w:r>
          </w:p>
        </w:tc>
        <w:tc>
          <w:tcPr>
            <w:tcW w:w="5820" w:type="dxa"/>
            <w:vAlign w:val="bottom"/>
            <w:vMerge w:val="restart"/>
          </w:tcPr>
          <w:p>
            <w:pPr>
              <w:jc w:val="center"/>
              <w:ind w:right="424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03"/>
        </w:trPr>
        <w:tc>
          <w:tcPr>
            <w:tcW w:w="1020" w:type="dxa"/>
            <w:vAlign w:val="bottom"/>
          </w:tcPr>
          <w:p>
            <w:pPr>
              <w:spacing w:after="0"/>
              <w:rPr>
                <w:sz w:val="8"/>
                <w:szCs w:val="8"/>
                <w:color w:val="auto"/>
              </w:rPr>
            </w:pPr>
          </w:p>
        </w:tc>
        <w:tc>
          <w:tcPr>
            <w:tcW w:w="4420" w:type="dxa"/>
            <w:vAlign w:val="bottom"/>
            <w:vMerge w:val="restart"/>
          </w:tcPr>
          <w:p>
            <w:pPr>
              <w:ind w:left="440"/>
              <w:spacing w:after="0"/>
              <w:rPr>
                <w:sz w:val="20"/>
                <w:szCs w:val="20"/>
                <w:color w:val="auto"/>
              </w:rPr>
            </w:pPr>
            <w:r>
              <w:rPr>
                <w:rFonts w:ascii="Arial" w:cs="Arial" w:eastAsia="Arial" w:hAnsi="Arial"/>
                <w:sz w:val="16"/>
                <w:szCs w:val="16"/>
                <w:color w:val="auto"/>
              </w:rPr>
              <w:t>its XBRL tags are embedded within the Inline XBRL</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20" w:type="dxa"/>
            <w:vAlign w:val="bottom"/>
          </w:tcPr>
          <w:p>
            <w:pPr>
              <w:spacing w:after="0"/>
              <w:rPr>
                <w:sz w:val="7"/>
                <w:szCs w:val="7"/>
                <w:color w:val="auto"/>
              </w:rPr>
            </w:pPr>
          </w:p>
        </w:tc>
        <w:tc>
          <w:tcPr>
            <w:tcW w:w="4420" w:type="dxa"/>
            <w:vAlign w:val="bottom"/>
            <w:vMerge w:val="continue"/>
          </w:tcPr>
          <w:p>
            <w:pPr>
              <w:spacing w:after="0"/>
              <w:rPr>
                <w:sz w:val="7"/>
                <w:szCs w:val="7"/>
                <w:color w:val="auto"/>
              </w:rPr>
            </w:pPr>
          </w:p>
        </w:tc>
        <w:tc>
          <w:tcPr>
            <w:tcW w:w="5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tcPr>
          <w:p>
            <w:pPr>
              <w:ind w:left="440"/>
              <w:spacing w:after="0"/>
              <w:rPr>
                <w:sz w:val="20"/>
                <w:szCs w:val="20"/>
                <w:color w:val="auto"/>
              </w:rPr>
            </w:pPr>
            <w:r>
              <w:rPr>
                <w:rFonts w:ascii="Arial" w:cs="Arial" w:eastAsia="Arial" w:hAnsi="Arial"/>
                <w:sz w:val="16"/>
                <w:szCs w:val="16"/>
                <w:color w:val="auto"/>
              </w:rPr>
              <w:t>document</w:t>
            </w: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4420" w:type="dxa"/>
            <w:vAlign w:val="bottom"/>
          </w:tcPr>
          <w:p>
            <w:pPr>
              <w:ind w:left="440"/>
              <w:spacing w:after="0"/>
              <w:rPr>
                <w:sz w:val="20"/>
                <w:szCs w:val="20"/>
                <w:color w:val="auto"/>
              </w:rPr>
            </w:pPr>
            <w:r>
              <w:rPr>
                <w:rFonts w:ascii="Arial" w:cs="Arial" w:eastAsia="Arial" w:hAnsi="Arial"/>
                <w:sz w:val="16"/>
                <w:szCs w:val="16"/>
                <w:color w:val="auto"/>
              </w:rPr>
              <w:t>Inline XBRL Taxonomy Extension Schema Document</w:t>
            </w:r>
          </w:p>
        </w:tc>
        <w:tc>
          <w:tcPr>
            <w:tcW w:w="5820" w:type="dxa"/>
            <w:vAlign w:val="bottom"/>
          </w:tcPr>
          <w:p>
            <w:pPr>
              <w:jc w:val="center"/>
              <w:ind w:right="42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6"/>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4420" w:type="dxa"/>
            <w:vAlign w:val="bottom"/>
          </w:tcPr>
          <w:p>
            <w:pPr>
              <w:ind w:left="440"/>
              <w:spacing w:after="0"/>
              <w:rPr>
                <w:sz w:val="20"/>
                <w:szCs w:val="20"/>
                <w:color w:val="auto"/>
              </w:rPr>
            </w:pPr>
            <w:r>
              <w:rPr>
                <w:rFonts w:ascii="Arial" w:cs="Arial" w:eastAsia="Arial" w:hAnsi="Arial"/>
                <w:sz w:val="16"/>
                <w:szCs w:val="16"/>
                <w:color w:val="auto"/>
              </w:rPr>
              <w:t>Inline XBRL Taxonomy Extension Calculation Linkbase</w:t>
            </w:r>
          </w:p>
        </w:tc>
        <w:tc>
          <w:tcPr>
            <w:tcW w:w="5820" w:type="dxa"/>
            <w:vAlign w:val="bottom"/>
            <w:vMerge w:val="restart"/>
          </w:tcPr>
          <w:p>
            <w:pPr>
              <w:jc w:val="center"/>
              <w:ind w:right="42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1020" w:type="dxa"/>
            <w:vAlign w:val="bottom"/>
          </w:tcPr>
          <w:p>
            <w:pPr>
              <w:spacing w:after="0"/>
              <w:rPr>
                <w:sz w:val="8"/>
                <w:szCs w:val="8"/>
                <w:color w:val="auto"/>
              </w:rPr>
            </w:pPr>
          </w:p>
        </w:tc>
        <w:tc>
          <w:tcPr>
            <w:tcW w:w="4420" w:type="dxa"/>
            <w:vAlign w:val="bottom"/>
            <w:vMerge w:val="restart"/>
          </w:tcPr>
          <w:p>
            <w:pPr>
              <w:ind w:left="440"/>
              <w:spacing w:after="0"/>
              <w:rPr>
                <w:sz w:val="20"/>
                <w:szCs w:val="20"/>
                <w:color w:val="auto"/>
              </w:rPr>
            </w:pPr>
            <w:r>
              <w:rPr>
                <w:rFonts w:ascii="Arial" w:cs="Arial" w:eastAsia="Arial" w:hAnsi="Arial"/>
                <w:sz w:val="16"/>
                <w:szCs w:val="16"/>
                <w:color w:val="auto"/>
              </w:rPr>
              <w:t>Document</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5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4420" w:type="dxa"/>
            <w:vAlign w:val="bottom"/>
          </w:tcPr>
          <w:p>
            <w:pPr>
              <w:ind w:left="440"/>
              <w:spacing w:after="0"/>
              <w:rPr>
                <w:sz w:val="20"/>
                <w:szCs w:val="20"/>
                <w:color w:val="auto"/>
              </w:rPr>
            </w:pPr>
            <w:r>
              <w:rPr>
                <w:rFonts w:ascii="Arial" w:cs="Arial" w:eastAsia="Arial" w:hAnsi="Arial"/>
                <w:sz w:val="16"/>
                <w:szCs w:val="16"/>
                <w:color w:val="auto"/>
              </w:rPr>
              <w:t>Inline XBRL Taxonomy Extension Definition Linkbase</w:t>
            </w:r>
          </w:p>
        </w:tc>
        <w:tc>
          <w:tcPr>
            <w:tcW w:w="5820" w:type="dxa"/>
            <w:vAlign w:val="bottom"/>
            <w:vMerge w:val="restart"/>
          </w:tcPr>
          <w:p>
            <w:pPr>
              <w:jc w:val="center"/>
              <w:ind w:right="42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1020" w:type="dxa"/>
            <w:vAlign w:val="bottom"/>
          </w:tcPr>
          <w:p>
            <w:pPr>
              <w:spacing w:after="0"/>
              <w:rPr>
                <w:sz w:val="8"/>
                <w:szCs w:val="8"/>
                <w:color w:val="auto"/>
              </w:rPr>
            </w:pPr>
          </w:p>
        </w:tc>
        <w:tc>
          <w:tcPr>
            <w:tcW w:w="4420" w:type="dxa"/>
            <w:vAlign w:val="bottom"/>
            <w:vMerge w:val="restart"/>
          </w:tcPr>
          <w:p>
            <w:pPr>
              <w:ind w:left="440"/>
              <w:spacing w:after="0"/>
              <w:rPr>
                <w:sz w:val="20"/>
                <w:szCs w:val="20"/>
                <w:color w:val="auto"/>
              </w:rPr>
            </w:pPr>
            <w:r>
              <w:rPr>
                <w:rFonts w:ascii="Arial" w:cs="Arial" w:eastAsia="Arial" w:hAnsi="Arial"/>
                <w:sz w:val="16"/>
                <w:szCs w:val="16"/>
                <w:color w:val="auto"/>
              </w:rPr>
              <w:t>Document</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5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4420" w:type="dxa"/>
            <w:vAlign w:val="bottom"/>
          </w:tcPr>
          <w:p>
            <w:pPr>
              <w:ind w:left="440"/>
              <w:spacing w:after="0"/>
              <w:rPr>
                <w:sz w:val="20"/>
                <w:szCs w:val="20"/>
                <w:color w:val="auto"/>
              </w:rPr>
            </w:pPr>
            <w:r>
              <w:rPr>
                <w:rFonts w:ascii="Arial" w:cs="Arial" w:eastAsia="Arial" w:hAnsi="Arial"/>
                <w:sz w:val="16"/>
                <w:szCs w:val="16"/>
                <w:color w:val="auto"/>
              </w:rPr>
              <w:t>Inline XBRL Taxonomy Label Linkbase Document</w:t>
            </w:r>
          </w:p>
        </w:tc>
        <w:tc>
          <w:tcPr>
            <w:tcW w:w="5820" w:type="dxa"/>
            <w:vAlign w:val="bottom"/>
          </w:tcPr>
          <w:p>
            <w:pPr>
              <w:jc w:val="center"/>
              <w:ind w:right="42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3"/>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4420" w:type="dxa"/>
            <w:vAlign w:val="bottom"/>
          </w:tcPr>
          <w:p>
            <w:pPr>
              <w:ind w:left="440"/>
              <w:spacing w:after="0"/>
              <w:rPr>
                <w:sz w:val="20"/>
                <w:szCs w:val="20"/>
                <w:color w:val="auto"/>
              </w:rPr>
            </w:pPr>
            <w:r>
              <w:rPr>
                <w:rFonts w:ascii="Arial" w:cs="Arial" w:eastAsia="Arial" w:hAnsi="Arial"/>
                <w:sz w:val="16"/>
                <w:szCs w:val="16"/>
                <w:color w:val="auto"/>
                <w:w w:val="98"/>
              </w:rPr>
              <w:t>Inline XBRL Taxonomy Extension Presentation Linkbase</w:t>
            </w:r>
          </w:p>
        </w:tc>
        <w:tc>
          <w:tcPr>
            <w:tcW w:w="5820" w:type="dxa"/>
            <w:vAlign w:val="bottom"/>
            <w:vMerge w:val="restart"/>
          </w:tcPr>
          <w:p>
            <w:pPr>
              <w:jc w:val="center"/>
              <w:ind w:right="42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1020" w:type="dxa"/>
            <w:vAlign w:val="bottom"/>
          </w:tcPr>
          <w:p>
            <w:pPr>
              <w:spacing w:after="0"/>
              <w:rPr>
                <w:sz w:val="8"/>
                <w:szCs w:val="8"/>
                <w:color w:val="auto"/>
              </w:rPr>
            </w:pPr>
          </w:p>
        </w:tc>
        <w:tc>
          <w:tcPr>
            <w:tcW w:w="4420" w:type="dxa"/>
            <w:vAlign w:val="bottom"/>
            <w:vMerge w:val="restart"/>
          </w:tcPr>
          <w:p>
            <w:pPr>
              <w:ind w:left="440"/>
              <w:spacing w:after="0"/>
              <w:rPr>
                <w:sz w:val="20"/>
                <w:szCs w:val="20"/>
                <w:color w:val="auto"/>
              </w:rPr>
            </w:pPr>
            <w:r>
              <w:rPr>
                <w:rFonts w:ascii="Arial" w:cs="Arial" w:eastAsia="Arial" w:hAnsi="Arial"/>
                <w:sz w:val="16"/>
                <w:szCs w:val="16"/>
                <w:color w:val="auto"/>
              </w:rPr>
              <w:t>Document</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5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3"/>
        </w:trPr>
        <w:tc>
          <w:tcPr>
            <w:tcW w:w="1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20" w:type="dxa"/>
            <w:vAlign w:val="bottom"/>
          </w:tcPr>
          <w:p>
            <w:pPr>
              <w:jc w:val="right"/>
              <w:ind w:right="5442"/>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09"/>
        </w:trPr>
        <w:tc>
          <w:tcPr>
            <w:tcW w:w="10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type w:val="continuous"/>
        </w:sectPr>
      </w:pPr>
    </w:p>
    <w:bookmarkStart w:id="127" w:name="page128"/>
    <w:bookmarkEnd w:id="12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w w:val="92"/>
              </w:rPr>
              <w:t>Incorporated by Reference</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3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Exhibit No</w:t>
            </w:r>
          </w:p>
        </w:tc>
        <w:tc>
          <w:tcPr>
            <w:tcW w:w="160" w:type="dxa"/>
            <w:vAlign w:val="bottom"/>
            <w:vMerge w:val="restart"/>
          </w:tcPr>
          <w:p>
            <w:pPr>
              <w:spacing w:after="0"/>
              <w:rPr>
                <w:sz w:val="12"/>
                <w:szCs w:val="12"/>
                <w:color w:val="auto"/>
              </w:rPr>
            </w:pPr>
          </w:p>
        </w:tc>
        <w:tc>
          <w:tcPr>
            <w:tcW w:w="3960" w:type="dxa"/>
            <w:vAlign w:val="bottom"/>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160" w:type="dxa"/>
            <w:vAlign w:val="bottom"/>
            <w:vMerge w:val="restart"/>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88"/>
              </w:rPr>
              <w:t>Filed/Furnished</w:t>
            </w:r>
          </w:p>
        </w:tc>
        <w:tc>
          <w:tcPr>
            <w:tcW w:w="160" w:type="dxa"/>
            <w:vAlign w:val="bottom"/>
          </w:tcPr>
          <w:p>
            <w:pPr>
              <w:spacing w:after="0"/>
              <w:rPr>
                <w:sz w:val="12"/>
                <w:szCs w:val="12"/>
                <w:color w:val="auto"/>
              </w:rPr>
            </w:pPr>
          </w:p>
        </w:tc>
        <w:tc>
          <w:tcPr>
            <w:tcW w:w="9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Form</w:t>
            </w:r>
          </w:p>
        </w:tc>
        <w:tc>
          <w:tcPr>
            <w:tcW w:w="11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File No.</w:t>
            </w:r>
          </w:p>
        </w:tc>
        <w:tc>
          <w:tcPr>
            <w:tcW w:w="11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Exhibit</w:t>
            </w:r>
          </w:p>
        </w:tc>
        <w:tc>
          <w:tcPr>
            <w:tcW w:w="11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98"/>
        </w:trPr>
        <w:tc>
          <w:tcPr>
            <w:tcW w:w="13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9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Herewith</w:t>
            </w:r>
          </w:p>
        </w:tc>
        <w:tc>
          <w:tcPr>
            <w:tcW w:w="16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00" w:type="dxa"/>
            <w:vAlign w:val="bottom"/>
          </w:tcPr>
          <w:p>
            <w:pPr>
              <w:jc w:val="right"/>
              <w:ind w:right="982"/>
              <w:spacing w:after="0"/>
              <w:rPr>
                <w:sz w:val="20"/>
                <w:szCs w:val="20"/>
                <w:color w:val="auto"/>
              </w:rPr>
            </w:pPr>
            <w:r>
              <w:rPr>
                <w:rFonts w:ascii="Arial" w:cs="Arial" w:eastAsia="Arial" w:hAnsi="Arial"/>
                <w:sz w:val="16"/>
                <w:szCs w:val="16"/>
                <w:color w:val="auto"/>
                <w:w w:val="82"/>
              </w:rPr>
              <w:t>104</w:t>
            </w:r>
          </w:p>
        </w:tc>
        <w:tc>
          <w:tcPr>
            <w:tcW w:w="16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w w:val="97"/>
              </w:rPr>
              <w:t>Cover Page Interactive Data File (formatted as Inline XBRL</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120" w:type="dxa"/>
            <w:vAlign w:val="bottom"/>
            <w:gridSpan w:val="2"/>
            <w:vMerge w:val="restart"/>
          </w:tcPr>
          <w:p>
            <w:pPr>
              <w:spacing w:after="0"/>
              <w:rPr>
                <w:sz w:val="20"/>
                <w:szCs w:val="20"/>
                <w:color w:val="auto"/>
              </w:rPr>
            </w:pPr>
            <w:r>
              <w:rPr>
                <w:rFonts w:ascii="Arial" w:cs="Arial" w:eastAsia="Arial" w:hAnsi="Arial"/>
                <w:sz w:val="16"/>
                <w:szCs w:val="16"/>
                <w:color w:val="auto"/>
              </w:rPr>
              <w:t>and contained in Exhibit 101)</w:t>
            </w: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120" w:type="dxa"/>
            <w:vAlign w:val="bottom"/>
            <w:tcBorders>
              <w:bottom w:val="single" w:sz="8" w:color="auto"/>
            </w:tcBorders>
            <w:gridSpan w:val="2"/>
            <w:vMerge w:val="continue"/>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227"/>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2" w:lineRule="exact"/>
        <w:rPr>
          <w:sz w:val="20"/>
          <w:szCs w:val="20"/>
          <w:color w:val="auto"/>
        </w:rPr>
      </w:pPr>
    </w:p>
    <w:p>
      <w:pPr>
        <w:ind w:left="440" w:hanging="307"/>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 w:lineRule="exact"/>
        <w:rPr>
          <w:sz w:val="20"/>
          <w:szCs w:val="20"/>
          <w:color w:val="auto"/>
        </w:rPr>
      </w:pPr>
    </w:p>
    <w:p>
      <w:pPr>
        <w:ind w:left="380" w:hanging="247"/>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Denotes management contract or compensatory plan or arrangement.</w:t>
      </w:r>
    </w:p>
    <w:p>
      <w:pPr>
        <w:spacing w:after="0" w:line="3" w:lineRule="exact"/>
        <w:rPr>
          <w:sz w:val="20"/>
          <w:szCs w:val="20"/>
          <w:color w:val="auto"/>
        </w:rPr>
      </w:pPr>
    </w:p>
    <w:p>
      <w:pPr>
        <w:jc w:val="both"/>
        <w:ind w:left="420" w:right="140" w:hanging="287"/>
        <w:spacing w:after="0" w:line="244" w:lineRule="auto"/>
        <w:tabs>
          <w:tab w:leader="none" w:pos="3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62230</wp:posOffset>
            </wp:positionV>
            <wp:extent cx="717613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28" w:name="page129"/>
    <w:bookmarkEnd w:id="12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SOTERA HEALTH COMPANY</w:t>
      </w:r>
    </w:p>
    <w:p>
      <w:pPr>
        <w:spacing w:after="0" w:line="247" w:lineRule="exact"/>
        <w:rPr>
          <w:sz w:val="20"/>
          <w:szCs w:val="20"/>
          <w:color w:val="auto"/>
        </w:rPr>
      </w:pPr>
    </w:p>
    <w:tbl>
      <w:tblPr>
        <w:tblLayout w:type="fixed"/>
        <w:tblInd w:w="510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B. Petras, Jr.</w:t>
            </w:r>
          </w:p>
        </w:tc>
      </w:tr>
      <w:tr>
        <w:trPr>
          <w:trHeight w:val="190"/>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5400" w:type="dxa"/>
            <w:vAlign w:val="bottom"/>
          </w:tcPr>
          <w:p>
            <w:pPr>
              <w:ind w:left="20"/>
              <w:spacing w:after="0"/>
              <w:rPr>
                <w:sz w:val="20"/>
                <w:szCs w:val="20"/>
                <w:color w:val="auto"/>
              </w:rPr>
            </w:pPr>
            <w:r>
              <w:rPr>
                <w:rFonts w:ascii="Arial" w:cs="Arial" w:eastAsia="Arial" w:hAnsi="Arial"/>
                <w:sz w:val="16"/>
                <w:szCs w:val="16"/>
                <w:color w:val="auto"/>
              </w:rPr>
              <w:t>Michael B. Petras, Jr.</w:t>
            </w:r>
          </w:p>
        </w:tc>
      </w:tr>
      <w:tr>
        <w:trPr>
          <w:trHeight w:val="198"/>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5400" w:type="dxa"/>
            <w:vAlign w:val="bottom"/>
          </w:tcPr>
          <w:p>
            <w:pPr>
              <w:ind w:left="20"/>
              <w:spacing w:after="0"/>
              <w:rPr>
                <w:sz w:val="20"/>
                <w:szCs w:val="20"/>
                <w:color w:val="auto"/>
              </w:rPr>
            </w:pPr>
            <w:r>
              <w:rPr>
                <w:rFonts w:ascii="Arial" w:cs="Arial" w:eastAsia="Arial" w:hAnsi="Arial"/>
                <w:sz w:val="16"/>
                <w:szCs w:val="16"/>
                <w:color w:val="auto"/>
              </w:rPr>
              <w:t>Chairman and Chief Executive Officer</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2022</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240" w:type="dxa"/>
            <w:vAlign w:val="bottom"/>
          </w:tcPr>
          <w:p>
            <w:pPr>
              <w:spacing w:after="0"/>
              <w:rPr>
                <w:sz w:val="17"/>
                <w:szCs w:val="17"/>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366"/>
        </w:trPr>
        <w:tc>
          <w:tcPr>
            <w:tcW w:w="4600" w:type="dxa"/>
            <w:vAlign w:val="bottom"/>
            <w:vMerge w:val="restart"/>
          </w:tcPr>
          <w:p>
            <w:pPr>
              <w:jc w:val="center"/>
              <w:spacing w:after="0"/>
              <w:rPr>
                <w:sz w:val="20"/>
                <w:szCs w:val="20"/>
                <w:color w:val="auto"/>
              </w:rPr>
            </w:pPr>
            <w:r>
              <w:rPr>
                <w:rFonts w:ascii="Arial" w:cs="Arial" w:eastAsia="Arial" w:hAnsi="Arial"/>
                <w:sz w:val="16"/>
                <w:szCs w:val="16"/>
                <w:color w:val="auto"/>
                <w:w w:val="87"/>
              </w:rPr>
              <w:t>/s/ Michael B. Petras, Jr.</w:t>
            </w:r>
          </w:p>
        </w:tc>
        <w:tc>
          <w:tcPr>
            <w:tcW w:w="240" w:type="dxa"/>
            <w:vAlign w:val="bottom"/>
          </w:tcPr>
          <w:p>
            <w:pPr>
              <w:spacing w:after="0"/>
              <w:rPr>
                <w:sz w:val="24"/>
                <w:szCs w:val="24"/>
                <w:color w:val="auto"/>
              </w:rPr>
            </w:pPr>
          </w:p>
        </w:tc>
        <w:tc>
          <w:tcPr>
            <w:tcW w:w="486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Chairman and Chief Executive Officer</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202"/>
        </w:trPr>
        <w:tc>
          <w:tcPr>
            <w:tcW w:w="46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(Principal Executive Officer)</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6"/>
              </w:rPr>
              <w:t>Michael B. Petras, Jr.</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600" w:type="dxa"/>
            <w:vAlign w:val="bottom"/>
            <w:vMerge w:val="restart"/>
          </w:tcPr>
          <w:p>
            <w:pPr>
              <w:jc w:val="center"/>
              <w:spacing w:after="0"/>
              <w:rPr>
                <w:sz w:val="20"/>
                <w:szCs w:val="20"/>
                <w:color w:val="auto"/>
              </w:rPr>
            </w:pPr>
            <w:r>
              <w:rPr>
                <w:rFonts w:ascii="Arial" w:cs="Arial" w:eastAsia="Arial" w:hAnsi="Arial"/>
                <w:sz w:val="16"/>
                <w:szCs w:val="16"/>
                <w:color w:val="auto"/>
                <w:w w:val="90"/>
              </w:rPr>
              <w:t>/s/ Scott J. Leffler</w:t>
            </w:r>
          </w:p>
        </w:tc>
        <w:tc>
          <w:tcPr>
            <w:tcW w:w="240" w:type="dxa"/>
            <w:vAlign w:val="bottom"/>
          </w:tcPr>
          <w:p>
            <w:pPr>
              <w:spacing w:after="0"/>
              <w:rPr>
                <w:sz w:val="13"/>
                <w:szCs w:val="13"/>
                <w:color w:val="auto"/>
              </w:rPr>
            </w:pPr>
          </w:p>
        </w:tc>
        <w:tc>
          <w:tcPr>
            <w:tcW w:w="4860" w:type="dxa"/>
            <w:vAlign w:val="bottom"/>
            <w:gridSpan w:val="2"/>
          </w:tcPr>
          <w:p>
            <w:pPr>
              <w:jc w:val="center"/>
              <w:ind w:right="280"/>
              <w:spacing w:after="0" w:line="153" w:lineRule="exact"/>
              <w:rPr>
                <w:sz w:val="20"/>
                <w:szCs w:val="20"/>
                <w:color w:val="auto"/>
              </w:rPr>
            </w:pPr>
            <w:r>
              <w:rPr>
                <w:rFonts w:ascii="Arial" w:cs="Arial" w:eastAsia="Arial" w:hAnsi="Arial"/>
                <w:sz w:val="16"/>
                <w:szCs w:val="16"/>
                <w:color w:val="auto"/>
                <w:w w:val="89"/>
              </w:rPr>
              <w:t>Chief Financial Officer and Treasurer</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202"/>
        </w:trPr>
        <w:tc>
          <w:tcPr>
            <w:tcW w:w="46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(Principal Financial and Accounting Officer)</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9"/>
              </w:rPr>
              <w:t>Scott J. Leffler</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Ruoxi Chen</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90"/>
              </w:rPr>
              <w:t>Ruoxi Chen</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Sean L. Cunningham</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7"/>
              </w:rPr>
              <w:t>Sean L. Cunningham</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David A. Donnini</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93"/>
              </w:rPr>
              <w:t>David A. Donnini</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/s/ Stephanie M. Geveda</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6"/>
              </w:rPr>
              <w:t>Stephanie M. Geveda</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Ann R. Klee</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91"/>
              </w:rPr>
              <w:t>Ann R. Klee</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Constantine S. Mihas</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6"/>
              </w:rPr>
              <w:t>Constantine S. Mihas</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/s/ James C. Neary</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5"/>
              </w:rPr>
              <w:t>James C. Neary</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Vincent K. Petrella</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91"/>
              </w:rPr>
              <w:t>Vincent K. Petrella</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David E. Wheadon</w:t>
            </w:r>
          </w:p>
        </w:tc>
        <w:tc>
          <w:tcPr>
            <w:tcW w:w="240" w:type="dxa"/>
            <w:vAlign w:val="bottom"/>
          </w:tcPr>
          <w:p>
            <w:pPr>
              <w:spacing w:after="0"/>
              <w:rPr>
                <w:sz w:val="17"/>
                <w:szCs w:val="17"/>
                <w:color w:val="auto"/>
              </w:rPr>
            </w:pPr>
          </w:p>
        </w:tc>
        <w:tc>
          <w:tcPr>
            <w:tcW w:w="4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Director</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March 1, 2022</w:t>
            </w:r>
          </w:p>
        </w:tc>
        <w:tc>
          <w:tcPr>
            <w:tcW w:w="0" w:type="dxa"/>
            <w:vAlign w:val="bottom"/>
          </w:tcPr>
          <w:p>
            <w:pPr>
              <w:spacing w:after="0"/>
              <w:rPr>
                <w:sz w:val="1"/>
                <w:szCs w:val="1"/>
                <w:color w:val="auto"/>
              </w:rPr>
            </w:pPr>
          </w:p>
        </w:tc>
      </w:tr>
      <w:tr>
        <w:trPr>
          <w:trHeight w:val="190"/>
        </w:trPr>
        <w:tc>
          <w:tcPr>
            <w:tcW w:w="4600" w:type="dxa"/>
            <w:vAlign w:val="bottom"/>
          </w:tcPr>
          <w:p>
            <w:pPr>
              <w:jc w:val="center"/>
              <w:spacing w:after="0"/>
              <w:rPr>
                <w:sz w:val="20"/>
                <w:szCs w:val="20"/>
                <w:color w:val="auto"/>
              </w:rPr>
            </w:pPr>
            <w:r>
              <w:rPr>
                <w:rFonts w:ascii="Arial" w:cs="Arial" w:eastAsia="Arial" w:hAnsi="Arial"/>
                <w:sz w:val="16"/>
                <w:szCs w:val="16"/>
                <w:color w:val="auto"/>
                <w:w w:val="89"/>
              </w:rPr>
              <w:t>David E. Wheadon</w:t>
            </w:r>
          </w:p>
        </w:tc>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8"/>
        </w:trPr>
        <w:tc>
          <w:tcPr>
            <w:tcW w:w="4600" w:type="dxa"/>
            <w:vAlign w:val="bottom"/>
          </w:tcPr>
          <w:p>
            <w:pPr>
              <w:spacing w:after="0"/>
              <w:rPr>
                <w:sz w:val="24"/>
                <w:szCs w:val="24"/>
                <w:color w:val="auto"/>
              </w:rPr>
            </w:pPr>
          </w:p>
        </w:tc>
        <w:tc>
          <w:tcPr>
            <w:tcW w:w="4880" w:type="dxa"/>
            <w:vAlign w:val="bottom"/>
            <w:gridSpan w:val="2"/>
          </w:tcPr>
          <w:p>
            <w:pPr>
              <w:jc w:val="right"/>
              <w:ind w:right="3662"/>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5"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16"/>
          <w:szCs w:val="16"/>
          <w:color w:val="auto"/>
        </w:rPr>
        <w:t>August 18, 2021</w:t>
      </w:r>
    </w:p>
    <w:p>
      <w:pPr>
        <w:spacing w:after="0" w:line="399" w:lineRule="exact"/>
        <w:rPr>
          <w:sz w:val="20"/>
          <w:szCs w:val="20"/>
          <w:color w:val="auto"/>
        </w:rPr>
      </w:pPr>
    </w:p>
    <w:p>
      <w:pPr>
        <w:ind w:left="7"/>
        <w:spacing w:after="0"/>
        <w:rPr>
          <w:sz w:val="20"/>
          <w:szCs w:val="20"/>
          <w:color w:val="auto"/>
        </w:rPr>
      </w:pPr>
      <w:r>
        <w:rPr>
          <w:rFonts w:ascii="Arial" w:cs="Arial" w:eastAsia="Arial" w:hAnsi="Arial"/>
          <w:sz w:val="16"/>
          <w:szCs w:val="16"/>
          <w:color w:val="auto"/>
        </w:rPr>
        <w:t>Dear Terry,</w:t>
      </w:r>
    </w:p>
    <w:p>
      <w:pPr>
        <w:spacing w:after="0" w:line="200" w:lineRule="exact"/>
        <w:rPr>
          <w:sz w:val="20"/>
          <w:szCs w:val="20"/>
          <w:color w:val="auto"/>
        </w:rPr>
      </w:pPr>
    </w:p>
    <w:p>
      <w:pPr>
        <w:spacing w:after="0" w:line="211" w:lineRule="exact"/>
        <w:rPr>
          <w:sz w:val="20"/>
          <w:szCs w:val="20"/>
          <w:color w:val="auto"/>
        </w:rPr>
      </w:pPr>
    </w:p>
    <w:p>
      <w:pPr>
        <w:ind w:left="7" w:right="20"/>
        <w:spacing w:after="0" w:line="244" w:lineRule="auto"/>
        <w:rPr>
          <w:sz w:val="20"/>
          <w:szCs w:val="20"/>
          <w:color w:val="auto"/>
        </w:rPr>
      </w:pPr>
      <w:r>
        <w:rPr>
          <w:rFonts w:ascii="Arial" w:cs="Arial" w:eastAsia="Arial" w:hAnsi="Arial"/>
          <w:sz w:val="16"/>
          <w:szCs w:val="16"/>
          <w:color w:val="auto"/>
        </w:rPr>
        <w:t>Congratulations on the opportunity to join Sotera Health Company (the “Company”) as its Senior Vice President and General Counsel. This letter will recap the key elements of our offer.</w:t>
      </w:r>
    </w:p>
    <w:p>
      <w:pPr>
        <w:spacing w:after="0" w:line="179" w:lineRule="exact"/>
        <w:rPr>
          <w:sz w:val="20"/>
          <w:szCs w:val="20"/>
          <w:color w:val="auto"/>
        </w:rPr>
      </w:pPr>
    </w:p>
    <w:p>
      <w:pPr>
        <w:ind w:left="267" w:hanging="267"/>
        <w:spacing w:after="0"/>
        <w:tabs>
          <w:tab w:leader="none" w:pos="267"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Start Date: </w:t>
      </w:r>
      <w:r>
        <w:rPr>
          <w:rFonts w:ascii="Arial" w:cs="Arial" w:eastAsia="Arial" w:hAnsi="Arial"/>
          <w:sz w:val="16"/>
          <w:szCs w:val="16"/>
          <w:color w:val="auto"/>
        </w:rPr>
        <w:t>Your employment will commence in October 2021. Specific date to be mutually determined.</w:t>
      </w:r>
    </w:p>
    <w:p>
      <w:pPr>
        <w:spacing w:after="0" w:line="200" w:lineRule="exact"/>
        <w:rPr>
          <w:rFonts w:ascii="Arial" w:cs="Arial" w:eastAsia="Arial" w:hAnsi="Arial"/>
          <w:sz w:val="16"/>
          <w:szCs w:val="16"/>
          <w:color w:val="auto"/>
        </w:rPr>
      </w:pPr>
    </w:p>
    <w:p>
      <w:pPr>
        <w:ind w:left="267" w:hanging="267"/>
        <w:spacing w:after="0"/>
        <w:tabs>
          <w:tab w:leader="none" w:pos="267"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Reporting</w:t>
      </w:r>
      <w:r>
        <w:rPr>
          <w:rFonts w:ascii="Arial" w:cs="Arial" w:eastAsia="Arial" w:hAnsi="Arial"/>
          <w:sz w:val="16"/>
          <w:szCs w:val="16"/>
          <w:color w:val="auto"/>
        </w:rPr>
        <w:t>: You will report to Michael Petras, Chief Executive Officer, Sotera Health Company.</w:t>
      </w:r>
    </w:p>
    <w:p>
      <w:pPr>
        <w:spacing w:after="0" w:line="200" w:lineRule="exact"/>
        <w:rPr>
          <w:rFonts w:ascii="Arial" w:cs="Arial" w:eastAsia="Arial" w:hAnsi="Arial"/>
          <w:sz w:val="16"/>
          <w:szCs w:val="16"/>
          <w:color w:val="auto"/>
        </w:rPr>
      </w:pPr>
    </w:p>
    <w:p>
      <w:pPr>
        <w:ind w:left="287" w:right="20" w:hanging="287"/>
        <w:spacing w:after="0" w:line="252" w:lineRule="auto"/>
        <w:tabs>
          <w:tab w:leader="none" w:pos="283"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Status &amp; Salary</w:t>
      </w:r>
      <w:r>
        <w:rPr>
          <w:rFonts w:ascii="Arial" w:cs="Arial" w:eastAsia="Arial" w:hAnsi="Arial"/>
          <w:sz w:val="16"/>
          <w:szCs w:val="16"/>
          <w:color w:val="auto"/>
        </w:rPr>
        <w:t>: You will be employed as a full-time, exempt, salaried employee. Your starting salary will be $425,000 annually, payable on a bi-weekly basis.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review and/or revise your salary from time to time, in its sole discretion.</w:t>
      </w:r>
    </w:p>
    <w:p>
      <w:pPr>
        <w:spacing w:after="0" w:line="173" w:lineRule="exact"/>
        <w:rPr>
          <w:rFonts w:ascii="Arial" w:cs="Arial" w:eastAsia="Arial" w:hAnsi="Arial"/>
          <w:sz w:val="16"/>
          <w:szCs w:val="16"/>
          <w:color w:val="auto"/>
        </w:rPr>
      </w:pPr>
    </w:p>
    <w:p>
      <w:pPr>
        <w:ind w:left="287" w:hanging="287"/>
        <w:spacing w:after="0" w:line="252" w:lineRule="auto"/>
        <w:tabs>
          <w:tab w:leader="none" w:pos="283"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Annual Incentive Plan: </w:t>
      </w:r>
      <w:r>
        <w:rPr>
          <w:rFonts w:ascii="Arial" w:cs="Arial" w:eastAsia="Arial" w:hAnsi="Arial"/>
          <w:sz w:val="16"/>
          <w:szCs w:val="16"/>
          <w:color w:val="auto"/>
        </w:rPr>
        <w:t>You will be eligible to participate in the Annual Incentive Plan, on the terms and conditions set forth therein, at a target of 50% of your base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salary. For 2021, your participation in the AIP will be prorated based on your hire date.</w:t>
      </w:r>
    </w:p>
    <w:p>
      <w:pPr>
        <w:spacing w:after="0" w:line="173" w:lineRule="exact"/>
        <w:rPr>
          <w:rFonts w:ascii="Arial" w:cs="Arial" w:eastAsia="Arial" w:hAnsi="Arial"/>
          <w:sz w:val="16"/>
          <w:szCs w:val="16"/>
          <w:color w:val="auto"/>
        </w:rPr>
      </w:pPr>
    </w:p>
    <w:p>
      <w:pPr>
        <w:jc w:val="both"/>
        <w:ind w:left="287" w:hanging="287"/>
        <w:spacing w:after="0" w:line="276" w:lineRule="auto"/>
        <w:tabs>
          <w:tab w:leader="none" w:pos="283"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Long-Term Incentive Plan</w:t>
      </w:r>
      <w:r>
        <w:rPr>
          <w:rFonts w:ascii="Arial" w:cs="Arial" w:eastAsia="Arial" w:hAnsi="Arial"/>
          <w:sz w:val="14"/>
          <w:szCs w:val="14"/>
          <w:color w:val="auto"/>
        </w:rPr>
        <w:t>: In 2021, you will be eligible for an equity award with a grant date fair value of $500,000 subject to the approval of the Compensation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Company’s Board of Directors. In 2022, you will be eligible for your annual grant with a grant date fair value of $750,000 subject to the approval of the Compensation Committee. Please note that this is the value of your initial grants and the value of future grants, if any, may vary. Your equity award will be subject to, and contingent upon your acceptance of, the terms and conditions of the Sotera Health Company 2020 Omnibus Incentive Plan, as well as any applicable grant notices and agreements associated with your award. Additional information will be provided upon acceptance of this offer.</w:t>
      </w:r>
    </w:p>
    <w:p>
      <w:pPr>
        <w:spacing w:after="0" w:line="158" w:lineRule="exact"/>
        <w:rPr>
          <w:rFonts w:ascii="Arial" w:cs="Arial" w:eastAsia="Arial" w:hAnsi="Arial"/>
          <w:sz w:val="14"/>
          <w:szCs w:val="14"/>
          <w:color w:val="auto"/>
        </w:rPr>
      </w:pPr>
    </w:p>
    <w:p>
      <w:pPr>
        <w:ind w:left="267" w:hanging="267"/>
        <w:spacing w:after="0"/>
        <w:tabs>
          <w:tab w:leader="none" w:pos="267"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Sign-on Bonus</w:t>
      </w:r>
      <w:r>
        <w:rPr>
          <w:rFonts w:ascii="Arial" w:cs="Arial" w:eastAsia="Arial" w:hAnsi="Arial"/>
          <w:sz w:val="14"/>
          <w:szCs w:val="14"/>
          <w:color w:val="auto"/>
        </w:rPr>
        <w:t>: Upon commencement of employment, we will provide you with a sign-on cash bonus of $500,000 payable within the first payroll cycle of February 2022.</w:t>
      </w:r>
    </w:p>
    <w:p>
      <w:pPr>
        <w:spacing w:after="0" w:line="223" w:lineRule="exact"/>
        <w:rPr>
          <w:rFonts w:ascii="Arial" w:cs="Arial" w:eastAsia="Arial" w:hAnsi="Arial"/>
          <w:sz w:val="14"/>
          <w:szCs w:val="14"/>
          <w:color w:val="auto"/>
        </w:rPr>
      </w:pPr>
    </w:p>
    <w:p>
      <w:pPr>
        <w:jc w:val="both"/>
        <w:ind w:left="287" w:right="20" w:hanging="287"/>
        <w:spacing w:after="0"/>
        <w:tabs>
          <w:tab w:leader="none" w:pos="283"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Benefits Program</w:t>
      </w:r>
      <w:r>
        <w:rPr>
          <w:rFonts w:ascii="Arial" w:cs="Arial" w:eastAsia="Arial" w:hAnsi="Arial"/>
          <w:sz w:val="16"/>
          <w:szCs w:val="16"/>
          <w:color w:val="auto"/>
        </w:rPr>
        <w:t>: You are eligible to participate in the Company’s benefits program, including but not limited to medical, dental, vision and 401(k) plan with company match.</w:t>
      </w:r>
      <w:r>
        <w:rPr>
          <w:rFonts w:ascii="Arial" w:cs="Arial" w:eastAsia="Arial" w:hAnsi="Arial"/>
          <w:sz w:val="16"/>
          <w:szCs w:val="16"/>
          <w:b w:val="1"/>
          <w:bCs w:val="1"/>
          <w:color w:val="auto"/>
        </w:rPr>
        <w:t xml:space="preserve"> </w:t>
      </w:r>
      <w:r>
        <w:rPr>
          <w:rFonts w:ascii="Arial" w:cs="Arial" w:eastAsia="Arial" w:hAnsi="Arial"/>
          <w:sz w:val="16"/>
          <w:szCs w:val="16"/>
          <w:color w:val="auto"/>
        </w:rPr>
        <w:t>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spacing w:after="0" w:line="147" w:lineRule="exact"/>
        <w:rPr>
          <w:rFonts w:ascii="Arial" w:cs="Arial" w:eastAsia="Arial" w:hAnsi="Arial"/>
          <w:sz w:val="16"/>
          <w:szCs w:val="16"/>
          <w:color w:val="auto"/>
        </w:rPr>
      </w:pPr>
    </w:p>
    <w:p>
      <w:pPr>
        <w:ind w:left="287" w:right="20" w:hanging="287"/>
        <w:spacing w:after="0" w:line="252" w:lineRule="auto"/>
        <w:tabs>
          <w:tab w:leader="none" w:pos="283"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Vacation</w:t>
      </w:r>
      <w:r>
        <w:rPr>
          <w:rFonts w:ascii="Arial" w:cs="Arial" w:eastAsia="Arial" w:hAnsi="Arial"/>
          <w:sz w:val="16"/>
          <w:szCs w:val="16"/>
          <w:color w:val="auto"/>
        </w:rPr>
        <w:t>: You are entitled to four (4) weeks of vacation annually, subject to the terms and conditions of the Company’s vacation policy as may be in effect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Your vacation time will be prorated during your first year of employment, according to your hire date.</w:t>
      </w:r>
    </w:p>
    <w:p>
      <w:pPr>
        <w:spacing w:after="0" w:line="173" w:lineRule="exact"/>
        <w:rPr>
          <w:rFonts w:ascii="Arial" w:cs="Arial" w:eastAsia="Arial" w:hAnsi="Arial"/>
          <w:sz w:val="16"/>
          <w:szCs w:val="16"/>
          <w:color w:val="auto"/>
        </w:rPr>
      </w:pPr>
    </w:p>
    <w:p>
      <w:pPr>
        <w:jc w:val="both"/>
        <w:ind w:left="287" w:hanging="287"/>
        <w:spacing w:after="0" w:line="268" w:lineRule="auto"/>
        <w:tabs>
          <w:tab w:leader="none" w:pos="283"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 xml:space="preserve">Termination of Employment: </w:t>
      </w:r>
      <w:r>
        <w:rPr>
          <w:rFonts w:ascii="Arial" w:cs="Arial" w:eastAsia="Arial" w:hAnsi="Arial"/>
          <w:sz w:val="14"/>
          <w:szCs w:val="14"/>
          <w:color w:val="auto"/>
        </w:rPr>
        <w:t>In the event your employment is terminated by the Company without Cause you will be eligible for one (1) year separation pay equal to one (1)</w:t>
      </w:r>
      <w:r>
        <w:rPr>
          <w:rFonts w:ascii="Arial" w:cs="Arial" w:eastAsia="Arial" w:hAnsi="Arial"/>
          <w:sz w:val="14"/>
          <w:szCs w:val="14"/>
          <w:b w:val="1"/>
          <w:bCs w:val="1"/>
          <w:color w:val="auto"/>
        </w:rPr>
        <w:t xml:space="preserve"> </w:t>
      </w:r>
      <w:r>
        <w:rPr>
          <w:rFonts w:ascii="Arial" w:cs="Arial" w:eastAsia="Arial" w:hAnsi="Arial"/>
          <w:sz w:val="14"/>
          <w:szCs w:val="14"/>
          <w:color w:val="auto"/>
        </w:rPr>
        <w:t>year of continued base salary (the “Separation Payments”). Payment of the Separation Payments shall be made in accordance with the Company’s normal payroll practices and shall commence on the sixtieth (60th) day following the date of your termination of employment (the “Release Date”) subject to your execution and delivery to the Company of a general release in a form acceptable to the Company (and such release being in full force and effect and having not been timely revoked in accordance with its terms) (the “Release Requirement”) and (B) you shall be entitled to receive such Separation Payments only so long as you have not breached any of the provisions of such general release or any restrictive covenants to which you are subject. If the Release Requirement is satisfied, then the portion of the Separation Payments which would otherwise have been paid during the period between the date of termination of employment and the Release Date shall instead be paid as soon as reasonably practicable following the Release Date. If the Release Requirement is not satisfied as of the Release Date, you shall not be entitled to any Separation Payments and the Company shall have no further obligations in connection with the Separation</w:t>
      </w:r>
    </w:p>
    <w:p>
      <w:pPr>
        <w:sectPr>
          <w:pgSz w:w="11900" w:h="16838" w:orient="portrait"/>
          <w:cols w:equalWidth="0" w:num="1">
            <w:col w:w="11267"/>
          </w:cols>
          <w:pgMar w:left="313" w:top="111" w:right="319" w:bottom="1440" w:gutter="0" w:footer="0" w:header="0"/>
        </w:sectPr>
      </w:pPr>
    </w:p>
    <w:bookmarkStart w:id="130" w:name="page131"/>
    <w:bookmarkEnd w:id="130"/>
    <w:p>
      <w:pPr>
        <w:jc w:val="both"/>
        <w:ind w:left="287"/>
        <w:spacing w:after="0" w:line="269" w:lineRule="auto"/>
        <w:rPr>
          <w:sz w:val="20"/>
          <w:szCs w:val="20"/>
          <w:color w:val="auto"/>
        </w:rPr>
      </w:pPr>
      <w:r>
        <w:rPr>
          <w:rFonts w:ascii="Arial" w:cs="Arial" w:eastAsia="Arial" w:hAnsi="Arial"/>
          <w:sz w:val="14"/>
          <w:szCs w:val="14"/>
          <w:color w:val="auto"/>
        </w:rPr>
        <w:t>Payments. For purposes hereof, “Cause” means (i) your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you reside, (iii) your engagement in any fraud, willful misconduct or gross neglect in the performance of your duties hereunder, or in any other willful misconduct which has caused material injury to the Company or any of its affiliates or any of their respective customers or suppliers, (iv) your willfully engaging in any act or omission involving dishonesty, breach of trust, unethical business conduct or moral turpitude, in each case involving the Company or any of its affiliates, or any of their respective customers or suppliers, (v) your failure to perform lawful assigned duties or (vi) any breach by you of any restrictive covenant to which you are subject.</w:t>
      </w:r>
    </w:p>
    <w:p>
      <w:pPr>
        <w:spacing w:after="0" w:line="165" w:lineRule="exact"/>
        <w:rPr>
          <w:sz w:val="20"/>
          <w:szCs w:val="20"/>
          <w:color w:val="auto"/>
        </w:rPr>
      </w:pPr>
    </w:p>
    <w:p>
      <w:pPr>
        <w:jc w:val="both"/>
        <w:ind w:left="287" w:right="20" w:hanging="287"/>
        <w:spacing w:after="0"/>
        <w:tabs>
          <w:tab w:leader="none" w:pos="283"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Pay-Back Provision: </w:t>
      </w:r>
      <w:r>
        <w:rPr>
          <w:rFonts w:ascii="Arial" w:cs="Arial" w:eastAsia="Arial" w:hAnsi="Arial"/>
          <w:sz w:val="16"/>
          <w:szCs w:val="16"/>
          <w:color w:val="auto"/>
        </w:rPr>
        <w:t>In the event you terminate your employment for any reason or the Company terminates your employment for Cause within 24 months after your start</w:t>
      </w:r>
      <w:r>
        <w:rPr>
          <w:rFonts w:ascii="Arial" w:cs="Arial" w:eastAsia="Arial" w:hAnsi="Arial"/>
          <w:sz w:val="16"/>
          <w:szCs w:val="16"/>
          <w:b w:val="1"/>
          <w:bCs w:val="1"/>
          <w:color w:val="auto"/>
        </w:rPr>
        <w:t xml:space="preserve"> </w:t>
      </w:r>
      <w:r>
        <w:rPr>
          <w:rFonts w:ascii="Arial" w:cs="Arial" w:eastAsia="Arial" w:hAnsi="Arial"/>
          <w:sz w:val="16"/>
          <w:szCs w:val="16"/>
          <w:color w:val="auto"/>
        </w:rPr>
        <w:t>date, by your signature below, you acknowledge and agree to pay back to Sotera Health, a pro-rata portion of your sign-on bonus (on a pre-tax basis) within 5 business days of your termination of employment.</w:t>
      </w:r>
    </w:p>
    <w:p>
      <w:pPr>
        <w:spacing w:after="0" w:line="188" w:lineRule="exact"/>
        <w:rPr>
          <w:sz w:val="20"/>
          <w:szCs w:val="20"/>
          <w:color w:val="auto"/>
        </w:rPr>
      </w:pPr>
    </w:p>
    <w:p>
      <w:pPr>
        <w:jc w:val="both"/>
        <w:ind w:left="7"/>
        <w:spacing w:after="0" w:line="271" w:lineRule="auto"/>
        <w:rPr>
          <w:sz w:val="20"/>
          <w:szCs w:val="20"/>
          <w:color w:val="auto"/>
        </w:rPr>
      </w:pPr>
      <w:r>
        <w:rPr>
          <w:rFonts w:ascii="Arial" w:cs="Arial" w:eastAsia="Arial" w:hAnsi="Arial"/>
          <w:sz w:val="14"/>
          <w:szCs w:val="14"/>
          <w:color w:val="auto"/>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spacing w:after="0" w:line="168" w:lineRule="exact"/>
        <w:rPr>
          <w:sz w:val="20"/>
          <w:szCs w:val="20"/>
          <w:color w:val="auto"/>
        </w:rPr>
      </w:pPr>
    </w:p>
    <w:p>
      <w:pPr>
        <w:ind w:left="7" w:right="40"/>
        <w:spacing w:after="0" w:line="265" w:lineRule="auto"/>
        <w:rPr>
          <w:sz w:val="20"/>
          <w:szCs w:val="20"/>
          <w:color w:val="auto"/>
        </w:rPr>
      </w:pPr>
      <w:r>
        <w:rPr>
          <w:rFonts w:ascii="Arial" w:cs="Arial" w:eastAsia="Arial" w:hAnsi="Arial"/>
          <w:sz w:val="14"/>
          <w:szCs w:val="14"/>
          <w:color w:val="auto"/>
        </w:rPr>
        <w:t>The intent of the parties is that payments and benefits under this letter comply with Section 409A of the Internal Revenue Code of 1986, as amended (the “Code”) and the regulations and guidance promulgated thereunder (collectively “Code Section 409A”) and, accordingly, to the maximum extent permitted, this letter shall be interpreted to be in compliance therewith. In no event whatsoever shall the Company be liable for any additional tax, interest or penalty that may be imposed on you by Code Section 409A or damages for failing to comply with Code Section 409A. Notwithstanding anything herein to the contrary, (A) the Separation Payments shall be paid only in connection with a termination of your employment that constitutes a “separation from service” within the meaning of Code Section 409A and each reference to “termination of employment” or such similar term shall be interpreted to mean a “separation from service” and (B) if you are a “specified employee” as such term is defined under Code Section 409A, payment of the Separation Payments shall be delayed for a period of six (6) months following your termination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to you a lump-sum amount equal to the cumulative amount that would have otherwise been payable to you during such period. For purposes of Code Section 409A, your right to receive any installment payments pursuant to this letter shall be treated as a right to receive a series of separate and distinct payments.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This offer is contingent upon favorable references and successful completion of background and drug screens.</w:t>
      </w:r>
    </w:p>
    <w:p>
      <w:pPr>
        <w:spacing w:after="0" w:line="201" w:lineRule="exact"/>
        <w:rPr>
          <w:sz w:val="20"/>
          <w:szCs w:val="20"/>
          <w:color w:val="auto"/>
        </w:rPr>
      </w:pPr>
    </w:p>
    <w:p>
      <w:pPr>
        <w:jc w:val="both"/>
        <w:ind w:left="7"/>
        <w:spacing w:after="0" w:line="287" w:lineRule="auto"/>
        <w:rPr>
          <w:sz w:val="20"/>
          <w:szCs w:val="20"/>
          <w:color w:val="auto"/>
        </w:rPr>
      </w:pPr>
      <w:r>
        <w:rPr>
          <w:rFonts w:ascii="Arial" w:cs="Arial" w:eastAsia="Arial" w:hAnsi="Arial"/>
          <w:sz w:val="14"/>
          <w:szCs w:val="14"/>
          <w:color w:val="auto"/>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one year post employment) and confidentiality.</w:t>
      </w:r>
    </w:p>
    <w:p>
      <w:pPr>
        <w:spacing w:after="0" w:line="122" w:lineRule="exact"/>
        <w:rPr>
          <w:sz w:val="20"/>
          <w:szCs w:val="20"/>
          <w:color w:val="auto"/>
        </w:rPr>
      </w:pPr>
    </w:p>
    <w:p>
      <w:pPr>
        <w:ind w:left="7" w:right="120"/>
        <w:spacing w:after="0" w:line="244" w:lineRule="auto"/>
        <w:rPr>
          <w:sz w:val="20"/>
          <w:szCs w:val="20"/>
          <w:color w:val="auto"/>
        </w:rPr>
      </w:pPr>
      <w:r>
        <w:rPr>
          <w:rFonts w:ascii="Arial" w:cs="Arial" w:eastAsia="Arial" w:hAnsi="Arial"/>
          <w:sz w:val="16"/>
          <w:szCs w:val="16"/>
          <w:color w:val="auto"/>
        </w:rPr>
        <w:t>Terry, we look forward to you joining the Company and becoming part of our team. We are sure you will find your career with us both challenging and rewarding. To confirm your acceptance of this offer of employment on the terms and conditions set out above, please sign below and return to me.</w:t>
      </w:r>
    </w:p>
    <w:p>
      <w:pPr>
        <w:sectPr>
          <w:pgSz w:w="11900" w:h="16838" w:orient="portrait"/>
          <w:cols w:equalWidth="0" w:num="1">
            <w:col w:w="11267"/>
          </w:cols>
          <w:pgMar w:left="313" w:top="1248" w:right="319" w:bottom="1440" w:gutter="0" w:footer="0" w:header="0"/>
        </w:sectPr>
      </w:pPr>
    </w:p>
    <w:bookmarkStart w:id="131" w:name="page132"/>
    <w:bookmarkEnd w:id="131"/>
    <w:p>
      <w:pPr>
        <w:ind w:left="5500"/>
        <w:spacing w:after="0"/>
        <w:rPr>
          <w:sz w:val="20"/>
          <w:szCs w:val="20"/>
          <w:color w:val="auto"/>
        </w:rPr>
      </w:pPr>
      <w:r>
        <w:rPr>
          <w:rFonts w:ascii="Arial" w:cs="Arial" w:eastAsia="Arial" w:hAnsi="Arial"/>
          <w:sz w:val="16"/>
          <w:szCs w:val="16"/>
          <w:b w:val="1"/>
          <w:bCs w:val="1"/>
          <w:color w:val="auto"/>
        </w:rPr>
        <w:t>SOTERA HEALTH</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auto"/>
        </w:rPr>
        <w:t>COMPANY</w:t>
      </w: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15875</wp:posOffset>
            </wp:positionV>
            <wp:extent cx="343471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3434715" cy="7620"/>
                    </a:xfrm>
                    <a:prstGeom prst="rect">
                      <a:avLst/>
                    </a:prstGeom>
                    <a:noFill/>
                  </pic:spPr>
                </pic:pic>
              </a:graphicData>
            </a:graphic>
          </wp:anchor>
        </w:drawing>
      </w:r>
    </w:p>
    <w:p>
      <w:pPr>
        <w:spacing w:after="0" w:line="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Name: Michael B. Petras, Jr.</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color w:val="231F20"/>
        </w:rPr>
        <w:t>Chief Executive Officer</w:t>
      </w:r>
    </w:p>
    <w:p>
      <w:pPr>
        <w:spacing w:after="0" w:line="317"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By my signature below, I confirm that I have read, understand and agree with the terms of this offer.</w:t>
      </w: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EXECUTIVE</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 /s/ Terry</w:t>
      </w:r>
    </w:p>
    <w:p>
      <w:pPr>
        <w:ind w:left="2220"/>
        <w:spacing w:after="0"/>
        <w:tabs>
          <w:tab w:leader="none" w:pos="6560" w:val="left"/>
        </w:tabs>
        <w:rPr>
          <w:sz w:val="20"/>
          <w:szCs w:val="20"/>
          <w:color w:val="auto"/>
        </w:rPr>
      </w:pPr>
      <w:r>
        <w:rPr>
          <w:rFonts w:ascii="Arial" w:cs="Arial" w:eastAsia="Arial" w:hAnsi="Arial"/>
          <w:sz w:val="16"/>
          <w:szCs w:val="16"/>
          <w:color w:val="auto"/>
        </w:rPr>
        <w:t>G. Hammons, Jr.</w:t>
      </w:r>
      <w:r>
        <w:rPr>
          <w:sz w:val="20"/>
          <w:szCs w:val="20"/>
          <w:color w:val="auto"/>
        </w:rPr>
        <w:tab/>
      </w:r>
      <w:r>
        <w:rPr>
          <w:rFonts w:ascii="Arial" w:cs="Arial" w:eastAsia="Arial" w:hAnsi="Arial"/>
          <w:sz w:val="13"/>
          <w:szCs w:val="13"/>
          <w:color w:val="auto"/>
        </w:rPr>
        <w:t>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8255</wp:posOffset>
            </wp:positionV>
            <wp:extent cx="51174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5117465" cy="7620"/>
                    </a:xfrm>
                    <a:prstGeom prst="rect">
                      <a:avLst/>
                    </a:prstGeom>
                    <a:noFill/>
                  </pic:spPr>
                </pic:pic>
              </a:graphicData>
            </a:graphic>
          </wp:anchor>
        </w:drawing>
      </w:r>
    </w:p>
    <w:p>
      <w:pPr>
        <w:jc w:val="right"/>
        <w:spacing w:after="0"/>
        <w:tabs>
          <w:tab w:leader="none" w:pos="280" w:val="left"/>
        </w:tabs>
        <w:rPr>
          <w:sz w:val="20"/>
          <w:szCs w:val="20"/>
          <w:color w:val="auto"/>
        </w:rPr>
      </w:pPr>
      <w:r>
        <w:rPr>
          <w:rFonts w:ascii="Arial" w:cs="Arial" w:eastAsia="Arial" w:hAnsi="Arial"/>
          <w:sz w:val="16"/>
          <w:szCs w:val="16"/>
          <w:color w:val="auto"/>
        </w:rPr>
        <w:t>Name: Terry</w:t>
      </w:r>
      <w:r>
        <w:rPr>
          <w:sz w:val="20"/>
          <w:szCs w:val="20"/>
          <w:color w:val="auto"/>
        </w:rPr>
        <w:tab/>
      </w:r>
      <w:r>
        <w:rPr>
          <w:rFonts w:ascii="Arial" w:cs="Arial" w:eastAsia="Arial" w:hAnsi="Arial"/>
          <w:sz w:val="14"/>
          <w:szCs w:val="14"/>
          <w:color w:val="auto"/>
        </w:rPr>
        <w:t>Date</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G. Hammons, Jr.</w:t>
      </w:r>
    </w:p>
    <w:p>
      <w:pPr>
        <w:sectPr>
          <w:pgSz w:w="11900" w:h="16838" w:orient="portrait"/>
          <w:cols w:equalWidth="0" w:num="1">
            <w:col w:w="10200"/>
          </w:cols>
          <w:pgMar w:left="1440" w:top="1289" w:right="2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SOTERA HEALTH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RESTRICTIVE COVENANTS AGREEMENT</w:t>
      </w:r>
    </w:p>
    <w:p>
      <w:pPr>
        <w:spacing w:after="0" w:line="181" w:lineRule="exact"/>
        <w:rPr>
          <w:sz w:val="20"/>
          <w:szCs w:val="20"/>
          <w:color w:val="auto"/>
        </w:rPr>
      </w:pPr>
    </w:p>
    <w:p>
      <w:pPr>
        <w:ind w:right="20" w:firstLine="1189"/>
        <w:spacing w:after="0" w:line="315" w:lineRule="auto"/>
        <w:rPr>
          <w:sz w:val="20"/>
          <w:szCs w:val="20"/>
          <w:color w:val="auto"/>
        </w:rPr>
      </w:pPr>
      <w:r>
        <w:rPr>
          <w:rFonts w:ascii="Arial" w:cs="Arial" w:eastAsia="Arial" w:hAnsi="Arial"/>
          <w:sz w:val="17"/>
          <w:szCs w:val="17"/>
          <w:color w:val="auto"/>
        </w:rPr>
        <w:t>This Restrictive Covenant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effective as of November 1, 2021, by and between Sotera Health Company,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Terry Hammons (the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178" w:lineRule="exact"/>
        <w:rPr>
          <w:sz w:val="20"/>
          <w:szCs w:val="20"/>
          <w:color w:val="auto"/>
        </w:rPr>
      </w:pPr>
    </w:p>
    <w:p>
      <w:pPr>
        <w:ind w:right="20" w:firstLine="1189"/>
        <w:spacing w:after="0" w:line="25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that certain Offer Letter by and between the Company and the Executive, dated August 18, 2021 (the “</w:t>
      </w:r>
      <w:r>
        <w:rPr>
          <w:rFonts w:ascii="Arial" w:cs="Arial" w:eastAsia="Arial" w:hAnsi="Arial"/>
          <w:sz w:val="19"/>
          <w:szCs w:val="19"/>
          <w:b w:val="1"/>
          <w:bCs w:val="1"/>
          <w:u w:val="single" w:color="auto"/>
          <w:color w:val="auto"/>
        </w:rPr>
        <w:t>Offer</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Letter</w:t>
      </w:r>
      <w:r>
        <w:rPr>
          <w:rFonts w:ascii="Arial" w:cs="Arial" w:eastAsia="Arial" w:hAnsi="Arial"/>
          <w:sz w:val="19"/>
          <w:szCs w:val="19"/>
          <w:color w:val="auto"/>
        </w:rPr>
        <w:t>”), the Executive will be employed by the Company on the terms set forth therein;</w:t>
      </w:r>
    </w:p>
    <w:p>
      <w:pPr>
        <w:spacing w:after="0" w:line="140"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agree that this Agreement is necessary to protect the Company’s legitimate business interests;</w:t>
      </w:r>
    </w:p>
    <w:p>
      <w:pPr>
        <w:spacing w:after="0" w:line="178" w:lineRule="exact"/>
        <w:rPr>
          <w:sz w:val="20"/>
          <w:szCs w:val="20"/>
          <w:color w:val="auto"/>
        </w:rPr>
      </w:pPr>
    </w:p>
    <w:p>
      <w:pPr>
        <w:ind w:right="20" w:firstLine="1189"/>
        <w:spacing w:after="0" w:line="256"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exchange for the promises and mutual covenants contained in this Agreement, the Parties, intending legally</w:t>
      </w:r>
      <w:r>
        <w:rPr>
          <w:rFonts w:ascii="Arial" w:cs="Arial" w:eastAsia="Arial" w:hAnsi="Arial"/>
          <w:sz w:val="19"/>
          <w:szCs w:val="19"/>
          <w:b w:val="1"/>
          <w:bCs w:val="1"/>
          <w:color w:val="auto"/>
        </w:rPr>
        <w:t xml:space="preserve"> </w:t>
      </w:r>
      <w:r>
        <w:rPr>
          <w:rFonts w:ascii="Arial" w:cs="Arial" w:eastAsia="Arial" w:hAnsi="Arial"/>
          <w:sz w:val="19"/>
          <w:szCs w:val="19"/>
          <w:color w:val="auto"/>
        </w:rPr>
        <w:t>to be bound, agree as follows:</w:t>
      </w:r>
    </w:p>
    <w:p>
      <w:pPr>
        <w:spacing w:after="0" w:line="144" w:lineRule="exact"/>
        <w:rPr>
          <w:sz w:val="20"/>
          <w:szCs w:val="20"/>
          <w:color w:val="auto"/>
        </w:rPr>
      </w:pPr>
    </w:p>
    <w:p>
      <w:pPr>
        <w:jc w:val="both"/>
        <w:ind w:firstLine="553"/>
        <w:spacing w:after="0" w:line="255" w:lineRule="auto"/>
        <w:tabs>
          <w:tab w:leader="none" w:pos="111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exchange for the Executive entering into this Agreement, the Company has agreed to offer the Executive employment on the terms set forth in the Offer Letter and to provide Executive with access to confidential information. Executive agrees that (a) Executive would not be eligible for the offer of employment and access to confidential information but for Executive signing this Agreement, and (b) this Agreement is supported by good and valuable consideration, to which Executive is not otherwise entitled.</w:t>
      </w:r>
    </w:p>
    <w:p>
      <w:pPr>
        <w:spacing w:after="0" w:line="146" w:lineRule="exact"/>
        <w:rPr>
          <w:rFonts w:ascii="Arial" w:cs="Arial" w:eastAsia="Arial" w:hAnsi="Arial"/>
          <w:sz w:val="18"/>
          <w:szCs w:val="18"/>
          <w:color w:val="auto"/>
        </w:rPr>
      </w:pPr>
    </w:p>
    <w:p>
      <w:pPr>
        <w:jc w:val="both"/>
        <w:ind w:firstLine="553"/>
        <w:spacing w:after="0" w:line="238" w:lineRule="auto"/>
        <w:tabs>
          <w:tab w:leader="none" w:pos="111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Conflicts</w:t>
      </w:r>
      <w:r>
        <w:rPr>
          <w:rFonts w:ascii="Arial" w:cs="Arial" w:eastAsia="Arial" w:hAnsi="Arial"/>
          <w:sz w:val="19"/>
          <w:szCs w:val="19"/>
          <w:color w:val="auto"/>
        </w:rPr>
        <w:t>. During the Executive’s employment with the Company, Executive shall not: (a) engage in any outside business activity without written authorization from the Company; (b) in any way compete with the Company; (c) solicit anyone to compete with or to prepare to compete with the Company; and/or (d) engage in any conduct intended to or reasonably expected to harm the interests of the Company or any Affiliate.</w:t>
      </w:r>
    </w:p>
    <w:p>
      <w:pPr>
        <w:spacing w:after="0" w:line="159" w:lineRule="exact"/>
        <w:rPr>
          <w:rFonts w:ascii="Arial" w:cs="Arial" w:eastAsia="Arial" w:hAnsi="Arial"/>
          <w:sz w:val="19"/>
          <w:szCs w:val="19"/>
          <w:color w:val="auto"/>
        </w:rPr>
      </w:pPr>
    </w:p>
    <w:p>
      <w:pPr>
        <w:ind w:left="1120" w:hanging="567"/>
        <w:spacing w:after="0"/>
        <w:tabs>
          <w:tab w:leader="none" w:pos="112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Confidentiality.</w:t>
      </w:r>
    </w:p>
    <w:p>
      <w:pPr>
        <w:spacing w:after="0" w:line="178" w:lineRule="exact"/>
        <w:rPr>
          <w:sz w:val="20"/>
          <w:szCs w:val="20"/>
          <w:color w:val="auto"/>
        </w:rPr>
      </w:pPr>
    </w:p>
    <w:p>
      <w:pPr>
        <w:jc w:val="both"/>
        <w:ind w:left="560" w:hanging="7"/>
        <w:spacing w:after="0" w:line="265" w:lineRule="auto"/>
        <w:tabs>
          <w:tab w:leader="none" w:pos="111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Obligation to Maintain Confidentiality</w:t>
      </w:r>
      <w:r>
        <w:rPr>
          <w:rFonts w:ascii="Arial" w:cs="Arial" w:eastAsia="Arial" w:hAnsi="Arial"/>
          <w:sz w:val="17"/>
          <w:szCs w:val="17"/>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are the property of the Company and its Affiliates, including information concerning acquisition opportunities in or reasonably related to the Company’s business or industry of which Executive becomes aware during Executive’s employment with the Company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Therefore, Executive agrees that he will not disclose to any unauthorized Person or use for his own account, other than as required in the good faith performance of his duties hereunder,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w:t>
      </w:r>
    </w:p>
    <w:p>
      <w:pPr>
        <w:sectPr>
          <w:pgSz w:w="11900" w:h="16838" w:orient="portrait"/>
          <w:cols w:equalWidth="0" w:num="1">
            <w:col w:w="11260"/>
          </w:cols>
          <w:pgMar w:left="320" w:top="1236" w:right="319" w:bottom="1440" w:gutter="0" w:footer="0" w:header="0"/>
        </w:sectPr>
      </w:pPr>
    </w:p>
    <w:bookmarkStart w:id="133" w:name="page134"/>
    <w:bookmarkEnd w:id="133"/>
    <w:p>
      <w:pPr>
        <w:jc w:val="both"/>
        <w:ind w:left="7"/>
        <w:spacing w:after="0" w:line="260" w:lineRule="auto"/>
        <w:rPr>
          <w:sz w:val="20"/>
          <w:szCs w:val="20"/>
          <w:color w:val="auto"/>
        </w:rPr>
      </w:pPr>
      <w:r>
        <w:rPr>
          <w:rFonts w:ascii="Arial" w:cs="Arial" w:eastAsia="Arial" w:hAnsi="Arial"/>
          <w:sz w:val="17"/>
          <w:szCs w:val="17"/>
          <w:color w:val="auto"/>
        </w:rPr>
        <w:t xml:space="preserve">pursuant to a request by a governmental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154" w:lineRule="exact"/>
        <w:rPr>
          <w:sz w:val="20"/>
          <w:szCs w:val="20"/>
          <w:color w:val="auto"/>
        </w:rPr>
      </w:pPr>
    </w:p>
    <w:p>
      <w:pPr>
        <w:jc w:val="both"/>
        <w:ind w:left="7" w:hanging="7"/>
        <w:spacing w:after="0" w:line="262" w:lineRule="auto"/>
        <w:tabs>
          <w:tab w:leader="none" w:pos="56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Ownership of Property</w:t>
      </w:r>
      <w:r>
        <w:rPr>
          <w:rFonts w:ascii="Arial" w:cs="Arial" w:eastAsia="Arial" w:hAnsi="Arial"/>
          <w:sz w:val="17"/>
          <w:szCs w:val="17"/>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Arial" w:cs="Arial" w:eastAsia="Arial" w:hAnsi="Arial"/>
          <w:sz w:val="17"/>
          <w:szCs w:val="17"/>
          <w:b w:val="1"/>
          <w:bCs w:val="1"/>
          <w:u w:val="single" w:color="auto"/>
          <w:color w:val="auto"/>
        </w:rPr>
        <w:t>Work Product</w:t>
      </w:r>
      <w:r>
        <w:rPr>
          <w:rFonts w:ascii="Arial" w:cs="Arial" w:eastAsia="Arial" w:hAnsi="Arial"/>
          <w:sz w:val="17"/>
          <w:szCs w:val="17"/>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w:t>
      </w:r>
    </w:p>
    <w:p>
      <w:pPr>
        <w:sectPr>
          <w:pgSz w:w="11900" w:h="16838" w:orient="portrait"/>
          <w:cols w:equalWidth="0" w:num="1">
            <w:col w:w="10707"/>
          </w:cols>
          <w:pgMar w:left="873" w:top="1240" w:right="319" w:bottom="1440" w:gutter="0" w:footer="0" w:header="0"/>
        </w:sectPr>
      </w:pPr>
    </w:p>
    <w:bookmarkStart w:id="134" w:name="page135"/>
    <w:bookmarkEnd w:id="134"/>
    <w:p>
      <w:pPr>
        <w:jc w:val="both"/>
        <w:ind w:left="7"/>
        <w:spacing w:after="0" w:line="283" w:lineRule="auto"/>
        <w:rPr>
          <w:sz w:val="20"/>
          <w:szCs w:val="20"/>
          <w:color w:val="auto"/>
        </w:rPr>
      </w:pPr>
      <w:r>
        <w:rPr>
          <w:rFonts w:ascii="Arial" w:cs="Arial" w:eastAsia="Arial" w:hAnsi="Arial"/>
          <w:sz w:val="17"/>
          <w:szCs w:val="17"/>
          <w:color w:val="auto"/>
        </w:rPr>
        <w:t>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125" w:lineRule="exact"/>
        <w:rPr>
          <w:sz w:val="20"/>
          <w:szCs w:val="20"/>
          <w:color w:val="auto"/>
        </w:rPr>
      </w:pPr>
    </w:p>
    <w:p>
      <w:pPr>
        <w:jc w:val="both"/>
        <w:ind w:left="7" w:hanging="7"/>
        <w:spacing w:after="0" w:line="234" w:lineRule="auto"/>
        <w:tabs>
          <w:tab w:leader="none" w:pos="56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Third Party Information</w:t>
      </w:r>
      <w:r>
        <w:rPr>
          <w:rFonts w:ascii="Arial" w:cs="Arial" w:eastAsia="Arial" w:hAnsi="Arial"/>
          <w:sz w:val="19"/>
          <w:szCs w:val="19"/>
          <w:color w:val="auto"/>
        </w:rPr>
        <w:t>. Executive understands that the Company and its Affiliates will receive from third parties confidential or proprietary information (“</w:t>
      </w:r>
      <w:r>
        <w:rPr>
          <w:rFonts w:ascii="Arial" w:cs="Arial" w:eastAsia="Arial" w:hAnsi="Arial"/>
          <w:sz w:val="19"/>
          <w:szCs w:val="19"/>
          <w:b w:val="1"/>
          <w:bCs w:val="1"/>
          <w:u w:val="single" w:color="auto"/>
          <w:color w:val="auto"/>
        </w:rPr>
        <w:t>Third Party Information</w:t>
      </w:r>
      <w:r>
        <w:rPr>
          <w:rFonts w:ascii="Arial" w:cs="Arial" w:eastAsia="Arial" w:hAnsi="Arial"/>
          <w:sz w:val="19"/>
          <w:szCs w:val="19"/>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161" w:lineRule="exact"/>
        <w:rPr>
          <w:rFonts w:ascii="Arial" w:cs="Arial" w:eastAsia="Arial" w:hAnsi="Arial"/>
          <w:sz w:val="19"/>
          <w:szCs w:val="19"/>
          <w:color w:val="auto"/>
        </w:rPr>
      </w:pPr>
    </w:p>
    <w:p>
      <w:pPr>
        <w:jc w:val="both"/>
        <w:ind w:left="7" w:hanging="7"/>
        <w:spacing w:after="0" w:line="247" w:lineRule="auto"/>
        <w:tabs>
          <w:tab w:leader="none" w:pos="56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Use of Information of Prior Employers</w:t>
      </w:r>
      <w:r>
        <w:rPr>
          <w:rFonts w:ascii="Arial" w:cs="Arial" w:eastAsia="Arial" w:hAnsi="Arial"/>
          <w:sz w:val="18"/>
          <w:szCs w:val="18"/>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w:t>
      </w:r>
    </w:p>
    <w:p>
      <w:pPr>
        <w:spacing w:after="0" w:line="158" w:lineRule="exact"/>
        <w:rPr>
          <w:sz w:val="20"/>
          <w:szCs w:val="20"/>
          <w:color w:val="auto"/>
        </w:rPr>
      </w:pPr>
    </w:p>
    <w:p>
      <w:pPr>
        <w:jc w:val="both"/>
        <w:ind w:left="-553" w:firstLine="553"/>
        <w:spacing w:after="0" w:line="238" w:lineRule="auto"/>
        <w:tabs>
          <w:tab w:leader="none" w:pos="56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Noncompetition; Nonsolicitation; Non-Disparagement</w:t>
      </w:r>
      <w:r>
        <w:rPr>
          <w:rFonts w:ascii="Arial" w:cs="Arial" w:eastAsia="Arial" w:hAnsi="Arial"/>
          <w:sz w:val="19"/>
          <w:szCs w:val="19"/>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59" w:lineRule="exact"/>
        <w:rPr>
          <w:sz w:val="20"/>
          <w:szCs w:val="20"/>
          <w:color w:val="auto"/>
        </w:rPr>
      </w:pPr>
    </w:p>
    <w:p>
      <w:pPr>
        <w:ind w:left="547" w:hanging="547"/>
        <w:spacing w:after="0"/>
        <w:tabs>
          <w:tab w:leader="none" w:pos="547"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567"/>
        <w:spacing w:after="0" w:line="283" w:lineRule="auto"/>
        <w:rPr>
          <w:rFonts w:ascii="Arial" w:cs="Arial" w:eastAsia="Arial" w:hAnsi="Arial"/>
          <w:sz w:val="19"/>
          <w:szCs w:val="19"/>
          <w:color w:val="auto"/>
        </w:rPr>
      </w:pPr>
      <w:r>
        <w:rPr>
          <w:rFonts w:ascii="Arial" w:cs="Arial" w:eastAsia="Arial" w:hAnsi="Arial"/>
          <w:sz w:val="17"/>
          <w:szCs w:val="17"/>
          <w:color w:val="auto"/>
        </w:rPr>
        <w:t>i. During the Employment Period and the 12-month period thereafter (such period, together with the Employment Period, is referred to herein as the “</w:t>
      </w:r>
      <w:r>
        <w:rPr>
          <w:rFonts w:ascii="Arial" w:cs="Arial" w:eastAsia="Arial" w:hAnsi="Arial"/>
          <w:sz w:val="17"/>
          <w:szCs w:val="17"/>
          <w:b w:val="1"/>
          <w:bCs w:val="1"/>
          <w:u w:val="single" w:color="auto"/>
          <w:color w:val="auto"/>
        </w:rPr>
        <w:t>Restricted Period</w:t>
      </w:r>
      <w:r>
        <w:rPr>
          <w:rFonts w:ascii="Arial" w:cs="Arial" w:eastAsia="Arial" w:hAnsi="Arial"/>
          <w:sz w:val="17"/>
          <w:szCs w:val="17"/>
          <w:color w:val="auto"/>
        </w:rPr>
        <w:t>”), Executive shall not directly or indirectly own, manage, control, participate in, consult with, render services for, or in any manner engage in, (x) any business or enterprise that provides outsourced or contract sterilization</w:t>
      </w:r>
    </w:p>
    <w:p>
      <w:pPr>
        <w:sectPr>
          <w:pgSz w:w="11900" w:h="16838" w:orient="portrait"/>
          <w:cols w:equalWidth="0" w:num="1">
            <w:col w:w="10707"/>
          </w:cols>
          <w:pgMar w:left="873" w:top="1240" w:right="319" w:bottom="1440" w:gutter="0" w:footer="0" w:header="0"/>
        </w:sectPr>
      </w:pPr>
    </w:p>
    <w:bookmarkStart w:id="135" w:name="page136"/>
    <w:bookmarkEnd w:id="135"/>
    <w:p>
      <w:pPr>
        <w:jc w:val="both"/>
        <w:ind w:left="567"/>
        <w:spacing w:after="0" w:line="250" w:lineRule="auto"/>
        <w:rPr>
          <w:sz w:val="20"/>
          <w:szCs w:val="20"/>
          <w:color w:val="auto"/>
        </w:rPr>
      </w:pPr>
      <w:r>
        <w:rPr>
          <w:rFonts w:ascii="Arial" w:cs="Arial" w:eastAsia="Arial" w:hAnsi="Arial"/>
          <w:sz w:val="18"/>
          <w:szCs w:val="18"/>
          <w:color w:val="auto"/>
        </w:rPr>
        <w:t>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For purposes of this Agreement, “</w:t>
      </w:r>
      <w:r>
        <w:rPr>
          <w:rFonts w:ascii="Arial" w:cs="Arial" w:eastAsia="Arial" w:hAnsi="Arial"/>
          <w:sz w:val="18"/>
          <w:szCs w:val="18"/>
          <w:b w:val="1"/>
          <w:bCs w:val="1"/>
          <w:u w:val="single" w:color="auto"/>
          <w:color w:val="auto"/>
        </w:rPr>
        <w:t>Restricted Territory</w:t>
      </w:r>
      <w:r>
        <w:rPr>
          <w:rFonts w:ascii="Arial" w:cs="Arial" w:eastAsia="Arial" w:hAnsi="Arial"/>
          <w:sz w:val="18"/>
          <w:szCs w:val="18"/>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152" w:lineRule="exact"/>
        <w:rPr>
          <w:sz w:val="20"/>
          <w:szCs w:val="20"/>
          <w:color w:val="auto"/>
        </w:rPr>
      </w:pPr>
    </w:p>
    <w:p>
      <w:pPr>
        <w:jc w:val="both"/>
        <w:ind w:left="567" w:hanging="8"/>
        <w:spacing w:after="0" w:line="255" w:lineRule="auto"/>
        <w:tabs>
          <w:tab w:leader="none" w:pos="1126"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146" w:lineRule="exact"/>
        <w:rPr>
          <w:rFonts w:ascii="Arial" w:cs="Arial" w:eastAsia="Arial" w:hAnsi="Arial"/>
          <w:sz w:val="18"/>
          <w:szCs w:val="18"/>
          <w:color w:val="auto"/>
        </w:rPr>
      </w:pPr>
    </w:p>
    <w:p>
      <w:pPr>
        <w:ind w:left="547" w:hanging="547"/>
        <w:spacing w:after="0"/>
        <w:tabs>
          <w:tab w:leader="none" w:pos="547"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567" w:hanging="8"/>
        <w:spacing w:after="0" w:line="236" w:lineRule="auto"/>
        <w:tabs>
          <w:tab w:leader="none" w:pos="11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161" w:lineRule="exact"/>
        <w:rPr>
          <w:rFonts w:ascii="Arial" w:cs="Arial" w:eastAsia="Arial" w:hAnsi="Arial"/>
          <w:sz w:val="19"/>
          <w:szCs w:val="19"/>
          <w:color w:val="auto"/>
        </w:rPr>
      </w:pPr>
    </w:p>
    <w:p>
      <w:pPr>
        <w:jc w:val="both"/>
        <w:ind w:left="567" w:hanging="8"/>
        <w:spacing w:after="0" w:line="238" w:lineRule="auto"/>
        <w:tabs>
          <w:tab w:leader="none" w:pos="1126" w:val="left"/>
        </w:tabs>
        <w:numPr>
          <w:ilvl w:val="1"/>
          <w:numId w:val="65"/>
        </w:numPr>
        <w:rPr>
          <w:rFonts w:ascii="Arial" w:cs="Arial" w:eastAsia="Arial" w:hAnsi="Arial"/>
          <w:sz w:val="19"/>
          <w:szCs w:val="19"/>
          <w:color w:val="auto"/>
        </w:rPr>
      </w:pPr>
      <w:r>
        <w:rPr>
          <w:rFonts w:ascii="Arial" w:cs="Arial" w:eastAsia="Arial" w:hAnsi="Arial"/>
          <w:sz w:val="19"/>
          <w:szCs w:val="19"/>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159" w:lineRule="exact"/>
        <w:rPr>
          <w:rFonts w:ascii="Arial" w:cs="Arial" w:eastAsia="Arial" w:hAnsi="Arial"/>
          <w:sz w:val="19"/>
          <w:szCs w:val="19"/>
          <w:color w:val="auto"/>
        </w:rPr>
      </w:pPr>
    </w:p>
    <w:p>
      <w:pPr>
        <w:jc w:val="both"/>
        <w:ind w:left="7" w:hanging="7"/>
        <w:spacing w:after="0" w:line="234" w:lineRule="auto"/>
        <w:tabs>
          <w:tab w:leader="none" w:pos="56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 will not, any time during the Employment Period and thereafter, directly or indirectly, other than in connection with the good faith performance of his duties hereunder, disparage (A) the Company or any of its Affiliates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(B) the business, property or assets of any member of the Company Group, or (C) any of the former, current or future officers, directors, employees or shareholders of any member of the Company Group; provided, that, nothing in this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shall be construed to limit the ability of Executive to disclose information and documents, or give truthful testimony, pursuant to a subpoena, court order or a government investigative matter or to provide, during the Employment Period, truthful statements necessary to the performance of Executive’s duties as Senior</w:t>
      </w:r>
    </w:p>
    <w:p>
      <w:pPr>
        <w:sectPr>
          <w:pgSz w:w="11900" w:h="16838" w:orient="portrait"/>
          <w:cols w:equalWidth="0" w:num="1">
            <w:col w:w="10707"/>
          </w:cols>
          <w:pgMar w:left="873" w:top="1240" w:right="319" w:bottom="1440" w:gutter="0" w:footer="0" w:header="0"/>
        </w:sectPr>
      </w:pPr>
    </w:p>
    <w:bookmarkStart w:id="136" w:name="page137"/>
    <w:bookmarkEnd w:id="136"/>
    <w:p>
      <w:pPr>
        <w:ind w:left="7"/>
        <w:spacing w:after="0"/>
        <w:rPr>
          <w:sz w:val="20"/>
          <w:szCs w:val="20"/>
          <w:color w:val="auto"/>
        </w:rPr>
      </w:pPr>
      <w:r>
        <w:rPr>
          <w:rFonts w:ascii="Arial" w:cs="Arial" w:eastAsia="Arial" w:hAnsi="Arial"/>
          <w:sz w:val="19"/>
          <w:szCs w:val="19"/>
          <w:color w:val="auto"/>
        </w:rPr>
        <w:t xml:space="preserve">Vice President and General Counsel of the Company, in each case, subject to and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78" w:lineRule="exact"/>
        <w:rPr>
          <w:sz w:val="20"/>
          <w:szCs w:val="20"/>
          <w:color w:val="auto"/>
        </w:rPr>
      </w:pPr>
    </w:p>
    <w:p>
      <w:pPr>
        <w:jc w:val="both"/>
        <w:ind w:left="7" w:hanging="7"/>
        <w:spacing w:after="0" w:line="247" w:lineRule="auto"/>
        <w:tabs>
          <w:tab w:leader="none" w:pos="56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If, at the time of enforcement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4</w:t>
      </w:r>
      <w:r>
        <w:rPr>
          <w:rFonts w:ascii="Arial" w:cs="Arial" w:eastAsia="Arial" w:hAnsi="Arial"/>
          <w:sz w:val="18"/>
          <w:szCs w:val="18"/>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157" w:lineRule="exact"/>
        <w:rPr>
          <w:rFonts w:ascii="Arial" w:cs="Arial" w:eastAsia="Arial" w:hAnsi="Arial"/>
          <w:sz w:val="18"/>
          <w:szCs w:val="18"/>
          <w:color w:val="auto"/>
        </w:rPr>
      </w:pPr>
    </w:p>
    <w:p>
      <w:pPr>
        <w:jc w:val="both"/>
        <w:ind w:left="7" w:hanging="7"/>
        <w:spacing w:after="0" w:line="261" w:lineRule="auto"/>
        <w:tabs>
          <w:tab w:leader="none" w:pos="56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Additional Acknowledgments</w:t>
      </w:r>
      <w:r>
        <w:rPr>
          <w:rFonts w:ascii="Arial" w:cs="Arial" w:eastAsia="Arial" w:hAnsi="Arial"/>
          <w:sz w:val="17"/>
          <w:szCs w:val="17"/>
          <w:color w:val="auto"/>
        </w:rPr>
        <w:t xml:space="preserve">. Executive acknowledges that the provisions of this Agreement are in consideration of Executive’s at-will employment with the Company. In addition, Executive agrees and acknowledges that the restrictions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w:t>
      </w:r>
    </w:p>
    <w:p>
      <w:pPr>
        <w:sectPr>
          <w:pgSz w:w="11900" w:h="16838" w:orient="portrait"/>
          <w:cols w:equalWidth="0" w:num="1">
            <w:col w:w="10707"/>
          </w:cols>
          <w:pgMar w:left="873" w:top="1240" w:right="319" w:bottom="1440" w:gutter="0" w:footer="0" w:header="0"/>
        </w:sectPr>
      </w:pPr>
    </w:p>
    <w:bookmarkStart w:id="137" w:name="page138"/>
    <w:bookmarkEnd w:id="137"/>
    <w:p>
      <w:pPr>
        <w:ind w:left="7"/>
        <w:spacing w:after="0" w:line="252" w:lineRule="auto"/>
        <w:rPr>
          <w:sz w:val="20"/>
          <w:szCs w:val="20"/>
          <w:color w:val="auto"/>
        </w:rPr>
      </w:pPr>
      <w:r>
        <w:rPr>
          <w:rFonts w:ascii="Arial" w:cs="Arial" w:eastAsia="Arial" w:hAnsi="Arial"/>
          <w:sz w:val="19"/>
          <w:szCs w:val="19"/>
          <w:color w:val="auto"/>
        </w:rPr>
        <w:t>acknowledges and agrees that each and every restraint imposed by this Agreement is reasonable with respect to subject matter, time period and geographical area.</w:t>
      </w:r>
    </w:p>
    <w:p>
      <w:pPr>
        <w:spacing w:after="0" w:line="147" w:lineRule="exact"/>
        <w:rPr>
          <w:sz w:val="20"/>
          <w:szCs w:val="20"/>
          <w:color w:val="auto"/>
        </w:rPr>
      </w:pPr>
    </w:p>
    <w:p>
      <w:pPr>
        <w:jc w:val="both"/>
        <w:ind w:left="-553" w:firstLine="553"/>
        <w:spacing w:after="0" w:line="268" w:lineRule="auto"/>
        <w:tabs>
          <w:tab w:leader="none" w:pos="56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All property, documents, data, and Confidential Information prepared, created, accessed or collected by Executive as part of Executive’s employment with the Company, in whatever form, are and shall remain the property of the Company. Executive agrees that Executive shall return upon the Company’s request at any time (and, in any event, before Executive’s employment with the Company ends) all documents, data, Confidential Information, and other property belonging to the Company or any of its Subsidiaries in Executive’s possession or control, regardless of how stored or maintained and including, but not limited to, all originals, copies and compilations and Company-provided credit cards, building or office access cards, keys, computer equipment, cell phones, or home office equipment.</w:t>
      </w:r>
    </w:p>
    <w:p>
      <w:pPr>
        <w:spacing w:after="0" w:line="135" w:lineRule="exact"/>
        <w:rPr>
          <w:rFonts w:ascii="Arial" w:cs="Arial" w:eastAsia="Arial" w:hAnsi="Arial"/>
          <w:sz w:val="17"/>
          <w:szCs w:val="17"/>
          <w:color w:val="auto"/>
        </w:rPr>
      </w:pPr>
    </w:p>
    <w:p>
      <w:pPr>
        <w:jc w:val="both"/>
        <w:ind w:left="-553" w:firstLine="553"/>
        <w:spacing w:after="0" w:line="275" w:lineRule="auto"/>
        <w:tabs>
          <w:tab w:leader="none" w:pos="56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Future Employers</w:t>
      </w:r>
      <w:r>
        <w:rPr>
          <w:rFonts w:ascii="Arial" w:cs="Arial" w:eastAsia="Arial" w:hAnsi="Arial"/>
          <w:sz w:val="17"/>
          <w:szCs w:val="17"/>
          <w:color w:val="auto"/>
        </w:rPr>
        <w:t>. Executive agrees to promptly notify the Company in writing of the name and address of each business with whom Executive is associated (as an employee or as an independent contractor) for a period of twenty four (24) months following the end of Executive’s employment with the Company. Executive further: (a) agrees that the Company may notify any such business about the existence and terms of this Agreement; (b) irrevocably consents to any such notification; and (c) covenants not to sue the Company based on any such notification.</w:t>
      </w:r>
    </w:p>
    <w:p>
      <w:pPr>
        <w:spacing w:after="0" w:line="129" w:lineRule="exact"/>
        <w:rPr>
          <w:rFonts w:ascii="Arial" w:cs="Arial" w:eastAsia="Arial" w:hAnsi="Arial"/>
          <w:sz w:val="17"/>
          <w:szCs w:val="17"/>
          <w:color w:val="auto"/>
        </w:rPr>
      </w:pPr>
    </w:p>
    <w:p>
      <w:pPr>
        <w:ind w:left="567" w:hanging="567"/>
        <w:spacing w:after="0"/>
        <w:tabs>
          <w:tab w:leader="none" w:pos="56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178" w:lineRule="exact"/>
        <w:rPr>
          <w:sz w:val="20"/>
          <w:szCs w:val="20"/>
          <w:color w:val="auto"/>
        </w:rPr>
      </w:pPr>
    </w:p>
    <w:p>
      <w:pPr>
        <w:jc w:val="both"/>
        <w:ind w:left="7" w:firstLine="560"/>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particular Person, any Person controlling, controlled by or under common control with such Person or an Affiliate of such Person or an Affiliate of such Person; provided that any portfolio company of a stockholder, other than the Company and its Subsidiaries, will not be deemed to be an affiliate.</w:t>
      </w:r>
    </w:p>
    <w:p>
      <w:pPr>
        <w:spacing w:after="0" w:line="158"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Sotera Health Company.</w:t>
      </w:r>
    </w:p>
    <w:p>
      <w:pPr>
        <w:spacing w:after="0" w:line="178" w:lineRule="exact"/>
        <w:rPr>
          <w:sz w:val="20"/>
          <w:szCs w:val="20"/>
          <w:color w:val="auto"/>
        </w:rPr>
      </w:pPr>
    </w:p>
    <w:p>
      <w:pPr>
        <w:jc w:val="both"/>
        <w:ind w:left="7" w:firstLine="560"/>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58"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w:t>
      </w:r>
      <w:r>
        <w:rPr>
          <w:rFonts w:ascii="Arial" w:cs="Arial" w:eastAsia="Arial" w:hAnsi="Arial"/>
          <w:sz w:val="19"/>
          <w:szCs w:val="19"/>
          <w:color w:val="auto"/>
        </w:rPr>
        <w:t>” means Executive ceasing to be employed by the Company and its respective Affiliates for any reason.</w:t>
      </w:r>
    </w:p>
    <w:p>
      <w:pPr>
        <w:spacing w:after="0" w:line="178" w:lineRule="exact"/>
        <w:rPr>
          <w:sz w:val="20"/>
          <w:szCs w:val="20"/>
          <w:color w:val="auto"/>
        </w:rPr>
      </w:pPr>
    </w:p>
    <w:p>
      <w:pPr>
        <w:jc w:val="both"/>
        <w:ind w:left="7" w:firstLine="560"/>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w:t>
      </w:r>
    </w:p>
    <w:p>
      <w:pPr>
        <w:sectPr>
          <w:pgSz w:w="11900" w:h="16838" w:orient="portrait"/>
          <w:cols w:equalWidth="0" w:num="1">
            <w:col w:w="10707"/>
          </w:cols>
          <w:pgMar w:left="873" w:top="1240" w:right="319" w:bottom="1440" w:gutter="0" w:footer="0" w:header="0"/>
        </w:sectPr>
      </w:pPr>
    </w:p>
    <w:bookmarkStart w:id="138" w:name="page139"/>
    <w:bookmarkEnd w:id="138"/>
    <w:p>
      <w:pPr>
        <w:jc w:val="both"/>
        <w:ind w:left="7"/>
        <w:spacing w:after="0" w:line="270" w:lineRule="auto"/>
        <w:rPr>
          <w:sz w:val="20"/>
          <w:szCs w:val="20"/>
          <w:color w:val="auto"/>
        </w:rPr>
      </w:pPr>
      <w:r>
        <w:rPr>
          <w:rFonts w:ascii="Arial" w:cs="Arial" w:eastAsia="Arial" w:hAnsi="Arial"/>
          <w:sz w:val="17"/>
          <w:szCs w:val="17"/>
          <w:color w:val="auto"/>
        </w:rPr>
        <w:t>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be given effect only at such times that such Person has one or more Subsidiaries, and, unless otherwise indicated,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refers to a Subsidiary of the Company.</w:t>
      </w:r>
    </w:p>
    <w:p>
      <w:pPr>
        <w:spacing w:after="0" w:line="136" w:lineRule="exact"/>
        <w:rPr>
          <w:sz w:val="20"/>
          <w:szCs w:val="20"/>
          <w:color w:val="auto"/>
        </w:rPr>
      </w:pPr>
    </w:p>
    <w:p>
      <w:pPr>
        <w:ind w:left="567" w:hanging="567"/>
        <w:spacing w:after="0"/>
        <w:tabs>
          <w:tab w:leader="none" w:pos="56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178" w:lineRule="exact"/>
        <w:rPr>
          <w:sz w:val="20"/>
          <w:szCs w:val="20"/>
          <w:color w:val="auto"/>
        </w:rPr>
      </w:pPr>
    </w:p>
    <w:p>
      <w:pPr>
        <w:jc w:val="both"/>
        <w:ind w:left="7" w:hanging="7"/>
        <w:spacing w:after="0" w:line="236" w:lineRule="auto"/>
        <w:tabs>
          <w:tab w:leader="none" w:pos="56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61" w:lineRule="exact"/>
        <w:rPr>
          <w:rFonts w:ascii="Arial" w:cs="Arial" w:eastAsia="Arial" w:hAnsi="Arial"/>
          <w:sz w:val="19"/>
          <w:szCs w:val="19"/>
          <w:color w:val="auto"/>
        </w:rPr>
      </w:pPr>
    </w:p>
    <w:p>
      <w:pPr>
        <w:jc w:val="both"/>
        <w:ind w:left="7" w:hanging="7"/>
        <w:spacing w:after="0" w:line="236" w:lineRule="auto"/>
        <w:tabs>
          <w:tab w:leader="none" w:pos="56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those documents expressly referred to herein (including the Offer Letter) and other documents of even date herewith embody the complete agreement and understanding among the parties and supersede and preempt any prior understandings, agreements or representations by or among the parties with respect to the subject matter hereof, written or oral, which relate to the subject matter hereof in any way, including, but not limited to, any employment, severance, bonus or similar agreements with the Company or any of its Affiliates.</w:t>
      </w:r>
    </w:p>
    <w:p>
      <w:pPr>
        <w:spacing w:after="0" w:line="161" w:lineRule="exact"/>
        <w:rPr>
          <w:rFonts w:ascii="Arial" w:cs="Arial" w:eastAsia="Arial" w:hAnsi="Arial"/>
          <w:sz w:val="19"/>
          <w:szCs w:val="19"/>
          <w:color w:val="auto"/>
        </w:rPr>
      </w:pPr>
    </w:p>
    <w:p>
      <w:pPr>
        <w:ind w:left="7" w:right="20" w:hanging="7"/>
        <w:spacing w:after="0" w:line="252" w:lineRule="auto"/>
        <w:tabs>
          <w:tab w:leader="none" w:pos="56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shall be deemed to be the language chosen by the parties hereto to express their mutual intent, and no rule of strict construction shall be applied against any party.</w:t>
      </w:r>
    </w:p>
    <w:p>
      <w:pPr>
        <w:spacing w:after="0" w:line="147" w:lineRule="exact"/>
        <w:rPr>
          <w:rFonts w:ascii="Arial" w:cs="Arial" w:eastAsia="Arial" w:hAnsi="Arial"/>
          <w:sz w:val="19"/>
          <w:szCs w:val="19"/>
          <w:color w:val="auto"/>
        </w:rPr>
      </w:pPr>
    </w:p>
    <w:p>
      <w:pPr>
        <w:ind w:left="7" w:hanging="7"/>
        <w:spacing w:after="0" w:line="252" w:lineRule="auto"/>
        <w:tabs>
          <w:tab w:leader="none" w:pos="56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(including by means of facsimile), each of which is deemed to be an original and all of which taken together constitute one and the same agreement.</w:t>
      </w:r>
    </w:p>
    <w:p>
      <w:pPr>
        <w:spacing w:after="0" w:line="147" w:lineRule="exact"/>
        <w:rPr>
          <w:rFonts w:ascii="Arial" w:cs="Arial" w:eastAsia="Arial" w:hAnsi="Arial"/>
          <w:sz w:val="19"/>
          <w:szCs w:val="19"/>
          <w:color w:val="auto"/>
        </w:rPr>
      </w:pPr>
    </w:p>
    <w:p>
      <w:pPr>
        <w:jc w:val="both"/>
        <w:ind w:left="7" w:hanging="7"/>
        <w:spacing w:after="0" w:line="236" w:lineRule="auto"/>
        <w:tabs>
          <w:tab w:leader="none" w:pos="56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161" w:lineRule="exact"/>
        <w:rPr>
          <w:rFonts w:ascii="Arial" w:cs="Arial" w:eastAsia="Arial" w:hAnsi="Arial"/>
          <w:sz w:val="19"/>
          <w:szCs w:val="19"/>
          <w:color w:val="auto"/>
        </w:rPr>
      </w:pPr>
    </w:p>
    <w:p>
      <w:pPr>
        <w:jc w:val="both"/>
        <w:ind w:left="7" w:right="20" w:hanging="7"/>
        <w:spacing w:after="0" w:line="241" w:lineRule="auto"/>
        <w:tabs>
          <w:tab w:leader="none" w:pos="55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w:t>
      </w:r>
    </w:p>
    <w:p>
      <w:pPr>
        <w:sectPr>
          <w:pgSz w:w="11900" w:h="16838" w:orient="portrait"/>
          <w:cols w:equalWidth="0" w:num="1">
            <w:col w:w="10707"/>
          </w:cols>
          <w:pgMar w:left="873" w:top="1240" w:right="319" w:bottom="1440" w:gutter="0" w:footer="0" w:header="0"/>
        </w:sectPr>
      </w:pPr>
    </w:p>
    <w:bookmarkStart w:id="139" w:name="page140"/>
    <w:bookmarkEnd w:id="139"/>
    <w:p>
      <w:pPr>
        <w:ind w:left="7"/>
        <w:spacing w:after="0" w:line="252" w:lineRule="auto"/>
        <w:rPr>
          <w:sz w:val="20"/>
          <w:szCs w:val="20"/>
          <w:color w:val="auto"/>
        </w:rPr>
      </w:pPr>
      <w:r>
        <w:rPr>
          <w:rFonts w:ascii="Arial" w:cs="Arial" w:eastAsia="Arial" w:hAnsi="Arial"/>
          <w:sz w:val="19"/>
          <w:szCs w:val="19"/>
          <w:color w:val="auto"/>
        </w:rPr>
        <w:t>the State of Delaware or any other jurisdiction) that would cause the application of the laws of any jurisdiction other than the State of Delaware.</w:t>
      </w:r>
    </w:p>
    <w:p>
      <w:pPr>
        <w:spacing w:after="0" w:line="147" w:lineRule="exact"/>
        <w:rPr>
          <w:sz w:val="20"/>
          <w:szCs w:val="20"/>
          <w:color w:val="auto"/>
        </w:rPr>
      </w:pPr>
    </w:p>
    <w:p>
      <w:pPr>
        <w:jc w:val="both"/>
        <w:ind w:left="7" w:hanging="7"/>
        <w:spacing w:after="0" w:line="263" w:lineRule="auto"/>
        <w:tabs>
          <w:tab w:leader="none" w:pos="56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 of pocket expenses (including lodging and meals, upon submission of receipts) and shall compensate Executive at an hourly rate consistent with his annual base salary as then in effect.</w:t>
      </w:r>
    </w:p>
    <w:p>
      <w:pPr>
        <w:spacing w:after="0" w:line="142" w:lineRule="exact"/>
        <w:rPr>
          <w:rFonts w:ascii="Arial" w:cs="Arial" w:eastAsia="Arial" w:hAnsi="Arial"/>
          <w:sz w:val="17"/>
          <w:szCs w:val="17"/>
          <w:color w:val="auto"/>
        </w:rPr>
      </w:pPr>
    </w:p>
    <w:p>
      <w:pPr>
        <w:jc w:val="both"/>
        <w:ind w:left="7" w:hanging="7"/>
        <w:spacing w:after="0" w:line="249" w:lineRule="auto"/>
        <w:tabs>
          <w:tab w:leader="none" w:pos="56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claim or controversy arising under or in connection with this Agreement or Executive’s employment hereunder or the termination thereof shall (except to the extent otherwise provided in Section 4(D) with respect to injunctive relief) be settled exclusively by arbitration administered by the American Arbitration Association (the “</w:t>
      </w:r>
      <w:r>
        <w:rPr>
          <w:rFonts w:ascii="Arial" w:cs="Arial" w:eastAsia="Arial" w:hAnsi="Arial"/>
          <w:sz w:val="18"/>
          <w:szCs w:val="18"/>
          <w:u w:val="single" w:color="auto"/>
          <w:color w:val="auto"/>
        </w:rPr>
        <w:t>AAA</w:t>
      </w:r>
      <w:r>
        <w:rPr>
          <w:rFonts w:ascii="Arial" w:cs="Arial" w:eastAsia="Arial" w:hAnsi="Arial"/>
          <w:sz w:val="18"/>
          <w:szCs w:val="18"/>
          <w:color w:val="auto"/>
        </w:rPr>
        <w:t>”) and carried out in Cleveland, Ohio. The arbitration shall be conducted in accordance with the AAA’s Commercial Arbitration Rules in effect at the time of the arbitration (the “</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Rules</w:t>
      </w:r>
      <w:r>
        <w:rPr>
          <w:rFonts w:ascii="Arial" w:cs="Arial" w:eastAsia="Arial" w:hAnsi="Arial"/>
          <w:sz w:val="18"/>
          <w:szCs w:val="18"/>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152" w:lineRule="exact"/>
        <w:rPr>
          <w:rFonts w:ascii="Arial" w:cs="Arial" w:eastAsia="Arial" w:hAnsi="Arial"/>
          <w:sz w:val="18"/>
          <w:szCs w:val="18"/>
          <w:color w:val="auto"/>
        </w:rPr>
      </w:pPr>
    </w:p>
    <w:p>
      <w:pPr>
        <w:jc w:val="both"/>
        <w:ind w:left="567" w:hanging="8"/>
        <w:spacing w:after="0" w:line="236" w:lineRule="auto"/>
        <w:tabs>
          <w:tab w:leader="none" w:pos="11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 (60) days of commencement of the hearings; and the arbitrator’s award shall be made within thirty (30) days following such completion.</w:t>
      </w:r>
    </w:p>
    <w:p>
      <w:pPr>
        <w:spacing w:after="0" w:line="161" w:lineRule="exact"/>
        <w:rPr>
          <w:rFonts w:ascii="Arial" w:cs="Arial" w:eastAsia="Arial" w:hAnsi="Arial"/>
          <w:sz w:val="19"/>
          <w:szCs w:val="19"/>
          <w:color w:val="auto"/>
        </w:rPr>
      </w:pPr>
    </w:p>
    <w:p>
      <w:pPr>
        <w:jc w:val="both"/>
        <w:ind w:left="567" w:hanging="8"/>
        <w:spacing w:after="0" w:line="255" w:lineRule="auto"/>
        <w:tabs>
          <w:tab w:leader="none" w:pos="11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w:t>
      </w:r>
    </w:p>
    <w:p>
      <w:pPr>
        <w:sectPr>
          <w:pgSz w:w="11900" w:h="16838" w:orient="portrait"/>
          <w:cols w:equalWidth="0" w:num="1">
            <w:col w:w="10707"/>
          </w:cols>
          <w:pgMar w:left="873" w:top="1240" w:right="319" w:bottom="1440" w:gutter="0" w:footer="0" w:header="0"/>
        </w:sectPr>
      </w:pPr>
    </w:p>
    <w:bookmarkStart w:id="140" w:name="page141"/>
    <w:bookmarkEnd w:id="140"/>
    <w:p>
      <w:pPr>
        <w:jc w:val="both"/>
        <w:ind w:left="567"/>
        <w:spacing w:after="0" w:line="241" w:lineRule="auto"/>
        <w:rPr>
          <w:sz w:val="20"/>
          <w:szCs w:val="20"/>
          <w:color w:val="auto"/>
        </w:rPr>
      </w:pPr>
      <w:r>
        <w:rPr>
          <w:rFonts w:ascii="Arial" w:cs="Arial" w:eastAsia="Arial" w:hAnsi="Arial"/>
          <w:sz w:val="19"/>
          <w:szCs w:val="19"/>
          <w:color w:val="auto"/>
        </w:rPr>
        <w:t>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158" w:lineRule="exact"/>
        <w:rPr>
          <w:sz w:val="20"/>
          <w:szCs w:val="20"/>
          <w:color w:val="auto"/>
        </w:rPr>
      </w:pPr>
    </w:p>
    <w:p>
      <w:pPr>
        <w:jc w:val="both"/>
        <w:ind w:left="567" w:hanging="8"/>
        <w:spacing w:after="0" w:line="283" w:lineRule="auto"/>
        <w:tabs>
          <w:tab w:leader="none" w:pos="1119"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124" w:lineRule="exact"/>
        <w:rPr>
          <w:rFonts w:ascii="Arial" w:cs="Arial" w:eastAsia="Arial" w:hAnsi="Arial"/>
          <w:sz w:val="17"/>
          <w:szCs w:val="17"/>
          <w:color w:val="auto"/>
        </w:rPr>
      </w:pPr>
    </w:p>
    <w:p>
      <w:pPr>
        <w:ind w:left="7" w:hanging="7"/>
        <w:spacing w:after="0" w:line="252" w:lineRule="auto"/>
        <w:tabs>
          <w:tab w:leader="none" w:pos="55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Amendment and Waiver</w:t>
      </w:r>
      <w:r>
        <w:rPr>
          <w:rFonts w:ascii="Arial" w:cs="Arial" w:eastAsia="Arial" w:hAnsi="Arial"/>
          <w:sz w:val="19"/>
          <w:szCs w:val="19"/>
          <w:color w:val="auto"/>
        </w:rPr>
        <w:t>. The provisions of this Agreement may be amended and waived only with the prior written consent of the Company and Executive.</w:t>
      </w:r>
    </w:p>
    <w:p>
      <w:pPr>
        <w:spacing w:after="0" w:line="147" w:lineRule="exact"/>
        <w:rPr>
          <w:rFonts w:ascii="Arial" w:cs="Arial" w:eastAsia="Arial" w:hAnsi="Arial"/>
          <w:sz w:val="19"/>
          <w:szCs w:val="19"/>
          <w:color w:val="auto"/>
        </w:rPr>
      </w:pPr>
    </w:p>
    <w:p>
      <w:pPr>
        <w:ind w:left="547" w:hanging="547"/>
        <w:spacing w:after="0"/>
        <w:tabs>
          <w:tab w:leader="none" w:pos="54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survive a Separation and shall remain in full force and effect after such Separation.</w:t>
      </w:r>
    </w:p>
    <w:p>
      <w:pPr>
        <w:spacing w:after="0" w:line="177" w:lineRule="exact"/>
        <w:rPr>
          <w:rFonts w:ascii="Arial" w:cs="Arial" w:eastAsia="Arial" w:hAnsi="Arial"/>
          <w:sz w:val="19"/>
          <w:szCs w:val="19"/>
          <w:color w:val="auto"/>
        </w:rPr>
      </w:pPr>
    </w:p>
    <w:p>
      <w:pPr>
        <w:jc w:val="both"/>
        <w:ind w:left="7" w:hanging="7"/>
        <w:spacing w:after="0" w:line="264" w:lineRule="auto"/>
        <w:tabs>
          <w:tab w:leader="none" w:pos="56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139" w:lineRule="exact"/>
        <w:rPr>
          <w:rFonts w:ascii="Arial" w:cs="Arial" w:eastAsia="Arial" w:hAnsi="Arial"/>
          <w:sz w:val="17"/>
          <w:szCs w:val="17"/>
          <w:color w:val="auto"/>
        </w:rPr>
      </w:pPr>
    </w:p>
    <w:p>
      <w:pPr>
        <w:ind w:left="547" w:hanging="547"/>
        <w:spacing w:after="0"/>
        <w:tabs>
          <w:tab w:leader="none" w:pos="547"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Representations and Acknowledgements.</w:t>
      </w:r>
    </w:p>
    <w:p>
      <w:pPr>
        <w:spacing w:after="0" w:line="177" w:lineRule="exact"/>
        <w:rPr>
          <w:rFonts w:ascii="Arial" w:cs="Arial" w:eastAsia="Arial" w:hAnsi="Arial"/>
          <w:sz w:val="19"/>
          <w:szCs w:val="19"/>
          <w:color w:val="auto"/>
        </w:rPr>
      </w:pPr>
    </w:p>
    <w:p>
      <w:pPr>
        <w:jc w:val="both"/>
        <w:ind w:left="567" w:right="20" w:hanging="8"/>
        <w:spacing w:after="0" w:line="287" w:lineRule="auto"/>
        <w:tabs>
          <w:tab w:leader="none" w:pos="11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25" w:lineRule="exact"/>
        <w:rPr>
          <w:rFonts w:ascii="Arial" w:cs="Arial" w:eastAsia="Arial" w:hAnsi="Arial"/>
          <w:sz w:val="16"/>
          <w:szCs w:val="16"/>
          <w:color w:val="auto"/>
        </w:rPr>
      </w:pPr>
    </w:p>
    <w:p>
      <w:pPr>
        <w:ind w:left="567" w:right="20" w:hanging="8"/>
        <w:spacing w:after="0" w:line="252" w:lineRule="auto"/>
        <w:tabs>
          <w:tab w:leader="none" w:pos="1126"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Company represents and warrants that (A) it is fully authorized to enter into this Agreement and to discharge the obligations set forth in it, (B) the execution, delivery and performance of this Agreement does not violate any</w:t>
      </w:r>
    </w:p>
    <w:p>
      <w:pPr>
        <w:sectPr>
          <w:pgSz w:w="11900" w:h="16838" w:orient="portrait"/>
          <w:cols w:equalWidth="0" w:num="1">
            <w:col w:w="10707"/>
          </w:cols>
          <w:pgMar w:left="873" w:top="1240" w:right="319" w:bottom="1440" w:gutter="0" w:footer="0" w:header="0"/>
        </w:sectPr>
      </w:pPr>
    </w:p>
    <w:bookmarkStart w:id="141" w:name="page142"/>
    <w:bookmarkEnd w:id="141"/>
    <w:p>
      <w:pPr>
        <w:jc w:val="both"/>
        <w:spacing w:after="0" w:line="283" w:lineRule="auto"/>
        <w:rPr>
          <w:sz w:val="20"/>
          <w:szCs w:val="20"/>
          <w:color w:val="auto"/>
        </w:rPr>
      </w:pPr>
      <w:r>
        <w:rPr>
          <w:rFonts w:ascii="Arial" w:cs="Arial" w:eastAsia="Arial" w:hAnsi="Arial"/>
          <w:sz w:val="17"/>
          <w:szCs w:val="17"/>
          <w:color w:val="auto"/>
        </w:rPr>
        <w:t>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25" w:lineRule="exact"/>
        <w:rPr>
          <w:sz w:val="20"/>
          <w:szCs w:val="20"/>
          <w:color w:val="auto"/>
        </w:rPr>
      </w:pPr>
    </w:p>
    <w:p>
      <w:pPr>
        <w:ind w:left="2240"/>
        <w:spacing w:after="0"/>
        <w:rPr>
          <w:sz w:val="20"/>
          <w:szCs w:val="20"/>
          <w:color w:val="auto"/>
        </w:rPr>
      </w:pPr>
      <w:r>
        <w:rPr>
          <w:rFonts w:ascii="Arial" w:cs="Arial" w:eastAsia="Arial" w:hAnsi="Arial"/>
          <w:sz w:val="19"/>
          <w:szCs w:val="19"/>
          <w:i w:val="1"/>
          <w:iCs w:val="1"/>
          <w:color w:val="auto"/>
        </w:rPr>
        <w:t>[REMAINDER OF PAGE INTENTIONALLY LEFT BLANK]</w:t>
      </w:r>
    </w:p>
    <w:p>
      <w:pPr>
        <w:sectPr>
          <w:pgSz w:w="11900" w:h="16838" w:orient="portrait"/>
          <w:cols w:equalWidth="0" w:num="1">
            <w:col w:w="10140"/>
          </w:cols>
          <w:pgMar w:left="1440" w:top="1240" w:right="319" w:bottom="1440" w:gutter="0" w:footer="0" w:header="0"/>
        </w:sectPr>
      </w:pPr>
    </w:p>
    <w:bookmarkStart w:id="142" w:name="page143"/>
    <w:bookmarkEnd w:id="142"/>
    <w:p>
      <w:pPr>
        <w:ind w:left="60"/>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019"/>
          </w:cols>
          <w:pgMar w:left="1440" w:top="1228" w:right="1440" w:bottom="1440" w:gutter="0" w:footer="0" w:header="0"/>
        </w:sect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9"/>
          <w:szCs w:val="19"/>
          <w:b w:val="1"/>
          <w:bCs w:val="1"/>
          <w:color w:val="auto"/>
        </w:rPr>
        <w:t>SOTERA HEALTH</w:t>
      </w:r>
    </w:p>
    <w:p>
      <w:pPr>
        <w:spacing w:after="0" w:line="11" w:lineRule="exact"/>
        <w:rPr>
          <w:sz w:val="20"/>
          <w:szCs w:val="20"/>
          <w:color w:val="auto"/>
        </w:rPr>
      </w:pPr>
    </w:p>
    <w:p>
      <w:pPr>
        <w:ind w:left="2220"/>
        <w:spacing w:after="0"/>
        <w:rPr>
          <w:sz w:val="20"/>
          <w:szCs w:val="20"/>
          <w:color w:val="auto"/>
        </w:rPr>
      </w:pPr>
      <w:r>
        <w:rPr>
          <w:rFonts w:ascii="Arial" w:cs="Arial" w:eastAsia="Arial" w:hAnsi="Arial"/>
          <w:sz w:val="19"/>
          <w:szCs w:val="19"/>
          <w:b w:val="1"/>
          <w:bCs w:val="1"/>
          <w:color w:val="auto"/>
        </w:rPr>
        <w:t>COMPANY</w:t>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Michael B. Petras,</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3810</wp:posOffset>
            </wp:positionV>
            <wp:extent cx="343471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3434715" cy="762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7"/>
          <w:szCs w:val="17"/>
          <w:color w:val="auto"/>
        </w:rPr>
        <w:t>Name: Michael B. Petras,</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Jr.</w:t>
      </w:r>
    </w:p>
    <w:p>
      <w:pPr>
        <w:ind w:left="5500"/>
        <w:spacing w:after="0" w:line="233" w:lineRule="auto"/>
        <w:rPr>
          <w:sz w:val="20"/>
          <w:szCs w:val="20"/>
          <w:color w:val="auto"/>
        </w:rPr>
      </w:pPr>
      <w:r>
        <w:rPr>
          <w:rFonts w:ascii="Arial" w:cs="Arial" w:eastAsia="Arial" w:hAnsi="Arial"/>
          <w:sz w:val="17"/>
          <w:szCs w:val="17"/>
          <w:color w:val="auto"/>
        </w:rPr>
        <w:t xml:space="preserve">Title: </w:t>
      </w:r>
      <w:r>
        <w:rPr>
          <w:rFonts w:ascii="Arial" w:cs="Arial" w:eastAsia="Arial" w:hAnsi="Arial"/>
          <w:sz w:val="18"/>
          <w:szCs w:val="18"/>
          <w:color w:val="231F20"/>
        </w:rPr>
        <w:t>Chief Executive</w:t>
      </w:r>
    </w:p>
    <w:p>
      <w:pPr>
        <w:ind w:left="2220"/>
        <w:spacing w:after="0"/>
        <w:rPr>
          <w:sz w:val="20"/>
          <w:szCs w:val="20"/>
          <w:color w:val="auto"/>
        </w:rPr>
      </w:pPr>
      <w:r>
        <w:rPr>
          <w:rFonts w:ascii="Arial" w:cs="Arial" w:eastAsia="Arial" w:hAnsi="Arial"/>
          <w:sz w:val="19"/>
          <w:szCs w:val="19"/>
          <w:color w:val="231F20"/>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00"/>
        <w:spacing w:after="0"/>
        <w:rPr>
          <w:sz w:val="20"/>
          <w:szCs w:val="20"/>
          <w:color w:val="auto"/>
        </w:rPr>
      </w:pPr>
      <w:r>
        <w:rPr>
          <w:rFonts w:ascii="Arial" w:cs="Arial" w:eastAsia="Arial" w:hAnsi="Arial"/>
          <w:sz w:val="19"/>
          <w:szCs w:val="19"/>
          <w:b w:val="1"/>
          <w:bCs w:val="1"/>
          <w:color w:val="auto"/>
        </w:rPr>
        <w:t>EXECUTIVE</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 /s/ Terry G. Hammons,</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3810</wp:posOffset>
            </wp:positionV>
            <wp:extent cx="343471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3434715" cy="7620"/>
                    </a:xfrm>
                    <a:prstGeom prst="rect">
                      <a:avLst/>
                    </a:prstGeom>
                    <a:noFill/>
                  </pic:spPr>
                </pic:pic>
              </a:graphicData>
            </a:graphic>
          </wp:anchor>
        </w:drawing>
      </w:r>
    </w:p>
    <w:p>
      <w:pPr>
        <w:jc w:val="right"/>
        <w:ind w:right="1479"/>
        <w:spacing w:after="0" w:line="233" w:lineRule="auto"/>
        <w:rPr>
          <w:sz w:val="20"/>
          <w:szCs w:val="20"/>
          <w:color w:val="auto"/>
        </w:rPr>
      </w:pPr>
      <w:r>
        <w:rPr>
          <w:rFonts w:ascii="Arial" w:cs="Arial" w:eastAsia="Arial" w:hAnsi="Arial"/>
          <w:sz w:val="19"/>
          <w:szCs w:val="19"/>
          <w:color w:val="auto"/>
        </w:rPr>
        <w:t>Name: Terry G. Hammons,</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Jr.</w:t>
      </w:r>
    </w:p>
    <w:p>
      <w:pPr>
        <w:sectPr>
          <w:pgSz w:w="11900" w:h="16838" w:orient="portrait"/>
          <w:cols w:equalWidth="0" w:num="1">
            <w:col w:w="9019"/>
          </w:cols>
          <w:pgMar w:left="1440" w:top="1228" w:right="1440"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10.31</w:t>
      </w:r>
    </w:p>
    <w:p>
      <w:pPr>
        <w:spacing w:after="0" w:line="358" w:lineRule="exact"/>
        <w:rPr>
          <w:sz w:val="20"/>
          <w:szCs w:val="20"/>
          <w:color w:val="auto"/>
        </w:rPr>
      </w:pPr>
    </w:p>
    <w:p>
      <w:pPr>
        <w:ind w:left="9400"/>
        <w:spacing w:after="0"/>
        <w:rPr>
          <w:sz w:val="20"/>
          <w:szCs w:val="20"/>
          <w:color w:val="auto"/>
        </w:rPr>
      </w:pPr>
      <w:r>
        <w:rPr>
          <w:rFonts w:ascii="Arial" w:cs="Arial" w:eastAsia="Arial" w:hAnsi="Arial"/>
          <w:sz w:val="17"/>
          <w:szCs w:val="17"/>
          <w:color w:val="auto"/>
        </w:rPr>
        <w:t>EXECUTION VERSION</w:t>
      </w:r>
    </w:p>
    <w:p>
      <w:pPr>
        <w:spacing w:after="0" w:line="178" w:lineRule="exact"/>
        <w:rPr>
          <w:sz w:val="20"/>
          <w:szCs w:val="20"/>
          <w:color w:val="auto"/>
        </w:rPr>
      </w:pPr>
    </w:p>
    <w:p>
      <w:pPr>
        <w:jc w:val="both"/>
        <w:ind w:firstLine="1189"/>
        <w:spacing w:after="0" w:line="216" w:lineRule="auto"/>
        <w:rPr>
          <w:sz w:val="20"/>
          <w:szCs w:val="20"/>
          <w:color w:val="auto"/>
        </w:rPr>
      </w:pPr>
      <w:r>
        <w:rPr>
          <w:rFonts w:ascii="Arial" w:cs="Arial" w:eastAsia="Arial" w:hAnsi="Arial"/>
          <w:sz w:val="17"/>
          <w:szCs w:val="17"/>
          <w:color w:val="auto"/>
        </w:rPr>
        <w:t>AMENDMENT TO FIRST LIEN CREDIT AGREEMENT, dated as of December 23, 2021(this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 and entered into by and among Sotera Health Company, a Delaware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Sotera Health Holdings,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and JPMorgan Chase Bank, N.A. (“</w:t>
      </w:r>
      <w:r>
        <w:rPr>
          <w:rFonts w:ascii="Arial" w:cs="Arial" w:eastAsia="Arial" w:hAnsi="Arial"/>
          <w:sz w:val="17"/>
          <w:szCs w:val="17"/>
          <w:u w:val="single" w:color="auto"/>
          <w:color w:val="auto"/>
        </w:rPr>
        <w:t>JPMorgan</w:t>
      </w:r>
      <w:r>
        <w:rPr>
          <w:rFonts w:ascii="Arial" w:cs="Arial" w:eastAsia="Arial" w:hAnsi="Arial"/>
          <w:sz w:val="17"/>
          <w:szCs w:val="17"/>
          <w:color w:val="auto"/>
        </w:rPr>
        <w:t>”), as First Lien Administrative Agent (solely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as First Lien Collateral Agent (solely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01" w:lineRule="exact"/>
        <w:rPr>
          <w:sz w:val="20"/>
          <w:szCs w:val="20"/>
          <w:color w:val="auto"/>
        </w:rPr>
      </w:pPr>
    </w:p>
    <w:p>
      <w:pPr>
        <w:jc w:val="both"/>
        <w:ind w:left="80" w:right="100" w:firstLine="1119"/>
        <w:spacing w:after="0" w:line="234" w:lineRule="auto"/>
        <w:rPr>
          <w:sz w:val="20"/>
          <w:szCs w:val="20"/>
          <w:color w:val="auto"/>
        </w:rPr>
      </w:pPr>
      <w:r>
        <w:rPr>
          <w:rFonts w:ascii="Arial" w:cs="Arial" w:eastAsia="Arial" w:hAnsi="Arial"/>
          <w:sz w:val="17"/>
          <w:szCs w:val="17"/>
          <w:color w:val="auto"/>
        </w:rPr>
        <w:t>WHEREAS, reference is made to the First Lien Credit Agreement dated as of December 13, 2019 (as amended by that certain Incremental Facility Amendment to First Lien Credit Agreement, dated as of December 17, 2020, as further amended by that certain Refinancing Amendment to First Lien Credit Agreement, dated as of January 20, 2021, as further amended by that certain Resignation, Consent and Appointment Agreement, dated as of January 20, 2021, as further amended by that certain Revolving Facilities Amendment to First Lien Credit Agreement dated as of March 26, 2021, and as otherwise amended, supplemented or otherwise modified and as in effect immediately prior to the Amendment Effective Date (as defined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Holdings, the Borrower, the lenders from time to time party thereto and the Administrative Agent (capitalized terms used but not defined herein having the meaning provided in the Credit Agreement);</w:t>
      </w:r>
    </w:p>
    <w:p>
      <w:pPr>
        <w:spacing w:after="0" w:line="193" w:lineRule="exact"/>
        <w:rPr>
          <w:sz w:val="20"/>
          <w:szCs w:val="20"/>
          <w:color w:val="auto"/>
        </w:rPr>
      </w:pPr>
    </w:p>
    <w:p>
      <w:pPr>
        <w:jc w:val="both"/>
        <w:ind w:left="80" w:right="100" w:firstLine="560"/>
        <w:spacing w:after="0" w:line="241" w:lineRule="auto"/>
        <w:rPr>
          <w:sz w:val="20"/>
          <w:szCs w:val="20"/>
          <w:color w:val="auto"/>
        </w:rPr>
      </w:pPr>
      <w:r>
        <w:rPr>
          <w:rFonts w:ascii="Arial" w:cs="Arial" w:eastAsia="Arial" w:hAnsi="Arial"/>
          <w:sz w:val="17"/>
          <w:szCs w:val="17"/>
          <w:color w:val="auto"/>
        </w:rPr>
        <w:t>WHEREAS, certain Loans, Commitments and/or other extensions of credit under the Credit Agreement denominated in Sterling (the “</w:t>
      </w:r>
      <w:r>
        <w:rPr>
          <w:rFonts w:ascii="Arial" w:cs="Arial" w:eastAsia="Arial" w:hAnsi="Arial"/>
          <w:sz w:val="17"/>
          <w:szCs w:val="17"/>
          <w:u w:val="single" w:color="auto"/>
          <w:color w:val="auto"/>
        </w:rPr>
        <w:t>Affected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Currency</w:t>
      </w:r>
      <w:r>
        <w:rPr>
          <w:rFonts w:ascii="Arial" w:cs="Arial" w:eastAsia="Arial" w:hAnsi="Arial"/>
          <w:sz w:val="17"/>
          <w:szCs w:val="17"/>
          <w:color w:val="auto"/>
        </w:rPr>
        <w:t>”) incur or are permitted to incur interest, fees or other amounts based on the London Interbank Offered Rate as administered by the ICE Benchmark Administration (“</w:t>
      </w:r>
      <w:r>
        <w:rPr>
          <w:rFonts w:ascii="Arial" w:cs="Arial" w:eastAsia="Arial" w:hAnsi="Arial"/>
          <w:sz w:val="17"/>
          <w:szCs w:val="17"/>
          <w:u w:val="single" w:color="auto"/>
          <w:color w:val="auto"/>
        </w:rPr>
        <w:t>LIBOR</w:t>
      </w:r>
      <w:r>
        <w:rPr>
          <w:rFonts w:ascii="Arial" w:cs="Arial" w:eastAsia="Arial" w:hAnsi="Arial"/>
          <w:sz w:val="17"/>
          <w:szCs w:val="17"/>
          <w:color w:val="auto"/>
        </w:rPr>
        <w:t>”) in accordance with the terms of the Credit Agreement;</w:t>
      </w:r>
    </w:p>
    <w:p>
      <w:pPr>
        <w:spacing w:after="0" w:line="251" w:lineRule="exact"/>
        <w:rPr>
          <w:sz w:val="20"/>
          <w:szCs w:val="20"/>
          <w:color w:val="auto"/>
        </w:rPr>
      </w:pPr>
    </w:p>
    <w:p>
      <w:pPr>
        <w:jc w:val="both"/>
        <w:ind w:left="80" w:right="100" w:firstLine="1119"/>
        <w:spacing w:after="0" w:line="251" w:lineRule="auto"/>
        <w:rPr>
          <w:sz w:val="20"/>
          <w:szCs w:val="20"/>
          <w:color w:val="auto"/>
        </w:rPr>
      </w:pPr>
      <w:r>
        <w:rPr>
          <w:rFonts w:ascii="Arial" w:cs="Arial" w:eastAsia="Arial" w:hAnsi="Arial"/>
          <w:sz w:val="16"/>
          <w:szCs w:val="16"/>
          <w:color w:val="auto"/>
        </w:rPr>
        <w:t>WHEREAS, the Administrative Agent has elected to trigger an Early Opt-In Election with respect to the Affected Currency and pursuant to Section 2.14(b) of the Credit Agreement, the Administrative Agent has determined in accordance with the Credit Agreement that LIBOR for the Affected Currency should be replaced with the applicable Benchmark Replacement for all purposes under the Credit Agreement and any First Lien Loan Document and such changes shall become effective at and after 5:00 p.m. (New York City time) on the fifth (5th) Business Day after the date notice of such Benchmark Replacement is provided to the Lenders (such time, the “</w:t>
      </w:r>
      <w:r>
        <w:rPr>
          <w:rFonts w:ascii="Arial" w:cs="Arial" w:eastAsia="Arial" w:hAnsi="Arial"/>
          <w:sz w:val="16"/>
          <w:szCs w:val="16"/>
          <w:u w:val="single" w:color="auto"/>
          <w:color w:val="auto"/>
        </w:rPr>
        <w:t>Objection Deadline</w:t>
      </w:r>
      <w:r>
        <w:rPr>
          <w:rFonts w:ascii="Arial" w:cs="Arial" w:eastAsia="Arial" w:hAnsi="Arial"/>
          <w:sz w:val="16"/>
          <w:szCs w:val="16"/>
          <w:color w:val="auto"/>
        </w:rPr>
        <w:t>”), so long as the Administrative Agent has not received, by such time, written notice of objection to such applicable Benchmark Replacement from Lenders comprising the Required Lenders (the “</w:t>
      </w:r>
      <w:r>
        <w:rPr>
          <w:rFonts w:ascii="Arial" w:cs="Arial" w:eastAsia="Arial" w:hAnsi="Arial"/>
          <w:sz w:val="16"/>
          <w:szCs w:val="16"/>
          <w:u w:val="single" w:color="auto"/>
          <w:color w:val="auto"/>
        </w:rPr>
        <w:t>Affected Currency Amendments</w:t>
      </w:r>
      <w:r>
        <w:rPr>
          <w:rFonts w:ascii="Arial" w:cs="Arial" w:eastAsia="Arial" w:hAnsi="Arial"/>
          <w:sz w:val="16"/>
          <w:szCs w:val="16"/>
          <w:color w:val="auto"/>
        </w:rPr>
        <w:t>”);</w:t>
      </w:r>
    </w:p>
    <w:p>
      <w:pPr>
        <w:spacing w:after="0" w:line="244" w:lineRule="exact"/>
        <w:rPr>
          <w:sz w:val="20"/>
          <w:szCs w:val="20"/>
          <w:color w:val="auto"/>
        </w:rPr>
      </w:pPr>
    </w:p>
    <w:p>
      <w:pPr>
        <w:jc w:val="both"/>
        <w:ind w:left="60" w:right="220" w:firstLine="1119"/>
        <w:spacing w:after="0" w:line="238" w:lineRule="auto"/>
        <w:rPr>
          <w:sz w:val="20"/>
          <w:szCs w:val="20"/>
          <w:color w:val="auto"/>
        </w:rPr>
      </w:pPr>
      <w:r>
        <w:rPr>
          <w:rFonts w:ascii="Arial" w:cs="Arial" w:eastAsia="Arial" w:hAnsi="Arial"/>
          <w:sz w:val="17"/>
          <w:szCs w:val="17"/>
          <w:color w:val="auto"/>
        </w:rPr>
        <w:t>WHEREAS, Section 9.02(b) of the Credit Agreement provides that any provision of the Credit Agreement or any other First Lien Loan Document may be amended by an agreement in writing entered into by Holdings, the Borrower and the Administrative Agent to cure any ambiguity, omission, incorrect cross-reference, inconsistency, obvious error or technical or immaterial errors (as reasonably determined by the Administrative Agent and the Borrower); and</w:t>
      </w:r>
    </w:p>
    <w:p>
      <w:pPr>
        <w:spacing w:after="0" w:line="181" w:lineRule="exact"/>
        <w:rPr>
          <w:sz w:val="20"/>
          <w:szCs w:val="20"/>
          <w:color w:val="auto"/>
        </w:rPr>
      </w:pPr>
    </w:p>
    <w:p>
      <w:pPr>
        <w:ind w:left="80" w:right="100" w:firstLine="1119"/>
        <w:spacing w:after="0" w:line="254" w:lineRule="auto"/>
        <w:rPr>
          <w:sz w:val="20"/>
          <w:szCs w:val="20"/>
          <w:color w:val="auto"/>
        </w:rPr>
      </w:pPr>
      <w:r>
        <w:rPr>
          <w:rFonts w:ascii="Arial" w:cs="Arial" w:eastAsia="Arial" w:hAnsi="Arial"/>
          <w:sz w:val="17"/>
          <w:szCs w:val="17"/>
          <w:color w:val="auto"/>
        </w:rPr>
        <w:t>WHEREAS, Holdings, the Borrower and the Administrative Agent have jointly identified certain defects in the Credit Agreement, and therefore desire to amend the Credit Agreement in order to cure such defects on the terms set forth herein (the “</w:t>
      </w:r>
      <w:r>
        <w:rPr>
          <w:rFonts w:ascii="Arial" w:cs="Arial" w:eastAsia="Arial" w:hAnsi="Arial"/>
          <w:sz w:val="17"/>
          <w:szCs w:val="17"/>
          <w:u w:val="single" w:color="auto"/>
          <w:color w:val="auto"/>
        </w:rPr>
        <w:t>Technical Amendments</w:t>
      </w:r>
      <w:r>
        <w:rPr>
          <w:rFonts w:ascii="Arial" w:cs="Arial" w:eastAsia="Arial" w:hAnsi="Arial"/>
          <w:sz w:val="17"/>
          <w:szCs w:val="17"/>
          <w:color w:val="auto"/>
        </w:rPr>
        <w:t>”).</w:t>
      </w:r>
    </w:p>
    <w:p>
      <w:pPr>
        <w:spacing w:after="0" w:line="251" w:lineRule="exact"/>
        <w:rPr>
          <w:sz w:val="20"/>
          <w:szCs w:val="20"/>
          <w:color w:val="auto"/>
        </w:rPr>
      </w:pPr>
    </w:p>
    <w:p>
      <w:pPr>
        <w:ind w:left="80" w:right="100" w:firstLine="1119"/>
        <w:spacing w:after="0" w:line="254" w:lineRule="auto"/>
        <w:rPr>
          <w:sz w:val="20"/>
          <w:szCs w:val="20"/>
          <w:color w:val="auto"/>
        </w:rPr>
      </w:pPr>
      <w:r>
        <w:rPr>
          <w:rFonts w:ascii="Arial" w:cs="Arial" w:eastAsia="Arial" w:hAnsi="Arial"/>
          <w:sz w:val="17"/>
          <w:szCs w:val="17"/>
          <w:color w:val="auto"/>
        </w:rPr>
        <w:t>NOW, THEREFORE, in consideration of the mutual agreements herein contained and other good and valuable consideration, the sufficiency and receipt of which are hereby acknowledged, the parties hereto agree as follows:</w:t>
      </w:r>
    </w:p>
    <w:p>
      <w:pPr>
        <w:sectPr>
          <w:pgSz w:w="11900" w:h="16838" w:orient="portrait"/>
          <w:cols w:equalWidth="0" w:num="1">
            <w:col w:w="11260"/>
          </w:cols>
          <w:pgMar w:left="320" w:top="120" w:right="319" w:bottom="1440" w:gutter="0" w:footer="0" w:header="0"/>
        </w:sectPr>
      </w:pPr>
    </w:p>
    <w:bookmarkStart w:id="144" w:name="page145"/>
    <w:bookmarkEnd w:id="144"/>
    <w:p>
      <w:pPr>
        <w:jc w:val="center"/>
        <w:ind w:right="-79"/>
        <w:spacing w:after="0"/>
        <w:rPr>
          <w:sz w:val="20"/>
          <w:szCs w:val="20"/>
          <w:color w:val="auto"/>
        </w:rPr>
      </w:pPr>
      <w:r>
        <w:rPr>
          <w:rFonts w:ascii="Arial" w:cs="Arial" w:eastAsia="Arial" w:hAnsi="Arial"/>
          <w:sz w:val="16"/>
          <w:szCs w:val="16"/>
          <w:color w:val="auto"/>
        </w:rPr>
        <w:t>- 2 -</w:t>
      </w:r>
    </w:p>
    <w:p>
      <w:pPr>
        <w:spacing w:after="0" w:line="200" w:lineRule="exact"/>
        <w:rPr>
          <w:sz w:val="20"/>
          <w:szCs w:val="20"/>
          <w:color w:val="auto"/>
        </w:rPr>
      </w:pPr>
    </w:p>
    <w:p>
      <w:pPr>
        <w:spacing w:after="0" w:line="206" w:lineRule="exact"/>
        <w:rPr>
          <w:sz w:val="20"/>
          <w:szCs w:val="20"/>
          <w:color w:val="auto"/>
        </w:rPr>
      </w:pPr>
    </w:p>
    <w:p>
      <w:pPr>
        <w:ind w:left="1680" w:hanging="474"/>
        <w:spacing w:after="0"/>
        <w:tabs>
          <w:tab w:leader="none" w:pos="168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Credit Agreement is hereby amended to delete the stricken text (indicated textually in the same manner as the following</w:t>
      </w:r>
    </w:p>
    <w:p>
      <w:pPr>
        <w:spacing w:after="0" w:line="28" w:lineRule="exact"/>
        <w:rPr>
          <w:rFonts w:ascii="Arial" w:cs="Arial" w:eastAsia="Arial" w:hAnsi="Arial"/>
          <w:sz w:val="15"/>
          <w:szCs w:val="15"/>
          <w:color w:val="auto"/>
        </w:rPr>
      </w:pPr>
    </w:p>
    <w:p>
      <w:pPr>
        <w:ind w:left="80"/>
        <w:spacing w:after="0" w:line="238" w:lineRule="auto"/>
        <w:rPr>
          <w:rFonts w:ascii="Arial" w:cs="Arial" w:eastAsia="Arial" w:hAnsi="Arial"/>
          <w:sz w:val="15"/>
          <w:szCs w:val="15"/>
          <w:color w:val="auto"/>
        </w:rPr>
      </w:pPr>
      <w:r>
        <w:rPr>
          <w:rFonts w:ascii="Arial" w:cs="Arial" w:eastAsia="Arial" w:hAnsi="Arial"/>
          <w:sz w:val="17"/>
          <w:szCs w:val="17"/>
          <w:color w:val="auto"/>
        </w:rPr>
        <w:t xml:space="preserve">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 underlined text (indicated textually in the same manner as the following example: </w:t>
      </w:r>
      <w:r>
        <w:rPr>
          <w:rFonts w:ascii="Arial" w:cs="Arial" w:eastAsia="Arial" w:hAnsi="Arial"/>
          <w:sz w:val="17"/>
          <w:szCs w:val="17"/>
          <w:u w:val="single" w:color="auto"/>
          <w:color w:val="006FC0"/>
        </w:rPr>
        <w:t>double-underlined text</w:t>
      </w:r>
      <w:r>
        <w:rPr>
          <w:rFonts w:ascii="Arial" w:cs="Arial" w:eastAsia="Arial" w:hAnsi="Arial"/>
          <w:sz w:val="17"/>
          <w:szCs w:val="17"/>
          <w:color w:val="auto"/>
        </w:rPr>
        <w:t xml:space="preserve">) as set forth in the pages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251" w:lineRule="exact"/>
        <w:rPr>
          <w:rFonts w:ascii="Arial" w:cs="Arial" w:eastAsia="Arial" w:hAnsi="Arial"/>
          <w:sz w:val="15"/>
          <w:szCs w:val="15"/>
          <w:color w:val="auto"/>
        </w:rPr>
      </w:pPr>
    </w:p>
    <w:p>
      <w:pPr>
        <w:ind w:left="80" w:firstLine="1126"/>
        <w:spacing w:after="0" w:line="254" w:lineRule="auto"/>
        <w:tabs>
          <w:tab w:leader="none" w:pos="166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Conditions Precedent to Affected Currency Amendments</w:t>
      </w:r>
      <w:r>
        <w:rPr>
          <w:rFonts w:ascii="Arial" w:cs="Arial" w:eastAsia="Arial" w:hAnsi="Arial"/>
          <w:sz w:val="17"/>
          <w:szCs w:val="17"/>
          <w:color w:val="auto"/>
        </w:rPr>
        <w:t>. The effectiveness of the Affected Currency Amendments is subject to the satisfaction of each of the following conditions (the date of the satisfaction of all such conditions,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w:t>
      </w:r>
    </w:p>
    <w:p>
      <w:pPr>
        <w:spacing w:after="0" w:line="239" w:lineRule="exact"/>
        <w:rPr>
          <w:sz w:val="20"/>
          <w:szCs w:val="20"/>
          <w:color w:val="auto"/>
        </w:rPr>
      </w:pPr>
    </w:p>
    <w:p>
      <w:pPr>
        <w:jc w:val="both"/>
        <w:ind w:left="80" w:firstLine="1126"/>
        <w:spacing w:after="0" w:line="241" w:lineRule="auto"/>
        <w:tabs>
          <w:tab w:leader="none" w:pos="16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each Loan Party, either (x) a counterpart of this Amendment signed on behalf of such party or (y) written evidence reasonably satisfactory to the Administrative Agent (which may include delivery of a signed signature page of this Agreement subject to Section 11 below) that such party has signed a counterpart of this Amendment.</w:t>
      </w:r>
    </w:p>
    <w:p>
      <w:pPr>
        <w:spacing w:after="0" w:line="192" w:lineRule="exact"/>
        <w:rPr>
          <w:rFonts w:ascii="Arial" w:cs="Arial" w:eastAsia="Arial" w:hAnsi="Arial"/>
          <w:sz w:val="17"/>
          <w:szCs w:val="17"/>
          <w:color w:val="auto"/>
        </w:rPr>
      </w:pPr>
    </w:p>
    <w:p>
      <w:pPr>
        <w:ind w:left="80" w:firstLine="1125"/>
        <w:spacing w:after="0" w:line="254" w:lineRule="auto"/>
        <w:tabs>
          <w:tab w:leader="none" w:pos="16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Administrative Agent has not received, by the Objection Deadline, written notice of objection to such Benchmark Replacement or the amendments to the Credit Agreement as provided herein from Lenders comprising the Required Lenders.</w:t>
      </w:r>
    </w:p>
    <w:p>
      <w:pPr>
        <w:spacing w:after="0" w:line="239" w:lineRule="exact"/>
        <w:rPr>
          <w:rFonts w:ascii="Arial" w:cs="Arial" w:eastAsia="Arial" w:hAnsi="Arial"/>
          <w:sz w:val="17"/>
          <w:szCs w:val="17"/>
          <w:color w:val="auto"/>
        </w:rPr>
      </w:pPr>
    </w:p>
    <w:p>
      <w:pPr>
        <w:ind w:left="1760" w:hanging="555"/>
        <w:spacing w:after="0"/>
        <w:tabs>
          <w:tab w:leader="none" w:pos="17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the representations set forth in Section 4 of this Amendment being be</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true and correct.</w:t>
      </w:r>
    </w:p>
    <w:p>
      <w:pPr>
        <w:spacing w:after="0" w:line="257" w:lineRule="exact"/>
        <w:rPr>
          <w:sz w:val="20"/>
          <w:szCs w:val="20"/>
          <w:color w:val="auto"/>
        </w:rPr>
      </w:pPr>
    </w:p>
    <w:p>
      <w:pPr>
        <w:ind w:left="1760" w:hanging="555"/>
        <w:spacing w:after="0"/>
        <w:tabs>
          <w:tab w:leader="none" w:pos="17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No Default or Event of Default has occurred or is continuing.</w:t>
      </w:r>
    </w:p>
    <w:p>
      <w:pPr>
        <w:spacing w:after="0" w:line="212" w:lineRule="exact"/>
        <w:rPr>
          <w:rFonts w:ascii="Arial" w:cs="Arial" w:eastAsia="Arial" w:hAnsi="Arial"/>
          <w:sz w:val="17"/>
          <w:szCs w:val="17"/>
          <w:color w:val="auto"/>
        </w:rPr>
      </w:pPr>
    </w:p>
    <w:p>
      <w:pPr>
        <w:jc w:val="both"/>
        <w:ind w:left="80" w:firstLine="1125"/>
        <w:spacing w:after="0" w:line="290" w:lineRule="auto"/>
        <w:tabs>
          <w:tab w:leader="none" w:pos="1665"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Conditions Precedent to Technical Amendments</w:t>
      </w:r>
      <w:r>
        <w:rPr>
          <w:rFonts w:ascii="Arial" w:cs="Arial" w:eastAsia="Arial" w:hAnsi="Arial"/>
          <w:sz w:val="15"/>
          <w:szCs w:val="15"/>
          <w:color w:val="auto"/>
        </w:rPr>
        <w:t xml:space="preserve">. The Technical Amendments shall be effective on the Amendment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for the avoidance of doubt, that the Technical Amendments shall only be subject to the First Lien Administrative Agent having received counterparts to this Amendment, duly executed by Holdings, the Borrower and the Administrative Agent and shall not be subject to the consent of any other party hereto.</w:t>
      </w:r>
    </w:p>
    <w:p>
      <w:pPr>
        <w:spacing w:after="0" w:line="144" w:lineRule="exact"/>
        <w:rPr>
          <w:rFonts w:ascii="Arial" w:cs="Arial" w:eastAsia="Arial" w:hAnsi="Arial"/>
          <w:sz w:val="15"/>
          <w:szCs w:val="15"/>
          <w:color w:val="auto"/>
        </w:rPr>
      </w:pPr>
    </w:p>
    <w:p>
      <w:pPr>
        <w:ind w:left="1680" w:hanging="475"/>
        <w:spacing w:after="0"/>
        <w:tabs>
          <w:tab w:leader="none" w:pos="16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Each of Holdings and the Borrower represents and warrants that:</w:t>
      </w:r>
    </w:p>
    <w:p>
      <w:pPr>
        <w:spacing w:after="0" w:line="5" w:lineRule="exact"/>
        <w:rPr>
          <w:rFonts w:ascii="Arial" w:cs="Arial" w:eastAsia="Arial" w:hAnsi="Arial"/>
          <w:sz w:val="17"/>
          <w:szCs w:val="17"/>
          <w:color w:val="auto"/>
        </w:rPr>
      </w:pPr>
    </w:p>
    <w:p>
      <w:pPr>
        <w:ind w:left="1660" w:hanging="454"/>
        <w:spacing w:after="0" w:line="229" w:lineRule="auto"/>
        <w:tabs>
          <w:tab w:leader="none" w:pos="16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each Loan Party has the corporate or other organizational power and authority to</w:t>
      </w:r>
    </w:p>
    <w:p>
      <w:pPr>
        <w:ind w:right="4060"/>
        <w:spacing w:after="0" w:line="255" w:lineRule="auto"/>
        <w:rPr>
          <w:sz w:val="20"/>
          <w:szCs w:val="20"/>
          <w:color w:val="auto"/>
        </w:rPr>
      </w:pPr>
      <w:r>
        <w:rPr>
          <w:rFonts w:ascii="Arial" w:cs="Arial" w:eastAsia="Arial" w:hAnsi="Arial"/>
          <w:sz w:val="16"/>
          <w:szCs w:val="16"/>
          <w:color w:val="auto"/>
        </w:rPr>
        <w:t>execute, deliver and perform its obligations under this Amendment (including the Acknowledgment thereof attached below (the “</w:t>
      </w:r>
      <w:r>
        <w:rPr>
          <w:rFonts w:ascii="Arial" w:cs="Arial" w:eastAsia="Arial" w:hAnsi="Arial"/>
          <w:sz w:val="16"/>
          <w:szCs w:val="16"/>
          <w:u w:val="single" w:color="auto"/>
          <w:color w:val="auto"/>
        </w:rPr>
        <w:t>Acknowledgment</w:t>
      </w:r>
      <w:r>
        <w:rPr>
          <w:rFonts w:ascii="Arial" w:cs="Arial" w:eastAsia="Arial" w:hAnsi="Arial"/>
          <w:sz w:val="16"/>
          <w:szCs w:val="16"/>
          <w:color w:val="auto"/>
        </w:rPr>
        <w:t>”)). Each Loan Party has taken all necessary corporate or other action to authorize the execution, delivery and performance of this Amendment.</w:t>
      </w:r>
    </w:p>
    <w:p>
      <w:pPr>
        <w:spacing w:after="0" w:line="169" w:lineRule="exact"/>
        <w:rPr>
          <w:sz w:val="20"/>
          <w:szCs w:val="20"/>
          <w:color w:val="auto"/>
        </w:rPr>
      </w:pPr>
    </w:p>
    <w:p>
      <w:pPr>
        <w:jc w:val="both"/>
        <w:ind w:left="80" w:firstLine="1126"/>
        <w:spacing w:after="0" w:line="279" w:lineRule="auto"/>
        <w:tabs>
          <w:tab w:leader="none" w:pos="1655"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this Amendment (including the Acknowledgment) has been duly authorized, executed and delivered on behalf of each Loan Party. This Amendment (including the Acknowledgment) constitutes a legal, valid and binding obligation of each Loan Party,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law) and the implied covenants of good faith and fair dealing.</w:t>
      </w:r>
    </w:p>
    <w:p>
      <w:pPr>
        <w:spacing w:after="0" w:line="153" w:lineRule="exact"/>
        <w:rPr>
          <w:rFonts w:ascii="Arial" w:cs="Arial" w:eastAsia="Arial" w:hAnsi="Arial"/>
          <w:sz w:val="15"/>
          <w:szCs w:val="15"/>
          <w:color w:val="auto"/>
        </w:rPr>
      </w:pPr>
    </w:p>
    <w:p>
      <w:pPr>
        <w:jc w:val="both"/>
        <w:ind w:left="80" w:firstLine="1125"/>
        <w:spacing w:after="0" w:line="257" w:lineRule="auto"/>
        <w:tabs>
          <w:tab w:leader="none" w:pos="16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execution, delivery and performance of this Amendment (including the Acknowledgment) by each Loan Party (a) do not require any consent or approval of, registration or filing with, or any other action by, any Governmental Authority, except such as have been obtained or made and are in full force and effect, (b) will not violate (i) the Organizational Documents of, or (ii) any Requirements of Law applicable to, Holdings, any Intermediate Parent, the Borrower or any Restricted Subsidiary, (c) will not violate or result in a default under any indenture or other agreement or instrument</w:t>
      </w:r>
    </w:p>
    <w:p>
      <w:pPr>
        <w:sectPr>
          <w:pgSz w:w="11900" w:h="16838" w:orient="portrait"/>
          <w:cols w:equalWidth="0" w:num="1">
            <w:col w:w="11160"/>
          </w:cols>
          <w:pgMar w:left="320" w:top="945" w:right="4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color w:val="auto"/>
        </w:rPr>
        <w:t>- 3 -</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 (other than Liens created under the First Lien Loan Documents) except (in the case of each of clauses (a), (b)(ii) and (c) of this paragraph)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60" w:lineRule="exact"/>
        <w:rPr>
          <w:sz w:val="20"/>
          <w:szCs w:val="20"/>
          <w:color w:val="auto"/>
        </w:rPr>
      </w:pPr>
    </w:p>
    <w:p>
      <w:pPr>
        <w:jc w:val="both"/>
        <w:ind w:firstLine="1126"/>
        <w:spacing w:after="0" w:line="236" w:lineRule="auto"/>
        <w:tabs>
          <w:tab w:leader="none" w:pos="157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set forth in the First Lien Loan Documents are and shall be true and correct in all material respects on and as of the Amendment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representations and warranties specifically refer to an earlier date, they are and shall be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representation and warranty that is qualified as to materiality, “Material Adverse Effect” or similar language is and shall be true and correct in all respects on the Amendment Effective Date or on such earlier date, as the case may be; and</w:t>
      </w:r>
    </w:p>
    <w:p>
      <w:pPr>
        <w:spacing w:after="0" w:line="193" w:lineRule="exact"/>
        <w:rPr>
          <w:rFonts w:ascii="Arial" w:cs="Arial" w:eastAsia="Arial" w:hAnsi="Arial"/>
          <w:sz w:val="17"/>
          <w:szCs w:val="17"/>
          <w:color w:val="auto"/>
        </w:rPr>
      </w:pPr>
    </w:p>
    <w:p>
      <w:pPr>
        <w:ind w:left="1580" w:hanging="455"/>
        <w:spacing w:after="0"/>
        <w:tabs>
          <w:tab w:leader="none" w:pos="1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the Amendment, no Default or Event of Default shall have occurred and be</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continuing.</w:t>
      </w:r>
    </w:p>
    <w:p>
      <w:pPr>
        <w:spacing w:after="0" w:line="199" w:lineRule="exact"/>
        <w:rPr>
          <w:sz w:val="20"/>
          <w:szCs w:val="20"/>
          <w:color w:val="auto"/>
        </w:rPr>
      </w:pPr>
    </w:p>
    <w:p>
      <w:pPr>
        <w:ind w:firstLine="1126"/>
        <w:spacing w:after="0" w:line="254" w:lineRule="auto"/>
        <w:tabs>
          <w:tab w:leader="none" w:pos="158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Amendment, Modification and Waiver</w:t>
      </w:r>
      <w:r>
        <w:rPr>
          <w:rFonts w:ascii="Arial" w:cs="Arial" w:eastAsia="Arial" w:hAnsi="Arial"/>
          <w:sz w:val="17"/>
          <w:szCs w:val="17"/>
          <w:color w:val="auto"/>
        </w:rPr>
        <w:t>. This Amendment may not be amended nor may any provision hereof be waived except pursuant to a writing signed by each of the parties hereto.</w:t>
      </w:r>
    </w:p>
    <w:p>
      <w:pPr>
        <w:spacing w:after="0" w:line="169" w:lineRule="exact"/>
        <w:rPr>
          <w:rFonts w:ascii="Arial" w:cs="Arial" w:eastAsia="Arial" w:hAnsi="Arial"/>
          <w:sz w:val="17"/>
          <w:szCs w:val="17"/>
          <w:color w:val="auto"/>
        </w:rPr>
      </w:pPr>
    </w:p>
    <w:p>
      <w:pPr>
        <w:jc w:val="both"/>
        <w:ind w:firstLine="1125"/>
        <w:spacing w:after="0" w:line="241" w:lineRule="auto"/>
        <w:tabs>
          <w:tab w:leader="none" w:pos="158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the Credit Agreement and the other First Lien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0" w:lineRule="exact"/>
        <w:rPr>
          <w:rFonts w:ascii="Arial" w:cs="Arial" w:eastAsia="Arial" w:hAnsi="Arial"/>
          <w:sz w:val="17"/>
          <w:szCs w:val="17"/>
          <w:color w:val="auto"/>
        </w:rPr>
      </w:pPr>
    </w:p>
    <w:p>
      <w:pPr>
        <w:ind w:firstLine="1126"/>
        <w:spacing w:after="0" w:line="254" w:lineRule="auto"/>
        <w:tabs>
          <w:tab w:leader="none" w:pos="158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xml:space="preserve">. Sections 9.03(a), (b), (d), (e), (f) and (g) of the Credit Agreement are hereby incorporated,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by reference as if such Sections were set forth in full herein.</w:t>
      </w:r>
    </w:p>
    <w:p>
      <w:pPr>
        <w:spacing w:after="0" w:line="169" w:lineRule="exact"/>
        <w:rPr>
          <w:rFonts w:ascii="Arial" w:cs="Arial" w:eastAsia="Arial" w:hAnsi="Arial"/>
          <w:sz w:val="17"/>
          <w:szCs w:val="17"/>
          <w:color w:val="auto"/>
        </w:rPr>
      </w:pPr>
    </w:p>
    <w:p>
      <w:pPr>
        <w:ind w:left="1600" w:hanging="474"/>
        <w:spacing w:after="0"/>
        <w:tabs>
          <w:tab w:leader="none" w:pos="160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Objection to Venue and Forum Non- Conveniens; Consent to Service of Process</w:t>
      </w:r>
      <w:r>
        <w:rPr>
          <w:rFonts w:ascii="Arial" w:cs="Arial" w:eastAsia="Arial" w:hAnsi="Arial"/>
          <w:sz w:val="17"/>
          <w:szCs w:val="17"/>
          <w:color w:val="auto"/>
        </w:rPr>
        <w:t>.</w:t>
      </w:r>
    </w:p>
    <w:p>
      <w:pPr>
        <w:spacing w:after="0" w:line="282" w:lineRule="exact"/>
        <w:rPr>
          <w:rFonts w:ascii="Arial" w:cs="Arial" w:eastAsia="Arial" w:hAnsi="Arial"/>
          <w:sz w:val="17"/>
          <w:szCs w:val="17"/>
          <w:color w:val="auto"/>
        </w:rPr>
      </w:pPr>
    </w:p>
    <w:p>
      <w:pPr>
        <w:ind w:left="1020" w:hanging="455"/>
        <w:spacing w:after="0"/>
        <w:tabs>
          <w:tab w:leader="none" w:pos="1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Amendment shall be construed in accordance with and governed by the laws of the State of New York.</w:t>
      </w:r>
    </w:p>
    <w:p>
      <w:pPr>
        <w:spacing w:after="0" w:line="200" w:lineRule="exact"/>
        <w:rPr>
          <w:rFonts w:ascii="Arial" w:cs="Arial" w:eastAsia="Arial" w:hAnsi="Arial"/>
          <w:sz w:val="17"/>
          <w:szCs w:val="17"/>
          <w:color w:val="auto"/>
        </w:rPr>
      </w:pPr>
    </w:p>
    <w:p>
      <w:pPr>
        <w:jc w:val="both"/>
        <w:ind w:firstLine="565"/>
        <w:spacing w:after="0" w:line="249" w:lineRule="auto"/>
        <w:tabs>
          <w:tab w:leader="none" w:pos="10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or Lender may otherwise have to bring any action or proceeding relating to this Amendment against Holdings or the Borrower or their respective properties in the courts of any jurisdiction.</w:t>
      </w:r>
    </w:p>
    <w:p>
      <w:pPr>
        <w:sectPr>
          <w:pgSz w:w="11900" w:h="16838" w:orient="portrait"/>
          <w:cols w:equalWidth="0" w:num="1">
            <w:col w:w="11080"/>
          </w:cols>
          <w:pgMar w:left="400" w:top="735" w:right="4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- 4 -</w:t>
      </w:r>
    </w:p>
    <w:p>
      <w:pPr>
        <w:spacing w:after="0" w:line="197" w:lineRule="exact"/>
        <w:rPr>
          <w:sz w:val="20"/>
          <w:szCs w:val="20"/>
          <w:color w:val="auto"/>
        </w:rPr>
      </w:pPr>
    </w:p>
    <w:p>
      <w:pPr>
        <w:jc w:val="both"/>
        <w:ind w:firstLine="565"/>
        <w:spacing w:after="0" w:line="238" w:lineRule="auto"/>
        <w:tabs>
          <w:tab w:leader="none" w:pos="1017"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8(b) above. Each of the parties hereto hereby irrevocably waives, to the fullest extent permitted by law, the defense of an inconvenient forum to the maintenance of such action or proceeding in any such court.</w:t>
      </w:r>
    </w:p>
    <w:p>
      <w:pPr>
        <w:spacing w:after="0" w:line="180" w:lineRule="exact"/>
        <w:rPr>
          <w:rFonts w:ascii="Arial" w:cs="Arial" w:eastAsia="Arial" w:hAnsi="Arial"/>
          <w:sz w:val="17"/>
          <w:szCs w:val="17"/>
          <w:color w:val="auto"/>
        </w:rPr>
      </w:pPr>
    </w:p>
    <w:p>
      <w:pPr>
        <w:jc w:val="both"/>
        <w:ind w:firstLine="565"/>
        <w:spacing w:after="0" w:line="241" w:lineRule="auto"/>
        <w:tabs>
          <w:tab w:leader="none" w:pos="1015"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party to this Amendment irrevocably consents to service of process in the manner provided for notices in Section 9.01 of the Credit Agreement. Nothing in any First Lien Loan Document will affect the right of any party to this Amendment to serve process in any other manner permitted by law.</w:t>
      </w:r>
    </w:p>
    <w:p>
      <w:pPr>
        <w:spacing w:after="0" w:line="176" w:lineRule="exact"/>
        <w:rPr>
          <w:rFonts w:ascii="Arial" w:cs="Arial" w:eastAsia="Arial" w:hAnsi="Arial"/>
          <w:sz w:val="17"/>
          <w:szCs w:val="17"/>
          <w:color w:val="auto"/>
        </w:rPr>
      </w:pPr>
    </w:p>
    <w:p>
      <w:pPr>
        <w:jc w:val="both"/>
        <w:ind w:firstLine="1126"/>
        <w:spacing w:after="0" w:line="234" w:lineRule="auto"/>
        <w:tabs>
          <w:tab w:leader="none" w:pos="1585" w:val="left"/>
        </w:tabs>
        <w:numPr>
          <w:ilvl w:val="2"/>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PARTY HERETO HEREBY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93" w:lineRule="exact"/>
        <w:rPr>
          <w:rFonts w:ascii="Arial" w:cs="Arial" w:eastAsia="Arial" w:hAnsi="Arial"/>
          <w:sz w:val="17"/>
          <w:szCs w:val="17"/>
          <w:b w:val="1"/>
          <w:bCs w:val="1"/>
          <w:color w:val="auto"/>
        </w:rPr>
      </w:pPr>
    </w:p>
    <w:p>
      <w:pPr>
        <w:jc w:val="both"/>
        <w:ind w:firstLine="1126"/>
        <w:spacing w:after="0" w:line="257" w:lineRule="auto"/>
        <w:tabs>
          <w:tab w:leader="none" w:pos="1577"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67" w:lineRule="exact"/>
        <w:rPr>
          <w:rFonts w:ascii="Arial" w:cs="Arial" w:eastAsia="Arial" w:hAnsi="Arial"/>
          <w:sz w:val="16"/>
          <w:szCs w:val="16"/>
          <w:color w:val="auto"/>
        </w:rPr>
      </w:pPr>
    </w:p>
    <w:p>
      <w:pPr>
        <w:ind w:left="1680" w:hanging="555"/>
        <w:spacing w:after="0"/>
        <w:tabs>
          <w:tab w:leader="none" w:pos="1680" w:val="left"/>
        </w:tabs>
        <w:numPr>
          <w:ilvl w:val="2"/>
          <w:numId w:val="8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w:t>
      </w:r>
    </w:p>
    <w:p>
      <w:pPr>
        <w:spacing w:after="0" w:line="282" w:lineRule="exact"/>
        <w:rPr>
          <w:rFonts w:ascii="Arial" w:cs="Arial" w:eastAsia="Arial" w:hAnsi="Arial"/>
          <w:sz w:val="17"/>
          <w:szCs w:val="17"/>
          <w:color w:val="auto"/>
        </w:rPr>
      </w:pPr>
    </w:p>
    <w:p>
      <w:pPr>
        <w:jc w:val="both"/>
        <w:ind w:firstLine="1125"/>
        <w:spacing w:after="0" w:line="235" w:lineRule="auto"/>
        <w:tabs>
          <w:tab w:leader="none" w:pos="1577"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supersedes any and all previous agreements and understandings, oral or written, relating to the subject matter hereof. This Amendment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0" w:lineRule="exact"/>
        <w:rPr>
          <w:rFonts w:ascii="Arial" w:cs="Arial" w:eastAsia="Arial" w:hAnsi="Arial"/>
          <w:sz w:val="17"/>
          <w:szCs w:val="17"/>
          <w:color w:val="auto"/>
        </w:rPr>
      </w:pPr>
    </w:p>
    <w:p>
      <w:pPr>
        <w:jc w:val="both"/>
        <w:ind w:firstLine="1125"/>
        <w:spacing w:after="0" w:line="236" w:lineRule="auto"/>
        <w:tabs>
          <w:tab w:leader="none" w:pos="1575"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Delivery of an executed counterpart of a signature 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w:t>
      </w:r>
    </w:p>
    <w:p>
      <w:pPr>
        <w:sectPr>
          <w:pgSz w:w="11900" w:h="16838" w:orient="portrait"/>
          <w:cols w:equalWidth="0" w:num="1">
            <w:col w:w="11080"/>
          </w:cols>
          <w:pgMar w:left="400" w:top="735" w:right="4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color w:val="auto"/>
        </w:rPr>
        <w:t>- 5 -</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ind w:firstLine="1126"/>
        <w:spacing w:after="0" w:line="254" w:lineRule="auto"/>
        <w:tabs>
          <w:tab w:leader="none" w:pos="157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First Lien Loan Document</w:t>
      </w:r>
      <w:r>
        <w:rPr>
          <w:rFonts w:ascii="Arial" w:cs="Arial" w:eastAsia="Arial" w:hAnsi="Arial"/>
          <w:sz w:val="17"/>
          <w:szCs w:val="17"/>
          <w:color w:val="auto"/>
        </w:rPr>
        <w:t>. This Amendment constitutes a “First Lien Loan Document”, as defined in the Credit Agreement, for all purposes of the Credit Agreement and the other First Lien Loan Documents.</w:t>
      </w:r>
    </w:p>
    <w:p>
      <w:pPr>
        <w:spacing w:after="0" w:line="180" w:lineRule="exact"/>
        <w:rPr>
          <w:rFonts w:ascii="Arial" w:cs="Arial" w:eastAsia="Arial" w:hAnsi="Arial"/>
          <w:sz w:val="17"/>
          <w:szCs w:val="17"/>
          <w:color w:val="auto"/>
        </w:rPr>
      </w:pPr>
    </w:p>
    <w:p>
      <w:pPr>
        <w:jc w:val="both"/>
        <w:ind w:firstLine="1125"/>
        <w:spacing w:after="0" w:line="279" w:lineRule="auto"/>
        <w:tabs>
          <w:tab w:leader="none" w:pos="1577"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Continued Effectiveness</w:t>
      </w:r>
      <w:r>
        <w:rPr>
          <w:rFonts w:ascii="Arial" w:cs="Arial" w:eastAsia="Arial" w:hAnsi="Arial"/>
          <w:sz w:val="15"/>
          <w:szCs w:val="15"/>
          <w:color w:val="auto"/>
        </w:rPr>
        <w:t>. Notwithstanding anything contained herein, the terms of this Amendment (including the Acknowledgment)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First Lien Loan Documents remain in full force and effect.</w:t>
      </w:r>
    </w:p>
    <w:p>
      <w:pPr>
        <w:spacing w:after="0" w:line="165" w:lineRule="exact"/>
        <w:rPr>
          <w:rFonts w:ascii="Arial" w:cs="Arial" w:eastAsia="Arial" w:hAnsi="Arial"/>
          <w:sz w:val="15"/>
          <w:szCs w:val="15"/>
          <w:color w:val="auto"/>
        </w:rPr>
      </w:pPr>
    </w:p>
    <w:p>
      <w:pPr>
        <w:ind w:left="1580" w:hanging="454"/>
        <w:spacing w:after="0"/>
        <w:tabs>
          <w:tab w:leader="none" w:pos="1580"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this Amendment are for purposes of reference only and shall not limit or otherwise affect the meaning hereof.</w:t>
      </w:r>
    </w:p>
    <w:p>
      <w:pPr>
        <w:spacing w:after="0" w:line="223" w:lineRule="exact"/>
        <w:rPr>
          <w:rFonts w:ascii="Arial" w:cs="Arial" w:eastAsia="Arial" w:hAnsi="Arial"/>
          <w:sz w:val="15"/>
          <w:szCs w:val="15"/>
          <w:color w:val="auto"/>
        </w:rPr>
      </w:pPr>
    </w:p>
    <w:p>
      <w:pPr>
        <w:ind w:left="1580" w:hanging="454"/>
        <w:spacing w:after="0"/>
        <w:tabs>
          <w:tab w:leader="none" w:pos="158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shall be given in accordance with the provisions of Section 9.01 of the Credit Agreement.</w:t>
      </w:r>
    </w:p>
    <w:p>
      <w:pPr>
        <w:spacing w:after="0" w:line="18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this page intentionally left blank</w:t>
      </w:r>
      <w:r>
        <w:rPr>
          <w:rFonts w:ascii="Arial" w:cs="Arial" w:eastAsia="Arial" w:hAnsi="Arial"/>
          <w:sz w:val="17"/>
          <w:szCs w:val="17"/>
          <w:color w:val="auto"/>
        </w:rPr>
        <w:t>.]</w:t>
      </w:r>
    </w:p>
    <w:p>
      <w:pPr>
        <w:sectPr>
          <w:pgSz w:w="11900" w:h="16838" w:orient="portrait"/>
          <w:cols w:equalWidth="0" w:num="1">
            <w:col w:w="11080"/>
          </w:cols>
          <w:pgMar w:left="400" w:top="735" w:right="419" w:bottom="1440" w:gutter="0" w:footer="0" w:header="0"/>
        </w:sectPr>
      </w:pPr>
    </w:p>
    <w:bookmarkStart w:id="148" w:name="page149"/>
    <w:bookmarkEnd w:id="148"/>
    <w:p>
      <w:pPr>
        <w:ind w:firstLine="560"/>
        <w:spacing w:after="0" w:line="254" w:lineRule="auto"/>
        <w:rPr>
          <w:sz w:val="20"/>
          <w:szCs w:val="20"/>
          <w:color w:val="auto"/>
        </w:rPr>
      </w:pPr>
      <w:r>
        <w:rPr>
          <w:rFonts w:ascii="Arial" w:cs="Arial" w:eastAsia="Arial" w:hAnsi="Arial"/>
          <w:sz w:val="17"/>
          <w:szCs w:val="17"/>
          <w:color w:val="auto"/>
        </w:rPr>
        <w:t>IN WITNESS WHEREOF, each of the undersigned has caused its duly authorized officer to execute and deliver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JPMORGAN CHASE BANK, N.A., as Administrative</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Agent</w:t>
      </w:r>
    </w:p>
    <w:p>
      <w:pPr>
        <w:spacing w:after="0" w:line="222"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18415</wp:posOffset>
            </wp:positionV>
            <wp:extent cx="257619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2576195" cy="7620"/>
                    </a:xfrm>
                    <a:prstGeom prst="rect">
                      <a:avLst/>
                    </a:prstGeom>
                    <a:noFill/>
                  </pic:spPr>
                </pic:pic>
              </a:graphicData>
            </a:graphic>
          </wp:anchor>
        </w:drawing>
      </w:r>
    </w:p>
    <w:p>
      <w:pPr>
        <w:spacing w:after="0" w:line="1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Name: Joon Hur</w:t>
      </w:r>
    </w:p>
    <w:p>
      <w:pPr>
        <w:spacing w:after="0" w:line="20"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8"/>
          <w:szCs w:val="18"/>
          <w:color w:val="auto"/>
        </w:rPr>
        <w:t>Executive Director</w:t>
      </w:r>
    </w:p>
    <w:p>
      <w:pPr>
        <w:sectPr>
          <w:pgSz w:w="11900" w:h="16838" w:orient="portrait"/>
          <w:cols w:equalWidth="0" w:num="1">
            <w:col w:w="10680"/>
          </w:cols>
          <w:pgMar w:left="400" w:top="124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Sotera –Amendment</w:t>
      </w:r>
      <w:r>
        <w:rPr>
          <w:rFonts w:ascii="Arial" w:cs="Arial" w:eastAsia="Arial" w:hAnsi="Arial"/>
          <w:sz w:val="16"/>
          <w:szCs w:val="16"/>
          <w:color w:val="auto"/>
        </w:rPr>
        <w:t>]</w:t>
      </w:r>
    </w:p>
    <w:p>
      <w:pPr>
        <w:sectPr>
          <w:pgSz w:w="11900" w:h="16838" w:orient="portrait"/>
          <w:cols w:equalWidth="0" w:num="1">
            <w:col w:w="10680"/>
          </w:cols>
          <w:pgMar w:left="400" w:top="1244" w:right="819" w:bottom="1440" w:gutter="0" w:footer="0" w:header="0"/>
          <w:type w:val="continuous"/>
        </w:sectPr>
      </w:pPr>
    </w:p>
    <w:bookmarkStart w:id="149" w:name="page150"/>
    <w:bookmarkEnd w:id="149"/>
    <w:p>
      <w:pPr>
        <w:spacing w:after="0" w:line="18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SOTERA HEALTH HOLDINGS, LLC, as Borrower</w:t>
      </w:r>
    </w:p>
    <w:p>
      <w:pPr>
        <w:spacing w:after="0" w:line="247"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10795</wp:posOffset>
            </wp:positionV>
            <wp:extent cx="233934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2339340" cy="7620"/>
                    </a:xfrm>
                    <a:prstGeom prst="rect">
                      <a:avLst/>
                    </a:prstGeom>
                    <a:noFill/>
                  </pic:spPr>
                </pic:pic>
              </a:graphicData>
            </a:graphic>
          </wp:anchor>
        </w:drawing>
      </w:r>
    </w:p>
    <w:p>
      <w:pPr>
        <w:spacing w:after="0" w:line="2"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Scott J. Leffler</w:t>
      </w:r>
    </w:p>
    <w:p>
      <w:pPr>
        <w:spacing w:after="0" w:line="20"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color w:val="231F20"/>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SOTERA HEALTH COMPANY, as Holdings</w:t>
      </w:r>
    </w:p>
    <w:p>
      <w:pPr>
        <w:spacing w:after="0" w:line="236"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18415</wp:posOffset>
            </wp:positionV>
            <wp:extent cx="233934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2339340" cy="7620"/>
                    </a:xfrm>
                    <a:prstGeom prst="rect">
                      <a:avLst/>
                    </a:prstGeom>
                    <a:noFill/>
                  </pic:spPr>
                </pic:pic>
              </a:graphicData>
            </a:graphic>
          </wp:anchor>
        </w:drawing>
      </w:r>
    </w:p>
    <w:p>
      <w:pPr>
        <w:spacing w:after="0" w:line="13"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Scott J. Leffler</w:t>
      </w:r>
    </w:p>
    <w:p>
      <w:pPr>
        <w:spacing w:after="0" w:line="20"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color w:val="231F20"/>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i w:val="1"/>
          <w:iCs w:val="1"/>
          <w:color w:val="231F20"/>
        </w:rPr>
        <w:t>Sotera –Amendment</w:t>
      </w:r>
      <w:r>
        <w:rPr>
          <w:rFonts w:ascii="Arial" w:cs="Arial" w:eastAsia="Arial" w:hAnsi="Arial"/>
          <w:sz w:val="19"/>
          <w:szCs w:val="19"/>
          <w:color w:val="231F20"/>
        </w:rPr>
        <w:t>]</w:t>
      </w:r>
    </w:p>
    <w:p>
      <w:pPr>
        <w:sectPr>
          <w:pgSz w:w="11900" w:h="16838" w:orient="portrait"/>
          <w:cols w:equalWidth="0" w:num="1">
            <w:col w:w="9019"/>
          </w:cols>
          <w:pgMar w:left="1440" w:top="1440"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u w:val="single" w:color="auto"/>
          <w:color w:val="auto"/>
        </w:rPr>
        <w:t>ACKNOWLEDGMENT</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Each of the undersigned Loan Parties hereby acknowledges its receipt of a copy of this Amendment and its review of the terms and conditions hereof and consents to the terms and conditions of this Amendment. Each Loan Party hereby (a) affirms and confirms its guarantees, pledges, grants and other undertakings under the Credit Agreement and the other First Lien Loan Documents to which it is a party, and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w:t>
      </w:r>
    </w:p>
    <w:p>
      <w:pPr>
        <w:sectPr>
          <w:pgSz w:w="11900" w:h="16838" w:orient="portrait"/>
          <w:cols w:equalWidth="0" w:num="1">
            <w:col w:w="11080"/>
          </w:cols>
          <w:pgMar w:left="400" w:top="1221" w:right="419" w:bottom="1440" w:gutter="0" w:footer="0" w:header="0"/>
        </w:sectPr>
      </w:pPr>
    </w:p>
    <w:bookmarkStart w:id="151" w:name="page152"/>
    <w:bookmarkEnd w:id="151"/>
    <w:p>
      <w:pPr>
        <w:spacing w:after="0" w:line="17" w:lineRule="exact"/>
        <w:rPr>
          <w:sz w:val="20"/>
          <w:szCs w:val="20"/>
          <w:color w:val="auto"/>
        </w:rPr>
      </w:pPr>
    </w:p>
    <w:p>
      <w:pPr>
        <w:ind w:left="2280"/>
        <w:spacing w:after="0"/>
        <w:rPr>
          <w:sz w:val="20"/>
          <w:szCs w:val="20"/>
          <w:color w:val="auto"/>
        </w:rPr>
      </w:pPr>
      <w:r>
        <w:rPr>
          <w:rFonts w:ascii="Arial" w:cs="Arial" w:eastAsia="Arial" w:hAnsi="Arial"/>
          <w:sz w:val="19"/>
          <w:szCs w:val="19"/>
          <w:color w:val="231F20"/>
        </w:rPr>
        <w:t>SOTERA HEALTH LLC</w:t>
      </w:r>
    </w:p>
    <w:p>
      <w:pPr>
        <w:ind w:left="2280"/>
        <w:spacing w:after="0" w:line="204" w:lineRule="auto"/>
        <w:rPr>
          <w:sz w:val="20"/>
          <w:szCs w:val="20"/>
          <w:color w:val="auto"/>
        </w:rPr>
      </w:pPr>
      <w:r>
        <w:rPr>
          <w:rFonts w:ascii="Arial" w:cs="Arial" w:eastAsia="Arial" w:hAnsi="Arial"/>
          <w:sz w:val="19"/>
          <w:szCs w:val="19"/>
          <w:color w:val="231F20"/>
        </w:rPr>
        <w:t>STERIGENICS U.S., LLC</w:t>
      </w:r>
    </w:p>
    <w:p>
      <w:pPr>
        <w:ind w:left="2280"/>
        <w:spacing w:after="0" w:line="205" w:lineRule="auto"/>
        <w:rPr>
          <w:sz w:val="20"/>
          <w:szCs w:val="20"/>
          <w:color w:val="auto"/>
        </w:rPr>
      </w:pPr>
      <w:r>
        <w:rPr>
          <w:rFonts w:ascii="Arial" w:cs="Arial" w:eastAsia="Arial" w:hAnsi="Arial"/>
          <w:sz w:val="19"/>
          <w:szCs w:val="19"/>
          <w:color w:val="231F20"/>
        </w:rPr>
        <w:t>NELSON LABORATORIES, LLC</w:t>
      </w:r>
    </w:p>
    <w:p>
      <w:pPr>
        <w:ind w:left="2280"/>
        <w:spacing w:after="0" w:line="205" w:lineRule="auto"/>
        <w:rPr>
          <w:sz w:val="20"/>
          <w:szCs w:val="20"/>
          <w:color w:val="auto"/>
        </w:rPr>
      </w:pPr>
      <w:r>
        <w:rPr>
          <w:rFonts w:ascii="Arial" w:cs="Arial" w:eastAsia="Arial" w:hAnsi="Arial"/>
          <w:sz w:val="19"/>
          <w:szCs w:val="19"/>
          <w:color w:val="231F20"/>
        </w:rPr>
        <w:t>SOTERA HEALTH SERVICES, LLC</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231F20"/>
        </w:rPr>
        <w:t>NELSON LABORATORIES FAIRFIELD, INC.</w:t>
      </w:r>
    </w:p>
    <w:p>
      <w:pPr>
        <w:spacing w:after="0" w:line="236"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10795</wp:posOffset>
            </wp:positionV>
            <wp:extent cx="252412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524125" cy="7620"/>
                    </a:xfrm>
                    <a:prstGeom prst="rect">
                      <a:avLst/>
                    </a:prstGeom>
                    <a:noFill/>
                  </pic:spPr>
                </pic:pic>
              </a:graphicData>
            </a:graphic>
          </wp:anchor>
        </w:drawing>
      </w:r>
    </w:p>
    <w:p>
      <w:pPr>
        <w:spacing w:after="0" w:line="2"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Scott J. Leffler</w:t>
      </w:r>
    </w:p>
    <w:p>
      <w:pPr>
        <w:spacing w:after="0" w:line="20"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color w:val="231F20"/>
        </w:rPr>
        <w:t>Chief Financial Officer and Treasurer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231F20"/>
        </w:rPr>
        <w:t>[</w:t>
      </w:r>
      <w:r>
        <w:rPr>
          <w:rFonts w:ascii="Arial" w:cs="Arial" w:eastAsia="Arial" w:hAnsi="Arial"/>
          <w:sz w:val="15"/>
          <w:szCs w:val="15"/>
          <w:i w:val="1"/>
          <w:iCs w:val="1"/>
          <w:color w:val="231F20"/>
        </w:rPr>
        <w:t>Sotera –Amendment Acknowledgment</w:t>
      </w:r>
      <w:r>
        <w:rPr>
          <w:rFonts w:ascii="Arial" w:cs="Arial" w:eastAsia="Arial" w:hAnsi="Arial"/>
          <w:sz w:val="15"/>
          <w:szCs w:val="15"/>
          <w:color w:val="231F20"/>
        </w:rPr>
        <w:t>]</w:t>
      </w:r>
    </w:p>
    <w:p>
      <w:pPr>
        <w:sectPr>
          <w:pgSz w:w="11900" w:h="16838" w:orient="portrait"/>
          <w:cols w:equalWidth="0" w:num="1">
            <w:col w:w="9019"/>
          </w:cols>
          <w:pgMar w:left="1440" w:top="1440" w:right="1440"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6"/>
          <w:szCs w:val="16"/>
          <w:color w:val="auto"/>
        </w:rPr>
        <w:t>- 3 -</w:t>
      </w:r>
    </w:p>
    <w:p>
      <w:pPr>
        <w:spacing w:after="0" w:line="2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STERIGENICS RADIATION TECHNOLOGIES</w:t>
      </w:r>
    </w:p>
    <w:p>
      <w:pPr>
        <w:ind w:left="2340"/>
        <w:spacing w:after="0" w:line="204" w:lineRule="auto"/>
        <w:rPr>
          <w:sz w:val="20"/>
          <w:szCs w:val="20"/>
          <w:color w:val="auto"/>
        </w:rPr>
      </w:pPr>
      <w:r>
        <w:rPr>
          <w:rFonts w:ascii="Arial" w:cs="Arial" w:eastAsia="Arial" w:hAnsi="Arial"/>
          <w:sz w:val="19"/>
          <w:szCs w:val="19"/>
          <w:color w:val="auto"/>
        </w:rPr>
        <w:t>HOLDINGS, LLC</w:t>
      </w:r>
    </w:p>
    <w:p>
      <w:pPr>
        <w:ind w:left="2340"/>
        <w:spacing w:after="0" w:line="230" w:lineRule="auto"/>
        <w:rPr>
          <w:sz w:val="20"/>
          <w:szCs w:val="20"/>
          <w:color w:val="auto"/>
        </w:rPr>
      </w:pPr>
      <w:r>
        <w:rPr>
          <w:rFonts w:ascii="Arial" w:cs="Arial" w:eastAsia="Arial" w:hAnsi="Arial"/>
          <w:sz w:val="17"/>
          <w:szCs w:val="17"/>
          <w:color w:val="auto"/>
        </w:rPr>
        <w:t>STERIGENICS RADIATION TECHNOLOGIES,</w:t>
      </w:r>
    </w:p>
    <w:p>
      <w:pPr>
        <w:ind w:left="2340"/>
        <w:spacing w:after="0" w:line="204" w:lineRule="auto"/>
        <w:rPr>
          <w:sz w:val="20"/>
          <w:szCs w:val="20"/>
          <w:color w:val="auto"/>
        </w:rPr>
      </w:pPr>
      <w:r>
        <w:rPr>
          <w:rFonts w:ascii="Arial" w:cs="Arial" w:eastAsia="Arial" w:hAnsi="Arial"/>
          <w:sz w:val="19"/>
          <w:szCs w:val="19"/>
          <w:color w:val="auto"/>
        </w:rPr>
        <w:t>LLC</w:t>
      </w:r>
    </w:p>
    <w:p>
      <w:pPr>
        <w:ind w:left="2340"/>
        <w:spacing w:after="0" w:line="217" w:lineRule="auto"/>
        <w:rPr>
          <w:sz w:val="20"/>
          <w:szCs w:val="20"/>
          <w:color w:val="auto"/>
        </w:rPr>
      </w:pPr>
      <w:r>
        <w:rPr>
          <w:rFonts w:ascii="Arial" w:cs="Arial" w:eastAsia="Arial" w:hAnsi="Arial"/>
          <w:sz w:val="18"/>
          <w:szCs w:val="18"/>
          <w:color w:val="auto"/>
        </w:rPr>
        <w:t>STERIGENICS RADIATION TECHNOLOGIES</w:t>
      </w:r>
    </w:p>
    <w:p>
      <w:pPr>
        <w:ind w:left="2340"/>
        <w:spacing w:after="0"/>
        <w:rPr>
          <w:sz w:val="20"/>
          <w:szCs w:val="20"/>
          <w:color w:val="auto"/>
        </w:rPr>
      </w:pPr>
      <w:r>
        <w:rPr>
          <w:rFonts w:ascii="Arial" w:cs="Arial" w:eastAsia="Arial" w:hAnsi="Arial"/>
          <w:sz w:val="19"/>
          <w:szCs w:val="19"/>
          <w:color w:val="auto"/>
        </w:rPr>
        <w:t>IN, INC.</w:t>
      </w:r>
    </w:p>
    <w:p>
      <w:pPr>
        <w:spacing w:after="0" w:line="4"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By: /s/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10795</wp:posOffset>
            </wp:positionV>
            <wp:extent cx="25463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2546350" cy="7620"/>
                    </a:xfrm>
                    <a:prstGeom prst="rect">
                      <a:avLst/>
                    </a:prstGeom>
                    <a:noFill/>
                  </pic:spPr>
                </pic:pic>
              </a:graphicData>
            </a:graphic>
          </wp:anchor>
        </w:drawing>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Name: Matthew D. Shimkus</w:t>
      </w:r>
    </w:p>
    <w:p>
      <w:pPr>
        <w:spacing w:after="0" w:line="20" w:lineRule="exact"/>
        <w:rPr>
          <w:sz w:val="20"/>
          <w:szCs w:val="20"/>
          <w:color w:val="auto"/>
        </w:rPr>
      </w:pPr>
    </w:p>
    <w:p>
      <w:pPr>
        <w:ind w:left="2340"/>
        <w:spacing w:after="0"/>
        <w:tabs>
          <w:tab w:leader="none" w:pos="2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i w:val="1"/>
          <w:iCs w:val="1"/>
          <w:color w:val="231F20"/>
        </w:rPr>
        <w:t>Sotera –Amendment</w:t>
      </w:r>
      <w:r>
        <w:rPr>
          <w:rFonts w:ascii="Arial" w:cs="Arial" w:eastAsia="Arial" w:hAnsi="Arial"/>
          <w:sz w:val="19"/>
          <w:szCs w:val="19"/>
          <w:color w:val="231F20"/>
        </w:rPr>
        <w:t>]</w:t>
      </w:r>
    </w:p>
    <w:p>
      <w:pPr>
        <w:sectPr>
          <w:pgSz w:w="11900" w:h="16838" w:orient="portrait"/>
          <w:cols w:equalWidth="0" w:num="1">
            <w:col w:w="9019"/>
          </w:cols>
          <w:pgMar w:left="1440" w:top="666"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6"/>
          <w:szCs w:val="16"/>
          <w:color w:val="231F20"/>
        </w:rPr>
        <w:t>- 2 -</w:t>
      </w:r>
    </w:p>
    <w:p>
      <w:pPr>
        <w:spacing w:after="0" w:line="202" w:lineRule="exact"/>
        <w:rPr>
          <w:sz w:val="20"/>
          <w:szCs w:val="20"/>
          <w:color w:val="auto"/>
        </w:rPr>
      </w:pPr>
    </w:p>
    <w:p>
      <w:pPr>
        <w:ind w:left="2340"/>
        <w:spacing w:after="0"/>
        <w:rPr>
          <w:sz w:val="20"/>
          <w:szCs w:val="20"/>
          <w:color w:val="auto"/>
        </w:rPr>
      </w:pPr>
      <w:r>
        <w:rPr>
          <w:rFonts w:ascii="Arial" w:cs="Arial" w:eastAsia="Arial" w:hAnsi="Arial"/>
          <w:sz w:val="17"/>
          <w:szCs w:val="17"/>
          <w:color w:val="231F20"/>
        </w:rPr>
        <w:t>NELSON LABORATORIES HOLDINGS, LLC</w:t>
      </w:r>
    </w:p>
    <w:p>
      <w:pPr>
        <w:ind w:left="2340"/>
        <w:spacing w:after="0" w:line="212" w:lineRule="auto"/>
        <w:rPr>
          <w:sz w:val="20"/>
          <w:szCs w:val="20"/>
          <w:color w:val="auto"/>
        </w:rPr>
      </w:pPr>
      <w:r>
        <w:rPr>
          <w:rFonts w:ascii="Arial" w:cs="Arial" w:eastAsia="Arial" w:hAnsi="Arial"/>
          <w:sz w:val="16"/>
          <w:szCs w:val="16"/>
          <w:color w:val="231F20"/>
        </w:rPr>
        <w:t>NELSON LABORATORIES FAIRFIELD HOLDINGS,</w:t>
      </w:r>
    </w:p>
    <w:p>
      <w:pPr>
        <w:ind w:left="2340"/>
        <w:spacing w:after="0" w:line="201" w:lineRule="auto"/>
        <w:rPr>
          <w:sz w:val="20"/>
          <w:szCs w:val="20"/>
          <w:color w:val="auto"/>
        </w:rPr>
      </w:pPr>
      <w:r>
        <w:rPr>
          <w:rFonts w:ascii="Arial" w:cs="Arial" w:eastAsia="Arial" w:hAnsi="Arial"/>
          <w:sz w:val="17"/>
          <w:szCs w:val="17"/>
          <w:color w:val="231F20"/>
        </w:rPr>
        <w:t>LLC</w:t>
      </w:r>
    </w:p>
    <w:p>
      <w:pPr>
        <w:ind w:left="2340"/>
        <w:spacing w:after="0"/>
        <w:rPr>
          <w:sz w:val="20"/>
          <w:szCs w:val="20"/>
          <w:color w:val="auto"/>
        </w:rPr>
      </w:pPr>
      <w:r>
        <w:rPr>
          <w:rFonts w:ascii="Arial" w:cs="Arial" w:eastAsia="Arial" w:hAnsi="Arial"/>
          <w:sz w:val="17"/>
          <w:szCs w:val="17"/>
          <w:color w:val="231F20"/>
        </w:rPr>
        <w:t>BIOSCIENCE LABORATORIES, LLC</w:t>
      </w:r>
    </w:p>
    <w:p>
      <w:pPr>
        <w:spacing w:after="0" w:line="7"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By: /s/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6985</wp:posOffset>
            </wp:positionV>
            <wp:extent cx="25463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2546350" cy="762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9"/>
          <w:szCs w:val="19"/>
          <w:color w:val="auto"/>
        </w:rPr>
        <w:t>Name: Bruce T. Krarup</w:t>
      </w:r>
    </w:p>
    <w:p>
      <w:pPr>
        <w:spacing w:after="0" w:line="20" w:lineRule="exact"/>
        <w:rPr>
          <w:sz w:val="20"/>
          <w:szCs w:val="20"/>
          <w:color w:val="auto"/>
        </w:rPr>
      </w:pPr>
    </w:p>
    <w:p>
      <w:pPr>
        <w:ind w:left="2340"/>
        <w:spacing w:after="0"/>
        <w:tabs>
          <w:tab w:leader="none" w:pos="29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i w:val="1"/>
          <w:iCs w:val="1"/>
          <w:color w:val="231F20"/>
        </w:rPr>
        <w:t>Sotera –Amendment</w:t>
      </w:r>
      <w:r>
        <w:rPr>
          <w:rFonts w:ascii="Arial" w:cs="Arial" w:eastAsia="Arial" w:hAnsi="Arial"/>
          <w:sz w:val="19"/>
          <w:szCs w:val="19"/>
          <w:color w:val="231F20"/>
        </w:rPr>
        <w:t>]</w:t>
      </w:r>
    </w:p>
    <w:p>
      <w:pPr>
        <w:sectPr>
          <w:pgSz w:w="11900" w:h="16838" w:orient="portrait"/>
          <w:cols w:equalWidth="0" w:num="1">
            <w:col w:w="9019"/>
          </w:cols>
          <w:pgMar w:left="1440" w:top="875"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7"/>
          <w:szCs w:val="17"/>
          <w:u w:val="single" w:color="auto"/>
          <w:color w:val="auto"/>
        </w:rPr>
        <w:t>EXHIBIT A</w:t>
      </w:r>
    </w:p>
    <w:p>
      <w:pPr>
        <w:sectPr>
          <w:pgSz w:w="11900" w:h="16838" w:orient="portrait"/>
          <w:cols w:equalWidth="0" w:num="1">
            <w:col w:w="9019"/>
          </w:cols>
          <w:pgMar w:left="1440" w:top="1221" w:right="1440" w:bottom="1440" w:gutter="0" w:footer="0" w:header="0"/>
        </w:sectPr>
      </w:pPr>
    </w:p>
    <w:bookmarkStart w:id="155" w:name="page156"/>
    <w:bookmarkEnd w:id="155"/>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Lender</w:t>
      </w:r>
      <w:r>
        <w:rPr>
          <w:rFonts w:ascii="Arial" w:cs="Arial" w:eastAsia="Arial" w:hAnsi="Arial"/>
          <w:sz w:val="16"/>
          <w:szCs w:val="16"/>
          <w:color w:val="auto"/>
        </w:rPr>
        <w:t>” means any Additional Revolving Lender or any Additional Term Lender, as</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applicable.</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Additional/Replacement Revolving Commitment</w:t>
      </w:r>
      <w:r>
        <w:rPr>
          <w:rFonts w:ascii="Arial" w:cs="Arial" w:eastAsia="Arial" w:hAnsi="Arial"/>
          <w:sz w:val="16"/>
          <w:szCs w:val="16"/>
          <w:color w:val="auto"/>
        </w:rPr>
        <w:t>” has the meaning assigned to such term in</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Section 2.20(a).</w:t>
      </w:r>
    </w:p>
    <w:p>
      <w:pPr>
        <w:spacing w:after="0" w:line="202" w:lineRule="exact"/>
        <w:rPr>
          <w:sz w:val="20"/>
          <w:szCs w:val="20"/>
          <w:color w:val="auto"/>
        </w:rPr>
      </w:pPr>
    </w:p>
    <w:p>
      <w:pPr>
        <w:jc w:val="both"/>
        <w:ind w:left="80" w:firstLine="112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Revolving Lender</w:t>
      </w:r>
      <w:r>
        <w:rPr>
          <w:rFonts w:ascii="Arial" w:cs="Arial" w:eastAsia="Arial" w:hAnsi="Arial"/>
          <w:sz w:val="14"/>
          <w:szCs w:val="14"/>
          <w:color w:val="auto"/>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73" w:lineRule="exact"/>
        <w:rPr>
          <w:sz w:val="20"/>
          <w:szCs w:val="20"/>
          <w:color w:val="auto"/>
        </w:rPr>
      </w:pPr>
    </w:p>
    <w:p>
      <w:pPr>
        <w:jc w:val="both"/>
        <w:ind w:left="80" w:right="20" w:firstLine="1125"/>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Term Lender</w:t>
      </w:r>
      <w:r>
        <w:rPr>
          <w:rFonts w:ascii="Arial" w:cs="Arial" w:eastAsia="Arial" w:hAnsi="Arial"/>
          <w:sz w:val="14"/>
          <w:szCs w:val="14"/>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70" w:lineRule="exact"/>
        <w:rPr>
          <w:sz w:val="20"/>
          <w:szCs w:val="20"/>
          <w:color w:val="auto"/>
        </w:rPr>
      </w:pPr>
    </w:p>
    <w:p>
      <w:pPr>
        <w:jc w:val="both"/>
        <w:ind w:left="80" w:right="40" w:firstLine="1172"/>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BA Rate</w:t>
      </w:r>
      <w:r>
        <w:rPr>
          <w:rFonts w:ascii="Arial" w:cs="Arial" w:eastAsia="Arial" w:hAnsi="Arial"/>
          <w:sz w:val="16"/>
          <w:szCs w:val="16"/>
          <w:color w:val="auto"/>
        </w:rPr>
        <w:t xml:space="preserve">” means, with respect to any Eurodollar Borrowing denominated in Canadian Dollars for any Interest Period, an interest rate per annum equal to (i) the BA Rate for such Interest Period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(ii)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Term Loans only, the Adjusted BA Rate for any Interest Period shall not be less than 1.00% per annum.</w:t>
      </w:r>
    </w:p>
    <w:p>
      <w:pPr>
        <w:spacing w:after="0" w:line="192" w:lineRule="exact"/>
        <w:rPr>
          <w:sz w:val="20"/>
          <w:szCs w:val="20"/>
          <w:color w:val="auto"/>
        </w:rPr>
      </w:pPr>
    </w:p>
    <w:p>
      <w:pPr>
        <w:jc w:val="both"/>
        <w:ind w:right="40" w:firstLine="1259"/>
        <w:spacing w:after="0" w:line="251" w:lineRule="auto"/>
        <w:rPr>
          <w:sz w:val="20"/>
          <w:szCs w:val="20"/>
          <w:color w:val="auto"/>
        </w:rPr>
      </w:pPr>
      <w:r>
        <w:rPr>
          <w:rFonts w:ascii="Arial" w:cs="Arial" w:eastAsia="Arial" w:hAnsi="Arial"/>
          <w:sz w:val="16"/>
          <w:szCs w:val="16"/>
          <w:u w:val="single" w:color="auto"/>
          <w:color w:val="0000FF"/>
        </w:rPr>
        <w:t>“ Adjusted Daily Simple SONIA” means, with respect to any SONIA Borrowing, an interest rate per annum equal to (a) Daily Simple SONIA, plus (b) 0.0326% ; provided that if the Adjusted Daily Simple SONIA Rate as so determined would be less than zero, such rate shall be deemed to be equal to zero for the purposes of this Agreement.</w:t>
      </w:r>
    </w:p>
    <w:p>
      <w:pPr>
        <w:spacing w:after="0" w:line="192"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EURIBOR</w:t>
      </w:r>
      <w:r>
        <w:rPr>
          <w:rFonts w:ascii="Arial" w:cs="Arial" w:eastAsia="Arial" w:hAnsi="Arial"/>
          <w:sz w:val="16"/>
          <w:szCs w:val="16"/>
          <w:color w:val="auto"/>
        </w:rPr>
        <w:t>” means, with respect to any Eurodollar Borrowing denominated in Euros for any Interest Period, an interest rate per annum equal to (a) EURIBOR for such Interest Period multiplied by (b) the Statutory Reserve Rate.</w:t>
      </w:r>
    </w:p>
    <w:p>
      <w:pPr>
        <w:spacing w:after="0" w:line="186" w:lineRule="exact"/>
        <w:rPr>
          <w:sz w:val="20"/>
          <w:szCs w:val="20"/>
          <w:color w:val="auto"/>
        </w:rPr>
      </w:pPr>
    </w:p>
    <w:p>
      <w:pPr>
        <w:ind w:left="80" w:right="40" w:firstLine="112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Eurodollar Borrowing denominated in any Agreed Currency (other than Canadian Dollars or Euros) for any Interest Period, an interest rate per annum equal to</w:t>
      </w:r>
    </w:p>
    <w:p>
      <w:pPr>
        <w:spacing w:after="0" w:line="1" w:lineRule="exact"/>
        <w:rPr>
          <w:sz w:val="20"/>
          <w:szCs w:val="20"/>
          <w:color w:val="auto"/>
        </w:rPr>
      </w:pPr>
    </w:p>
    <w:p>
      <w:pPr>
        <w:ind w:left="80" w:right="140" w:hanging="3"/>
        <w:spacing w:after="0" w:line="246" w:lineRule="auto"/>
        <w:tabs>
          <w:tab w:leader="none" w:pos="5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LIBO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Term Loans only, the Adjusted LIBO Rate for any Interest Period shall not be less than 0.50% per annum.</w:t>
      </w:r>
    </w:p>
    <w:p>
      <w:pPr>
        <w:spacing w:after="0" w:line="19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means an administrative questionnaire in a form supplied by the First Lien Administrative Agent.</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Affected Class</w:t>
      </w:r>
      <w:r>
        <w:rPr>
          <w:rFonts w:ascii="Arial" w:cs="Arial" w:eastAsia="Arial" w:hAnsi="Arial"/>
          <w:sz w:val="16"/>
          <w:szCs w:val="16"/>
          <w:color w:val="auto"/>
        </w:rPr>
        <w:t>” has the meaning specified in Section 2.24(a).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80"/>
          </w:cols>
          <w:pgMar w:left="320" w:top="1178" w:right="399" w:bottom="1440" w:gutter="0" w:footer="0" w:header="0"/>
        </w:sectPr>
      </w:pPr>
    </w:p>
    <w:bookmarkStart w:id="156" w:name="page157"/>
    <w:bookmarkEnd w:id="156"/>
    <w:p>
      <w:pPr>
        <w:ind w:right="20"/>
        <w:spacing w:after="0" w:line="259" w:lineRule="auto"/>
        <w:rPr>
          <w:sz w:val="20"/>
          <w:szCs w:val="20"/>
          <w:color w:val="auto"/>
        </w:rPr>
      </w:pPr>
      <w:r>
        <w:rPr>
          <w:rFonts w:ascii="Arial" w:cs="Arial" w:eastAsia="Arial" w:hAnsi="Arial"/>
          <w:sz w:val="16"/>
          <w:szCs w:val="16"/>
          <w:color w:val="auto"/>
        </w:rPr>
        <w:t>ceases to provide such rate of exchange, the equivalent of such amount in Dollars as determined by the First Lien Administrative Agent using any method of determination it deems appropriate in its sole discretion).</w:t>
      </w:r>
    </w:p>
    <w:p>
      <w:pPr>
        <w:spacing w:after="0" w:line="186" w:lineRule="exact"/>
        <w:rPr>
          <w:sz w:val="20"/>
          <w:szCs w:val="20"/>
          <w:color w:val="auto"/>
        </w:rPr>
      </w:pPr>
    </w:p>
    <w:p>
      <w:pPr>
        <w:jc w:val="both"/>
        <w:ind w:left="80" w:right="20" w:firstLine="112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Account</w:t>
      </w:r>
      <w:r>
        <w:rPr>
          <w:rFonts w:ascii="Arial" w:cs="Arial" w:eastAsia="Arial" w:hAnsi="Arial"/>
          <w:sz w:val="16"/>
          <w:szCs w:val="16"/>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 w:lineRule="exact"/>
        <w:rPr>
          <w:sz w:val="20"/>
          <w:szCs w:val="20"/>
          <w:color w:val="auto"/>
        </w:rPr>
      </w:pPr>
    </w:p>
    <w:p>
      <w:pPr>
        <w:ind w:left="1200" w:right="140"/>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Discount</w:t>
      </w:r>
      <w:r>
        <w:rPr>
          <w:rFonts w:ascii="Arial" w:cs="Arial" w:eastAsia="Arial" w:hAnsi="Arial"/>
          <w:sz w:val="16"/>
          <w:szCs w:val="16"/>
          <w:color w:val="auto"/>
        </w:rPr>
        <w:t>” has the meaning assigned to such term in Section 2.11(a)(ii)(C)(2). “</w:t>
      </w:r>
      <w:r>
        <w:rPr>
          <w:rFonts w:ascii="Arial" w:cs="Arial" w:eastAsia="Arial" w:hAnsi="Arial"/>
          <w:sz w:val="16"/>
          <w:szCs w:val="16"/>
          <w:u w:val="single" w:color="auto"/>
          <w:color w:val="auto"/>
        </w:rPr>
        <w:t>Applicable Fronting Exposure</w:t>
      </w:r>
      <w:r>
        <w:rPr>
          <w:rFonts w:ascii="Arial" w:cs="Arial" w:eastAsia="Arial" w:hAnsi="Arial"/>
          <w:sz w:val="16"/>
          <w:szCs w:val="16"/>
          <w:color w:val="auto"/>
        </w:rPr>
        <w:t>” means, with respect to any Person that is an Issuing Bank or the</w:t>
      </w:r>
    </w:p>
    <w:p>
      <w:pPr>
        <w:jc w:val="both"/>
        <w:ind w:left="80" w:right="20"/>
        <w:spacing w:after="0" w:line="244" w:lineRule="auto"/>
        <w:rPr>
          <w:sz w:val="20"/>
          <w:szCs w:val="20"/>
          <w:color w:val="auto"/>
        </w:rPr>
      </w:pPr>
      <w:r>
        <w:rPr>
          <w:rFonts w:ascii="Arial" w:cs="Arial" w:eastAsia="Arial" w:hAnsi="Arial"/>
          <w:sz w:val="16"/>
          <w:szCs w:val="16"/>
          <w:color w:val="auto"/>
        </w:rPr>
        <w:t>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98" w:lineRule="exact"/>
        <w:rPr>
          <w:sz w:val="20"/>
          <w:szCs w:val="20"/>
          <w:color w:val="auto"/>
        </w:rPr>
      </w:pPr>
    </w:p>
    <w:p>
      <w:pPr>
        <w:jc w:val="both"/>
        <w:ind w:left="80" w:firstLine="1164"/>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Percentage</w:t>
      </w:r>
      <w:r>
        <w:rPr>
          <w:rFonts w:ascii="Arial" w:cs="Arial" w:eastAsia="Arial" w:hAnsi="Arial"/>
          <w:sz w:val="14"/>
          <w:szCs w:val="14"/>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73" w:lineRule="exact"/>
        <w:rPr>
          <w:sz w:val="20"/>
          <w:szCs w:val="20"/>
          <w:color w:val="auto"/>
        </w:rPr>
      </w:pPr>
    </w:p>
    <w:p>
      <w:pPr>
        <w:ind w:left="80" w:right="120" w:firstLine="112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w:t>
      </w:r>
      <w:r>
        <w:rPr>
          <w:rFonts w:ascii="Arial" w:cs="Arial" w:eastAsia="Arial" w:hAnsi="Arial"/>
          <w:sz w:val="16"/>
          <w:szCs w:val="16"/>
          <w:u w:val="single" w:color="auto"/>
          <w:color w:val="0000FF"/>
        </w:rPr>
        <w:t>SONIA Loan, Adjusted Daily Simple SONIA plus 2.75% per annum and (b) with respect to any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 other than a SONIA</w:t>
      </w:r>
      <w:r>
        <w:rPr>
          <w:rFonts w:ascii="Arial" w:cs="Arial" w:eastAsia="Arial" w:hAnsi="Arial"/>
          <w:sz w:val="16"/>
          <w:szCs w:val="16"/>
          <w:color w:val="0000FF"/>
        </w:rPr>
        <w:t xml:space="preserve"> </w:t>
      </w:r>
      <w:r>
        <w:rPr>
          <w:rFonts w:ascii="Arial" w:cs="Arial" w:eastAsia="Arial" w:hAnsi="Arial"/>
          <w:sz w:val="16"/>
          <w:szCs w:val="16"/>
          <w:color w:val="000000"/>
        </w:rPr>
        <w:t>Loan, (i) ABR plus 1.75% per annum, in the case of an ABR Loan,</w:t>
      </w:r>
      <w:r>
        <w:rPr>
          <w:rFonts w:ascii="Arial" w:cs="Arial" w:eastAsia="Arial" w:hAnsi="Arial"/>
          <w:sz w:val="16"/>
          <w:szCs w:val="16"/>
          <w:color w:val="0000FF"/>
        </w:rPr>
        <w:t xml:space="preserve"> </w:t>
      </w:r>
      <w:r>
        <w:rPr>
          <w:rFonts w:ascii="Arial" w:cs="Arial" w:eastAsia="Arial" w:hAnsi="Arial"/>
          <w:sz w:val="16"/>
          <w:szCs w:val="16"/>
          <w:color w:val="FF0000"/>
          <w:strike w:val="1"/>
        </w:rPr>
        <w:t>or</w:t>
      </w:r>
      <w:r>
        <w:rPr>
          <w:rFonts w:ascii="Arial" w:cs="Arial" w:eastAsia="Arial" w:hAnsi="Arial"/>
          <w:sz w:val="16"/>
          <w:szCs w:val="16"/>
          <w:color w:val="0000FF"/>
        </w:rPr>
        <w:t xml:space="preserve"> </w:t>
      </w:r>
      <w:r>
        <w:rPr>
          <w:rFonts w:ascii="Arial" w:cs="Arial" w:eastAsia="Arial" w:hAnsi="Arial"/>
          <w:sz w:val="16"/>
          <w:szCs w:val="16"/>
          <w:color w:val="000000"/>
        </w:rPr>
        <w:t>(ii) the Adjusted LIBO Rate plus 2.75% per annum, in the case of a Eurodollar</w:t>
      </w:r>
      <w:r>
        <w:rPr>
          <w:rFonts w:ascii="Arial" w:cs="Arial" w:eastAsia="Arial" w:hAnsi="Arial"/>
          <w:sz w:val="16"/>
          <w:szCs w:val="16"/>
          <w:color w:val="0000FF"/>
        </w:rPr>
        <w:t xml:space="preserve"> </w:t>
      </w:r>
      <w:r>
        <w:rPr>
          <w:rFonts w:ascii="Arial" w:cs="Arial" w:eastAsia="Arial" w:hAnsi="Arial"/>
          <w:sz w:val="16"/>
          <w:szCs w:val="16"/>
          <w:color w:val="000000"/>
        </w:rPr>
        <w:t xml:space="preserve">Loan </w:t>
      </w:r>
      <w:r>
        <w:rPr>
          <w:rFonts w:ascii="Arial" w:cs="Arial" w:eastAsia="Arial" w:hAnsi="Arial"/>
          <w:sz w:val="16"/>
          <w:szCs w:val="16"/>
          <w:u w:val="single" w:color="auto"/>
          <w:color w:val="0000FF"/>
        </w:rPr>
        <w:t>denominated in Dollars, (iii) the Adjusted EURIBOR Rate plus 2.75% per annum in the case of a Eurodollar Loan denominated in Euros and (iv) the Adjusted BA Rate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plus 2.75% in the case of a Eurodollar Loan denominated in Canadian Dollars</w:t>
      </w:r>
      <w:r>
        <w:rPr>
          <w:rFonts w:ascii="Arial" w:cs="Arial" w:eastAsia="Arial" w:hAnsi="Arial"/>
          <w:sz w:val="16"/>
          <w:szCs w:val="16"/>
          <w:color w:val="000000"/>
        </w:rPr>
        <w: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Bank</w:t>
      </w:r>
      <w:r>
        <w:rPr>
          <w:rFonts w:ascii="Arial" w:cs="Arial" w:eastAsia="Arial" w:hAnsi="Arial"/>
          <w:sz w:val="16"/>
          <w:szCs w:val="16"/>
          <w:color w:val="auto"/>
        </w:rPr>
        <w:t>” has the meaning assigned to such term in the definition of the term “Permitted</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Investments.”</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has the meaning assigned to such term in the definition of “Permitted</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Investments.”</w:t>
      </w:r>
    </w:p>
    <w:p>
      <w:pPr>
        <w:spacing w:after="0" w:line="202" w:lineRule="exact"/>
        <w:rPr>
          <w:sz w:val="20"/>
          <w:szCs w:val="20"/>
          <w:color w:val="auto"/>
        </w:rPr>
      </w:pPr>
    </w:p>
    <w:p>
      <w:pPr>
        <w:jc w:val="both"/>
        <w:ind w:left="80"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92" w:lineRule="exact"/>
        <w:rPr>
          <w:sz w:val="20"/>
          <w:szCs w:val="20"/>
          <w:color w:val="auto"/>
        </w:rPr>
      </w:pPr>
    </w:p>
    <w:p>
      <w:pPr>
        <w:jc w:val="both"/>
        <w:ind w:left="80" w:right="20" w:firstLine="1125"/>
        <w:spacing w:after="0" w:line="3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40" w:lineRule="exact"/>
        <w:rPr>
          <w:sz w:val="20"/>
          <w:szCs w:val="20"/>
          <w:color w:val="auto"/>
        </w:rPr>
      </w:pPr>
    </w:p>
    <w:p>
      <w:pPr>
        <w:jc w:val="both"/>
        <w:ind w:left="80" w:firstLine="1125"/>
        <w:spacing w:after="0" w:line="3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Auction Agent</w:t>
      </w:r>
      <w:r>
        <w:rPr>
          <w:rFonts w:ascii="Arial" w:cs="Arial" w:eastAsia="Arial" w:hAnsi="Arial"/>
          <w:sz w:val="14"/>
          <w:szCs w:val="14"/>
          <w:color w:val="auto"/>
        </w:rPr>
        <w:t>”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320" w:top="1178" w:right="419" w:bottom="1440" w:gutter="0" w:footer="0" w:header="0"/>
        </w:sectPr>
      </w:pPr>
    </w:p>
    <w:bookmarkStart w:id="157" w:name="page158"/>
    <w:bookmarkEnd w:id="157"/>
    <w:p>
      <w:pPr>
        <w:jc w:val="both"/>
        <w:ind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Solicitation of Discount Range Prepayment Offers</w:t>
      </w:r>
      <w:r>
        <w:rPr>
          <w:rFonts w:ascii="Arial" w:cs="Arial" w:eastAsia="Arial" w:hAnsi="Arial"/>
          <w:sz w:val="16"/>
          <w:szCs w:val="16"/>
          <w:color w:val="auto"/>
        </w:rPr>
        <w:t>” means the solicitation by the Borrower of offers for, and the corresponding acceptance by a Term Lender of, a voluntary prepayment of Term Loans at a specified range at a discount to par pursuant to Section 2.11(a)(ii)(C).</w:t>
      </w:r>
    </w:p>
    <w:p>
      <w:pPr>
        <w:spacing w:after="0" w:line="186" w:lineRule="exact"/>
        <w:rPr>
          <w:sz w:val="20"/>
          <w:szCs w:val="20"/>
          <w:color w:val="auto"/>
        </w:rPr>
      </w:pPr>
    </w:p>
    <w:p>
      <w:pPr>
        <w:jc w:val="both"/>
        <w:ind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Solicitation of Discounted Prepayment Offers</w:t>
      </w:r>
      <w:r>
        <w:rPr>
          <w:rFonts w:ascii="Arial" w:cs="Arial" w:eastAsia="Arial" w:hAnsi="Arial"/>
          <w:sz w:val="16"/>
          <w:szCs w:val="16"/>
          <w:color w:val="auto"/>
        </w:rPr>
        <w:t>” means the solicitation by the Borrower of offers for, and the subsequent acceptance, if any, by a Term Lender of, a voluntary prepayment of Term Loans at a discount to par pursuant to Section 2.11(a)(ii)(D).</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w:t>
      </w:r>
      <w:r>
        <w:rPr>
          <w:rFonts w:ascii="Arial" w:cs="Arial" w:eastAsia="Arial" w:hAnsi="Arial"/>
          <w:sz w:val="14"/>
          <w:szCs w:val="14"/>
          <w:color w:val="auto"/>
        </w:rPr>
        <w:t>” means (a) Loans of the same Class, Type and currency, made, converted or continued on the same date and, in the case of Eurodollar Loans,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 which a single Interest Period is in effect, or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 a Swingline Loan.</w:t>
      </w:r>
    </w:p>
    <w:p>
      <w:pPr>
        <w:spacing w:after="0" w:line="202" w:lineRule="exact"/>
        <w:rPr>
          <w:sz w:val="20"/>
          <w:szCs w:val="20"/>
          <w:color w:val="auto"/>
        </w:rPr>
      </w:pPr>
    </w:p>
    <w:p>
      <w:pPr>
        <w:jc w:val="both"/>
        <w:ind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Minimum</w:t>
      </w:r>
      <w:r>
        <w:rPr>
          <w:rFonts w:ascii="Arial" w:cs="Arial" w:eastAsia="Arial" w:hAnsi="Arial"/>
          <w:sz w:val="16"/>
          <w:szCs w:val="16"/>
          <w:color w:val="auto"/>
        </w:rPr>
        <w:t xml:space="preserve">” means (a) in the case of a Eurodollar </w:t>
      </w:r>
      <w:r>
        <w:rPr>
          <w:rFonts w:ascii="Arial" w:cs="Arial" w:eastAsia="Arial" w:hAnsi="Arial"/>
          <w:sz w:val="16"/>
          <w:szCs w:val="16"/>
          <w:u w:val="single" w:color="auto"/>
          <w:color w:val="0000FF"/>
        </w:rPr>
        <w:t>Revolving Borrowing or SONIA</w:t>
      </w:r>
      <w:r>
        <w:rPr>
          <w:rFonts w:ascii="Arial" w:cs="Arial" w:eastAsia="Arial" w:hAnsi="Arial"/>
          <w:sz w:val="16"/>
          <w:szCs w:val="16"/>
          <w:color w:val="auto"/>
        </w:rPr>
        <w:t xml:space="preserve"> Revolving Borrowing, $1,000,000, (b) in the case of an ABR Revolving Borrowing, $500,000 and (c) in the case of a Swingline Loan, $100,000.</w:t>
      </w:r>
    </w:p>
    <w:p>
      <w:pPr>
        <w:spacing w:after="0" w:line="186" w:lineRule="exact"/>
        <w:rPr>
          <w:sz w:val="20"/>
          <w:szCs w:val="20"/>
          <w:color w:val="auto"/>
        </w:rPr>
      </w:pPr>
    </w:p>
    <w:p>
      <w:pPr>
        <w:jc w:val="both"/>
        <w:ind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Multiple</w:t>
      </w:r>
      <w:r>
        <w:rPr>
          <w:rFonts w:ascii="Arial" w:cs="Arial" w:eastAsia="Arial" w:hAnsi="Arial"/>
          <w:sz w:val="16"/>
          <w:szCs w:val="16"/>
          <w:color w:val="auto"/>
        </w:rPr>
        <w:t xml:space="preserve">” means (a) in the case of a Eurodollar </w:t>
      </w:r>
      <w:r>
        <w:rPr>
          <w:rFonts w:ascii="Arial" w:cs="Arial" w:eastAsia="Arial" w:hAnsi="Arial"/>
          <w:sz w:val="16"/>
          <w:szCs w:val="16"/>
          <w:u w:val="single" w:color="auto"/>
          <w:color w:val="0000FF"/>
        </w:rPr>
        <w:t>Revolving Borrowing or SONIA</w:t>
      </w:r>
      <w:r>
        <w:rPr>
          <w:rFonts w:ascii="Arial" w:cs="Arial" w:eastAsia="Arial" w:hAnsi="Arial"/>
          <w:sz w:val="16"/>
          <w:szCs w:val="16"/>
          <w:color w:val="auto"/>
        </w:rPr>
        <w:t xml:space="preserve"> Revolving Borrowing, $1,000,000, (b) in the case of an ABR Revolving Borrowing, $500,000 and (c) in the case of a Swingline Loan, $100,000.</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means a request by the Borrower for a Borrowing in accordance with</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Section 2.03.</w:t>
      </w:r>
    </w:p>
    <w:p>
      <w:pPr>
        <w:spacing w:after="0" w:line="202" w:lineRule="exact"/>
        <w:rPr>
          <w:sz w:val="20"/>
          <w:szCs w:val="20"/>
          <w:color w:val="auto"/>
        </w:rPr>
      </w:pPr>
    </w:p>
    <w:p>
      <w:pPr>
        <w:jc w:val="both"/>
        <w:ind w:firstLine="1125"/>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xml:space="preserve">” means (i) subject to clauses (ii) </w:t>
      </w:r>
      <w:r>
        <w:rPr>
          <w:rFonts w:ascii="Arial" w:cs="Arial" w:eastAsia="Arial" w:hAnsi="Arial"/>
          <w:sz w:val="14"/>
          <w:szCs w:val="14"/>
          <w:color w:val="FF0000"/>
        </w:rPr>
        <w:t>and</w:t>
      </w:r>
      <w:r>
        <w:rPr>
          <w:rFonts w:ascii="Arial" w:cs="Arial" w:eastAsia="Arial" w:hAnsi="Arial"/>
          <w:sz w:val="14"/>
          <w:szCs w:val="14"/>
          <w:color w:val="0000FF"/>
        </w:rPr>
        <w:t>,</w:t>
      </w:r>
      <w:r>
        <w:rPr>
          <w:rFonts w:ascii="Arial" w:cs="Arial" w:eastAsia="Arial" w:hAnsi="Arial"/>
          <w:sz w:val="14"/>
          <w:szCs w:val="14"/>
          <w:color w:val="auto"/>
        </w:rPr>
        <w:t xml:space="preserve"> (iii</w:t>
      </w:r>
      <w:r>
        <w:rPr>
          <w:rFonts w:ascii="Arial" w:cs="Arial" w:eastAsia="Arial" w:hAnsi="Arial"/>
          <w:sz w:val="14"/>
          <w:szCs w:val="14"/>
          <w:u w:val="single" w:color="auto"/>
          <w:color w:val="0000FF"/>
        </w:rPr>
        <w:t>) and (iv</w:t>
      </w:r>
      <w:r>
        <w:rPr>
          <w:rFonts w:ascii="Arial" w:cs="Arial" w:eastAsia="Arial" w:hAnsi="Arial"/>
          <w:sz w:val="14"/>
          <w:szCs w:val="14"/>
          <w:color w:val="auto"/>
        </w:rPr>
        <w:t xml:space="preserve">)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w:t>
      </w:r>
      <w:r>
        <w:rPr>
          <w:rFonts w:ascii="Arial" w:cs="Arial" w:eastAsia="Arial" w:hAnsi="Arial"/>
          <w:sz w:val="14"/>
          <w:szCs w:val="14"/>
          <w:color w:val="FF0000"/>
        </w:rPr>
        <w:t>or Sterling</w:t>
      </w:r>
      <w:r>
        <w:rPr>
          <w:rFonts w:ascii="Arial" w:cs="Arial" w:eastAsia="Arial" w:hAnsi="Arial"/>
          <w:sz w:val="14"/>
          <w:szCs w:val="14"/>
          <w:color w:val="auto"/>
        </w:rPr>
        <w:t xml:space="preserve">, any day that is a Business Day described in clause (i) and that is also (a) a day for trading by and between banks in the London interbank market and which shall not be a legal holiday or a day on which banking institutions are authorized or required by Requirements of Law or other government action to remain closed in London, England and (b) in relation to any payment in Euros, a TARGET Day </w:t>
      </w:r>
      <w:r>
        <w:rPr>
          <w:rFonts w:ascii="Arial" w:cs="Arial" w:eastAsia="Arial" w:hAnsi="Arial"/>
          <w:sz w:val="14"/>
          <w:szCs w:val="14"/>
          <w:color w:val="FF0000"/>
        </w:rPr>
        <w:t>and</w:t>
      </w:r>
      <w:r>
        <w:rPr>
          <w:rFonts w:ascii="Arial" w:cs="Arial" w:eastAsia="Arial" w:hAnsi="Arial"/>
          <w:sz w:val="14"/>
          <w:szCs w:val="14"/>
          <w:color w:val="0000FF"/>
        </w:rPr>
        <w:t>,</w:t>
      </w:r>
      <w:r>
        <w:rPr>
          <w:rFonts w:ascii="Arial" w:cs="Arial" w:eastAsia="Arial" w:hAnsi="Arial"/>
          <w:sz w:val="14"/>
          <w:szCs w:val="14"/>
          <w:color w:val="auto"/>
        </w:rPr>
        <w:t xml:space="preserve"> (iii</w:t>
      </w:r>
      <w:r>
        <w:rPr>
          <w:rFonts w:ascii="Arial" w:cs="Arial" w:eastAsia="Arial" w:hAnsi="Arial"/>
          <w:sz w:val="14"/>
          <w:szCs w:val="14"/>
          <w:u w:val="single" w:color="auto"/>
          <w:color w:val="0000FF"/>
        </w:rPr>
        <w:t>) with respect to all notices and</w:t>
      </w:r>
      <w:r>
        <w:rPr>
          <w:rFonts w:ascii="Arial" w:cs="Arial" w:eastAsia="Arial" w:hAnsi="Arial"/>
          <w:sz w:val="14"/>
          <w:szCs w:val="14"/>
          <w:color w:val="auto"/>
        </w:rPr>
        <w:t xml:space="preserve"> </w:t>
      </w:r>
      <w:r>
        <w:rPr>
          <w:rFonts w:ascii="Arial" w:cs="Arial" w:eastAsia="Arial" w:hAnsi="Arial"/>
          <w:sz w:val="14"/>
          <w:szCs w:val="14"/>
          <w:u w:val="single" w:color="auto"/>
          <w:color w:val="0000FF"/>
        </w:rPr>
        <w:t>determinations in connection with, and payments of pr incipal and interest on or with respect to, SONIA Loans, any day that is only a SONIA Business Day, and (iv</w:t>
      </w:r>
      <w:r>
        <w:rPr>
          <w:rFonts w:ascii="Arial" w:cs="Arial" w:eastAsia="Arial" w:hAnsi="Arial"/>
          <w:sz w:val="14"/>
          <w:szCs w:val="14"/>
          <w:color w:val="000000"/>
        </w:rPr>
        <w:t>) with respect</w:t>
      </w:r>
      <w:r>
        <w:rPr>
          <w:rFonts w:ascii="Arial" w:cs="Arial" w:eastAsia="Arial" w:hAnsi="Arial"/>
          <w:sz w:val="14"/>
          <w:szCs w:val="14"/>
          <w:color w:val="0000FF"/>
        </w:rPr>
        <w:t xml:space="preserve"> </w:t>
      </w:r>
      <w:r>
        <w:rPr>
          <w:rFonts w:ascii="Arial" w:cs="Arial" w:eastAsia="Arial" w:hAnsi="Arial"/>
          <w:sz w:val="14"/>
          <w:szCs w:val="14"/>
          <w:color w:val="000000"/>
        </w:rPr>
        <w:t>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-1022350</wp:posOffset>
            </wp:positionV>
            <wp:extent cx="16700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167005" cy="762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-785495</wp:posOffset>
            </wp:positionV>
            <wp:extent cx="44386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443865" cy="7620"/>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-548640</wp:posOffset>
            </wp:positionV>
            <wp:extent cx="17462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74625" cy="7620"/>
                    </a:xfrm>
                    <a:prstGeom prst="rect">
                      <a:avLst/>
                    </a:prstGeom>
                    <a:noFill/>
                  </pic:spPr>
                </pic:pic>
              </a:graphicData>
            </a:graphic>
          </wp:anchor>
        </w:drawing>
      </w:r>
    </w:p>
    <w:p>
      <w:pPr>
        <w:spacing w:after="0" w:line="154" w:lineRule="exact"/>
        <w:rPr>
          <w:sz w:val="20"/>
          <w:szCs w:val="20"/>
          <w:color w:val="auto"/>
        </w:rPr>
      </w:pPr>
    </w:p>
    <w:p>
      <w:pPr>
        <w:jc w:val="both"/>
        <w:ind w:firstLine="112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w:t>
      </w:r>
      <w:r>
        <w:rPr>
          <w:rFonts w:ascii="Arial" w:cs="Arial" w:eastAsia="Arial" w:hAnsi="Arial"/>
          <w:sz w:val="16"/>
          <w:szCs w:val="16"/>
          <w:color w:val="auto"/>
        </w:rPr>
        <w:t>”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BA Rate, plus 1.00% per annum, adjusted automatically with each quoted, published or displayed change in such rate, all without necessity of any notice to the Borrower or any other Person.</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Dollars</w:t>
      </w:r>
      <w:r>
        <w:rPr>
          <w:rFonts w:ascii="Arial" w:cs="Arial" w:eastAsia="Arial" w:hAnsi="Arial"/>
          <w:sz w:val="16"/>
          <w:szCs w:val="16"/>
          <w:color w:val="auto"/>
        </w:rPr>
        <w:t>” means the lawful money of Canada.</w:t>
      </w:r>
    </w:p>
    <w:p>
      <w:pPr>
        <w:spacing w:after="0" w:line="212" w:lineRule="exact"/>
        <w:rPr>
          <w:sz w:val="20"/>
          <w:szCs w:val="20"/>
          <w:color w:val="auto"/>
        </w:rPr>
      </w:pPr>
    </w:p>
    <w:p>
      <w:pPr>
        <w:jc w:val="both"/>
        <w:ind w:firstLine="1125"/>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60"/>
          </w:cols>
          <w:pgMar w:left="400" w:top="1178" w:right="439" w:bottom="1440" w:gutter="0" w:footer="0" w:header="0"/>
        </w:sectPr>
      </w:pPr>
    </w:p>
    <w:bookmarkStart w:id="158" w:name="page159"/>
    <w:bookmarkEnd w:id="158"/>
    <w:p>
      <w:pPr>
        <w:jc w:val="both"/>
        <w:ind w:left="7" w:right="20"/>
        <w:spacing w:after="0" w:line="281" w:lineRule="auto"/>
        <w:rPr>
          <w:sz w:val="20"/>
          <w:szCs w:val="20"/>
          <w:color w:val="auto"/>
        </w:rPr>
      </w:pPr>
      <w:r>
        <w:rPr>
          <w:rFonts w:ascii="Arial" w:cs="Arial" w:eastAsia="Arial" w:hAnsi="Arial"/>
          <w:sz w:val="14"/>
          <w:szCs w:val="14"/>
          <w:color w:val="auto"/>
        </w:rPr>
        <w:t>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w:t>
      </w:r>
    </w:p>
    <w:p>
      <w:pPr>
        <w:jc w:val="both"/>
        <w:ind w:left="7" w:right="20" w:hanging="7"/>
        <w:spacing w:after="0" w:line="283" w:lineRule="auto"/>
        <w:tabs>
          <w:tab w:leader="none" w:pos="283"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only applicable after the Latest Maturity Date at the time of such refinancing);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173" w:lineRule="exact"/>
        <w:rPr>
          <w:sz w:val="20"/>
          <w:szCs w:val="20"/>
          <w:color w:val="auto"/>
        </w:rPr>
      </w:pPr>
    </w:p>
    <w:p>
      <w:pPr>
        <w:ind w:left="1207" w:right="1920"/>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Cure Amount</w:t>
      </w:r>
      <w:r>
        <w:rPr>
          <w:rFonts w:ascii="Arial" w:cs="Arial" w:eastAsia="Arial" w:hAnsi="Arial"/>
          <w:sz w:val="16"/>
          <w:szCs w:val="16"/>
          <w:color w:val="auto"/>
        </w:rPr>
        <w:t>” has the meaning assigned to such term in Section 7.02(a). “</w:t>
      </w:r>
      <w:r>
        <w:rPr>
          <w:rFonts w:ascii="Arial" w:cs="Arial" w:eastAsia="Arial" w:hAnsi="Arial"/>
          <w:sz w:val="16"/>
          <w:szCs w:val="16"/>
          <w:u w:val="single" w:color="auto"/>
          <w:color w:val="auto"/>
        </w:rPr>
        <w:t>Cure Right</w:t>
      </w:r>
      <w:r>
        <w:rPr>
          <w:rFonts w:ascii="Arial" w:cs="Arial" w:eastAsia="Arial" w:hAnsi="Arial"/>
          <w:sz w:val="16"/>
          <w:szCs w:val="16"/>
          <w:color w:val="auto"/>
        </w:rPr>
        <w:t>” has the meaning assigned to such term in Section 7.02(a).</w:t>
      </w:r>
    </w:p>
    <w:p>
      <w:pPr>
        <w:spacing w:after="0" w:line="1" w:lineRule="exact"/>
        <w:rPr>
          <w:sz w:val="20"/>
          <w:szCs w:val="20"/>
          <w:color w:val="auto"/>
        </w:rPr>
      </w:pPr>
    </w:p>
    <w:p>
      <w:pPr>
        <w:jc w:val="both"/>
        <w:ind w:left="87" w:firstLine="1125"/>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Customary Intercreditor Agreement</w:t>
      </w:r>
      <w:r>
        <w:rPr>
          <w:rFonts w:ascii="Arial" w:cs="Arial" w:eastAsia="Arial" w:hAnsi="Arial"/>
          <w:sz w:val="14"/>
          <w:szCs w:val="14"/>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80" w:lineRule="exact"/>
        <w:rPr>
          <w:sz w:val="20"/>
          <w:szCs w:val="20"/>
          <w:color w:val="auto"/>
        </w:rPr>
      </w:pPr>
    </w:p>
    <w:p>
      <w:pPr>
        <w:jc w:val="both"/>
        <w:ind w:left="87" w:right="20" w:firstLine="112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First Lien Administrative Agent decides that any such convention is not administratively feasible for the First Lien Administrative Agent, then the First Lien Administrative Agent may establish another convention in its reasonable discretion.</w:t>
      </w:r>
    </w:p>
    <w:p>
      <w:pPr>
        <w:spacing w:after="0" w:line="195" w:lineRule="exact"/>
        <w:rPr>
          <w:sz w:val="20"/>
          <w:szCs w:val="20"/>
          <w:color w:val="auto"/>
        </w:rPr>
      </w:pPr>
    </w:p>
    <w:p>
      <w:pPr>
        <w:ind w:left="7" w:right="40" w:firstLine="1189"/>
        <w:spacing w:after="0" w:line="259" w:lineRule="auto"/>
        <w:rPr>
          <w:sz w:val="20"/>
          <w:szCs w:val="20"/>
          <w:color w:val="auto"/>
        </w:rPr>
      </w:pPr>
      <w:r>
        <w:rPr>
          <w:rFonts w:ascii="Arial" w:cs="Arial" w:eastAsia="Arial" w:hAnsi="Arial"/>
          <w:sz w:val="16"/>
          <w:szCs w:val="16"/>
          <w:u w:val="single" w:color="auto"/>
          <w:color w:val="0000FF"/>
        </w:rPr>
        <w:t>“ Daily Simple SONIA” means, for any day (a “ SONIA Interest Day”), an interest rate per annum equal to SONIA for the day that is five SONIA Business Days pr ior to (a) if such SONIA Interest Day</w:t>
      </w:r>
    </w:p>
    <w:p>
      <w:pPr>
        <w:spacing w:after="0" w:line="53" w:lineRule="exact"/>
        <w:rPr>
          <w:sz w:val="20"/>
          <w:szCs w:val="20"/>
          <w:color w:val="auto"/>
        </w:rPr>
      </w:pPr>
    </w:p>
    <w:p>
      <w:pPr>
        <w:jc w:val="center"/>
        <w:ind w:right="-86"/>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187"/>
          </w:cols>
          <w:pgMar w:left="313" w:top="1178" w:right="399" w:bottom="1440" w:gutter="0" w:footer="0" w:header="0"/>
        </w:sectPr>
      </w:pPr>
    </w:p>
    <w:bookmarkStart w:id="159" w:name="page160"/>
    <w:bookmarkEnd w:id="159"/>
    <w:p>
      <w:pPr>
        <w:ind w:left="80" w:right="320"/>
        <w:spacing w:after="0" w:line="259" w:lineRule="auto"/>
        <w:rPr>
          <w:sz w:val="20"/>
          <w:szCs w:val="20"/>
          <w:color w:val="auto"/>
        </w:rPr>
      </w:pPr>
      <w:r>
        <w:rPr>
          <w:rFonts w:ascii="Arial" w:cs="Arial" w:eastAsia="Arial" w:hAnsi="Arial"/>
          <w:sz w:val="16"/>
          <w:szCs w:val="16"/>
          <w:u w:val="single" w:color="auto"/>
          <w:color w:val="0000FF"/>
        </w:rPr>
        <w:t>is a SONIA Business Day, such SONIA Interest Day or (b) if such SONIA Interest Day is not a SONIA Business Day, the SONIA Business Day immediately preceding such SONIA Interest Day.</w:t>
      </w:r>
    </w:p>
    <w:p>
      <w:pPr>
        <w:spacing w:after="0" w:line="186" w:lineRule="exact"/>
        <w:rPr>
          <w:sz w:val="20"/>
          <w:szCs w:val="20"/>
          <w:color w:val="auto"/>
        </w:rPr>
      </w:pPr>
    </w:p>
    <w:p>
      <w:pPr>
        <w:jc w:val="both"/>
        <w:ind w:right="160" w:firstLine="1189"/>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92"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or condition that constitutes an Event of Default or that upon notice, lapse of time or both would, unless cured or waived, become an Event of Default.</w:t>
      </w:r>
    </w:p>
    <w:p>
      <w:pPr>
        <w:spacing w:after="0" w:line="186" w:lineRule="exact"/>
        <w:rPr>
          <w:sz w:val="20"/>
          <w:szCs w:val="20"/>
          <w:color w:val="auto"/>
        </w:rPr>
      </w:pPr>
    </w:p>
    <w:p>
      <w:pPr>
        <w:jc w:val="both"/>
        <w:ind w:left="80" w:firstLine="1125"/>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w:t>
      </w:r>
      <w:r>
        <w:rPr>
          <w:rFonts w:ascii="Arial" w:cs="Arial" w:eastAsia="Arial" w:hAnsi="Arial"/>
          <w:sz w:val="14"/>
          <w:szCs w:val="14"/>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w:t>
      </w:r>
    </w:p>
    <w:p>
      <w:pPr>
        <w:spacing w:after="0" w:line="2" w:lineRule="exact"/>
        <w:rPr>
          <w:sz w:val="20"/>
          <w:szCs w:val="20"/>
          <w:color w:val="auto"/>
        </w:rPr>
      </w:pPr>
    </w:p>
    <w:p>
      <w:pPr>
        <w:jc w:val="both"/>
        <w:ind w:left="80" w:hanging="3"/>
        <w:spacing w:after="0" w:line="284" w:lineRule="auto"/>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72" w:lineRule="exact"/>
        <w:rPr>
          <w:sz w:val="20"/>
          <w:szCs w:val="20"/>
          <w:color w:val="auto"/>
        </w:rPr>
      </w:pPr>
    </w:p>
    <w:p>
      <w:pPr>
        <w:jc w:val="both"/>
        <w:ind w:left="80" w:right="20" w:firstLine="1125"/>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 Fronting Exposure</w:t>
      </w:r>
      <w:r>
        <w:rPr>
          <w:rFonts w:ascii="Arial" w:cs="Arial" w:eastAsia="Arial" w:hAnsi="Arial"/>
          <w:sz w:val="14"/>
          <w:szCs w:val="14"/>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66" w:lineRule="exact"/>
        <w:rPr>
          <w:sz w:val="20"/>
          <w:szCs w:val="20"/>
          <w:color w:val="auto"/>
        </w:rPr>
      </w:pPr>
    </w:p>
    <w:p>
      <w:pPr>
        <w:jc w:val="both"/>
        <w:ind w:left="80" w:right="40" w:firstLine="1181"/>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w:t>
      </w:r>
    </w:p>
    <w:p>
      <w:pPr>
        <w:spacing w:after="0" w:line="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180"/>
          </w:cols>
          <w:pgMar w:left="320" w:top="1178" w:right="399" w:bottom="1440" w:gutter="0" w:footer="0" w:header="0"/>
        </w:sectPr>
      </w:pPr>
    </w:p>
    <w:bookmarkStart w:id="160" w:name="page161"/>
    <w:bookmarkEnd w:id="160"/>
    <w:p>
      <w:pPr>
        <w:jc w:val="both"/>
        <w:ind w:right="40"/>
        <w:spacing w:after="0" w:line="304" w:lineRule="auto"/>
        <w:rPr>
          <w:sz w:val="20"/>
          <w:szCs w:val="20"/>
          <w:color w:val="auto"/>
        </w:rPr>
      </w:pPr>
      <w:r>
        <w:rPr>
          <w:rFonts w:ascii="Arial" w:cs="Arial" w:eastAsia="Arial" w:hAnsi="Arial"/>
          <w:sz w:val="14"/>
          <w:szCs w:val="14"/>
          <w:color w:val="auto"/>
        </w:rPr>
        <w:t>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w:t>
      </w:r>
      <w:r>
        <w:rPr>
          <w:rFonts w:ascii="Arial" w:cs="Arial" w:eastAsia="Arial" w:hAnsi="Arial"/>
          <w:sz w:val="16"/>
          <w:szCs w:val="16"/>
          <w:color w:val="auto"/>
        </w:rPr>
        <w:t>” means the lawful single currency of the European Union.</w:t>
      </w:r>
    </w:p>
    <w:p>
      <w:pPr>
        <w:spacing w:after="0" w:line="212" w:lineRule="exact"/>
        <w:rPr>
          <w:sz w:val="20"/>
          <w:szCs w:val="20"/>
          <w:color w:val="auto"/>
        </w:rPr>
      </w:pPr>
    </w:p>
    <w:p>
      <w:pPr>
        <w:jc w:val="both"/>
        <w:ind w:right="40" w:firstLine="112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xml:space="preserve">” when used in reference to any Loan or Borrowing, refers to whether such Loan, or the Loans comprising such Borrowing, are bearing interest at a rate determined by reference to (i) the Adjusted LIBO Rate (in the case of Loans denominated in Dollars or any Alternative Currency other than Canadian Dollars </w:t>
      </w:r>
      <w:r>
        <w:rPr>
          <w:rFonts w:ascii="Arial" w:cs="Arial" w:eastAsia="Arial" w:hAnsi="Arial"/>
          <w:sz w:val="16"/>
          <w:szCs w:val="16"/>
          <w:color w:val="FF0000"/>
          <w:strike w:val="1"/>
        </w:rPr>
        <w:t>and</w:t>
      </w:r>
      <w:r>
        <w:rPr>
          <w:rFonts w:ascii="Arial" w:cs="Arial" w:eastAsia="Arial" w:hAnsi="Arial"/>
          <w:sz w:val="16"/>
          <w:szCs w:val="16"/>
          <w:color w:val="0000FF"/>
        </w:rPr>
        <w:t>,</w:t>
      </w:r>
      <w:r>
        <w:rPr>
          <w:rFonts w:ascii="Arial" w:cs="Arial" w:eastAsia="Arial" w:hAnsi="Arial"/>
          <w:sz w:val="16"/>
          <w:szCs w:val="16"/>
          <w:color w:val="auto"/>
        </w:rPr>
        <w:t xml:space="preserve"> Euros </w:t>
      </w:r>
      <w:r>
        <w:rPr>
          <w:rFonts w:ascii="Arial" w:cs="Arial" w:eastAsia="Arial" w:hAnsi="Arial"/>
          <w:sz w:val="16"/>
          <w:szCs w:val="16"/>
          <w:color w:val="0000FF"/>
        </w:rPr>
        <w:t>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Sterling</w:t>
      </w:r>
      <w:r>
        <w:rPr>
          <w:rFonts w:ascii="Arial" w:cs="Arial" w:eastAsia="Arial" w:hAnsi="Arial"/>
          <w:sz w:val="16"/>
          <w:szCs w:val="16"/>
          <w:color w:val="000000"/>
        </w:rPr>
        <w:t>), (ii) the Adjusted BA Rate (in the case of Revolving Loans denominated in Canadian Dollars) or (iii) Adjusted EURIBOR (in the case of Revolving Loans denominated</w:t>
      </w:r>
      <w:r>
        <w:rPr>
          <w:rFonts w:ascii="Arial" w:cs="Arial" w:eastAsia="Arial" w:hAnsi="Arial"/>
          <w:sz w:val="16"/>
          <w:szCs w:val="16"/>
          <w:color w:val="0000FF"/>
        </w:rPr>
        <w:t xml:space="preserve"> </w:t>
      </w:r>
      <w:r>
        <w:rPr>
          <w:rFonts w:ascii="Arial" w:cs="Arial" w:eastAsia="Arial" w:hAnsi="Arial"/>
          <w:sz w:val="16"/>
          <w:szCs w:val="16"/>
          <w:color w:val="000000"/>
        </w:rPr>
        <w:t>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6861810</wp:posOffset>
            </wp:positionH>
            <wp:positionV relativeFrom="paragraph">
              <wp:posOffset>-260985</wp:posOffset>
            </wp:positionV>
            <wp:extent cx="16700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167005" cy="7620"/>
                    </a:xfrm>
                    <a:prstGeom prst="rect">
                      <a:avLst/>
                    </a:prstGeom>
                    <a:noFill/>
                  </pic:spPr>
                </pic:pic>
              </a:graphicData>
            </a:graphic>
          </wp:anchor>
        </w:drawing>
      </w:r>
    </w:p>
    <w:p>
      <w:pPr>
        <w:spacing w:after="0" w:line="175" w:lineRule="exact"/>
        <w:rPr>
          <w:sz w:val="20"/>
          <w:szCs w:val="20"/>
          <w:color w:val="auto"/>
        </w:rPr>
      </w:pPr>
    </w:p>
    <w:p>
      <w:pPr>
        <w:ind w:left="1120" w:right="1360"/>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has the meaning assigned to such term in Section 7.01. “</w:t>
      </w:r>
      <w:r>
        <w:rPr>
          <w:rFonts w:ascii="Arial" w:cs="Arial" w:eastAsia="Arial" w:hAnsi="Arial"/>
          <w:sz w:val="16"/>
          <w:szCs w:val="16"/>
          <w:u w:val="single" w:color="auto"/>
          <w:color w:val="auto"/>
        </w:rPr>
        <w:t>Excess Cash Flow</w:t>
      </w:r>
      <w:r>
        <w:rPr>
          <w:rFonts w:ascii="Arial" w:cs="Arial" w:eastAsia="Arial" w:hAnsi="Arial"/>
          <w:sz w:val="16"/>
          <w:szCs w:val="16"/>
          <w:color w:val="auto"/>
        </w:rPr>
        <w:t>” means, for any period, an amount equal to the excess of:</w:t>
      </w:r>
    </w:p>
    <w:p>
      <w:pPr>
        <w:spacing w:after="0" w:line="1" w:lineRule="exact"/>
        <w:rPr>
          <w:sz w:val="20"/>
          <w:szCs w:val="20"/>
          <w:color w:val="auto"/>
        </w:rPr>
      </w:pPr>
    </w:p>
    <w:p>
      <w:pPr>
        <w:ind w:left="1680" w:hanging="558"/>
        <w:spacing w:after="0"/>
        <w:tabs>
          <w:tab w:leader="none" w:pos="1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sum, without duplication, of:</w:t>
      </w:r>
    </w:p>
    <w:p>
      <w:pPr>
        <w:spacing w:after="0" w:line="202" w:lineRule="exact"/>
        <w:rPr>
          <w:rFonts w:ascii="Arial" w:cs="Arial" w:eastAsia="Arial" w:hAnsi="Arial"/>
          <w:sz w:val="16"/>
          <w:szCs w:val="16"/>
          <w:color w:val="auto"/>
        </w:rPr>
      </w:pPr>
    </w:p>
    <w:p>
      <w:pPr>
        <w:ind w:left="2240" w:hanging="423"/>
        <w:spacing w:after="0"/>
        <w:tabs>
          <w:tab w:leader="none" w:pos="22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Consolidated Net Income for such period,</w:t>
      </w:r>
    </w:p>
    <w:p>
      <w:pPr>
        <w:spacing w:after="0" w:line="212" w:lineRule="exact"/>
        <w:rPr>
          <w:rFonts w:ascii="Arial" w:cs="Arial" w:eastAsia="Arial" w:hAnsi="Arial"/>
          <w:sz w:val="16"/>
          <w:szCs w:val="16"/>
          <w:color w:val="auto"/>
        </w:rPr>
      </w:pPr>
    </w:p>
    <w:p>
      <w:pPr>
        <w:ind w:left="2160" w:hanging="386"/>
        <w:spacing w:after="0"/>
        <w:tabs>
          <w:tab w:leader="none" w:pos="21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 amount equal to the amount of all Non-Cash Charges to the extent deducted in arriving at such Consolidated Net Income,</w:t>
      </w:r>
    </w:p>
    <w:p>
      <w:pPr>
        <w:spacing w:after="0" w:line="212" w:lineRule="exact"/>
        <w:rPr>
          <w:rFonts w:ascii="Arial" w:cs="Arial" w:eastAsia="Arial" w:hAnsi="Arial"/>
          <w:sz w:val="16"/>
          <w:szCs w:val="16"/>
          <w:color w:val="auto"/>
        </w:rPr>
      </w:pPr>
    </w:p>
    <w:p>
      <w:pPr>
        <w:ind w:left="1120" w:firstLine="612"/>
        <w:spacing w:after="0" w:line="259" w:lineRule="auto"/>
        <w:tabs>
          <w:tab w:leader="none" w:pos="2149"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decreases in Consolidated Working Capital and long-term account receivables for such period (other than decreases relating to Dispositions permitted pursuant to Section 6.05(h) or Section 6.05(o)), and</w:t>
      </w:r>
    </w:p>
    <w:p>
      <w:pPr>
        <w:spacing w:after="0" w:line="185" w:lineRule="exact"/>
        <w:rPr>
          <w:rFonts w:ascii="Arial" w:cs="Arial" w:eastAsia="Arial" w:hAnsi="Arial"/>
          <w:sz w:val="16"/>
          <w:szCs w:val="16"/>
          <w:color w:val="auto"/>
        </w:rPr>
      </w:pPr>
    </w:p>
    <w:p>
      <w:pPr>
        <w:ind w:left="1120" w:right="40" w:firstLine="621"/>
        <w:spacing w:after="0" w:line="330" w:lineRule="auto"/>
        <w:tabs>
          <w:tab w:leader="none" w:pos="2138" w:val="left"/>
        </w:tabs>
        <w:numPr>
          <w:ilvl w:val="1"/>
          <w:numId w:val="88"/>
        </w:numPr>
        <w:rPr>
          <w:rFonts w:ascii="Arial" w:cs="Arial" w:eastAsia="Arial" w:hAnsi="Arial"/>
          <w:sz w:val="14"/>
          <w:szCs w:val="14"/>
          <w:color w:val="auto"/>
        </w:rPr>
      </w:pPr>
      <w:r>
        <w:rPr>
          <w:rFonts w:ascii="Arial" w:cs="Arial" w:eastAsia="Arial" w:hAnsi="Arial"/>
          <w:sz w:val="14"/>
          <w:szCs w:val="14"/>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Arial" w:cs="Arial" w:eastAsia="Arial" w:hAnsi="Arial"/>
          <w:sz w:val="14"/>
          <w:szCs w:val="14"/>
          <w:u w:val="single" w:color="auto"/>
          <w:color w:val="auto"/>
        </w:rPr>
        <w:t>less</w:t>
      </w:r>
      <w:r>
        <w:rPr>
          <w:rFonts w:ascii="Arial" w:cs="Arial" w:eastAsia="Arial" w:hAnsi="Arial"/>
          <w:sz w:val="14"/>
          <w:szCs w:val="14"/>
          <w:color w:val="auto"/>
        </w:rPr>
        <w:t>:</w:t>
      </w:r>
    </w:p>
    <w:p>
      <w:pPr>
        <w:spacing w:after="0" w:line="140" w:lineRule="exact"/>
        <w:rPr>
          <w:rFonts w:ascii="Arial" w:cs="Arial" w:eastAsia="Arial" w:hAnsi="Arial"/>
          <w:sz w:val="14"/>
          <w:szCs w:val="14"/>
          <w:color w:val="auto"/>
        </w:rPr>
      </w:pPr>
    </w:p>
    <w:p>
      <w:pPr>
        <w:ind w:left="1680" w:hanging="558"/>
        <w:spacing w:after="0"/>
        <w:tabs>
          <w:tab w:leader="none" w:pos="1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sum, without duplication, of:</w:t>
      </w:r>
    </w:p>
    <w:p>
      <w:pPr>
        <w:spacing w:after="0" w:line="212" w:lineRule="exact"/>
        <w:rPr>
          <w:rFonts w:ascii="Arial" w:cs="Arial" w:eastAsia="Arial" w:hAnsi="Arial"/>
          <w:sz w:val="16"/>
          <w:szCs w:val="16"/>
          <w:color w:val="auto"/>
        </w:rPr>
      </w:pPr>
    </w:p>
    <w:p>
      <w:pPr>
        <w:jc w:val="both"/>
        <w:ind w:left="1120" w:right="40" w:firstLine="698"/>
        <w:spacing w:after="0" w:line="288" w:lineRule="auto"/>
        <w:tabs>
          <w:tab w:leader="none" w:pos="2149" w:val="left"/>
        </w:tabs>
        <w:numPr>
          <w:ilvl w:val="1"/>
          <w:numId w:val="88"/>
        </w:numPr>
        <w:rPr>
          <w:rFonts w:ascii="Arial" w:cs="Arial" w:eastAsia="Arial" w:hAnsi="Arial"/>
          <w:sz w:val="14"/>
          <w:szCs w:val="14"/>
          <w:color w:val="auto"/>
        </w:rPr>
      </w:pPr>
      <w:r>
        <w:rPr>
          <w:rFonts w:ascii="Arial" w:cs="Arial" w:eastAsia="Arial" w:hAnsi="Arial"/>
          <w:sz w:val="14"/>
          <w:szCs w:val="14"/>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169" w:lineRule="exact"/>
        <w:rPr>
          <w:rFonts w:ascii="Arial" w:cs="Arial" w:eastAsia="Arial" w:hAnsi="Arial"/>
          <w:sz w:val="14"/>
          <w:szCs w:val="14"/>
          <w:color w:val="auto"/>
        </w:rPr>
      </w:pPr>
    </w:p>
    <w:p>
      <w:pPr>
        <w:jc w:val="both"/>
        <w:ind w:left="1120" w:right="40" w:firstLine="654"/>
        <w:spacing w:after="0" w:line="291" w:lineRule="auto"/>
        <w:tabs>
          <w:tab w:leader="none" w:pos="2148" w:val="left"/>
        </w:tabs>
        <w:numPr>
          <w:ilvl w:val="1"/>
          <w:numId w:val="88"/>
        </w:numPr>
        <w:rPr>
          <w:rFonts w:ascii="Arial" w:cs="Arial" w:eastAsia="Arial" w:hAnsi="Arial"/>
          <w:sz w:val="14"/>
          <w:szCs w:val="14"/>
          <w:color w:val="auto"/>
        </w:rPr>
      </w:pPr>
      <w:r>
        <w:rPr>
          <w:rFonts w:ascii="Arial" w:cs="Arial" w:eastAsia="Arial" w:hAnsi="Arial"/>
          <w:sz w:val="14"/>
          <w:szCs w:val="14"/>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w:t>
      </w: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100"/>
          </w:cols>
          <w:pgMar w:left="400" w:top="1178" w:right="399" w:bottom="1440" w:gutter="0" w:footer="0" w:header="0"/>
        </w:sectPr>
      </w:pPr>
    </w:p>
    <w:bookmarkStart w:id="161" w:name="page162"/>
    <w:bookmarkEnd w:id="161"/>
    <w:p>
      <w:pPr>
        <w:jc w:val="both"/>
        <w:ind w:right="20"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Pari Passu Intercreditor Agreement</w:t>
      </w:r>
      <w:r>
        <w:rPr>
          <w:rFonts w:ascii="Arial" w:cs="Arial" w:eastAsia="Arial" w:hAnsi="Arial"/>
          <w:sz w:val="16"/>
          <w:szCs w:val="16"/>
          <w:color w:val="auto"/>
        </w:rPr>
        <w:t xml:space="preserve">” means the Pari Passu Intercreditor Agreement substantially in the form of Exhibit E-1 among the First Lien Administrative Agent and one or more Senior Representatives for holders of Indebtedness permitted by this Agreement to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such modifications thereto as the First Lien Administrative Agent and the Borrower may reasonably agree.</w:t>
      </w:r>
    </w:p>
    <w:p>
      <w:pPr>
        <w:spacing w:after="0" w:line="192" w:lineRule="exact"/>
        <w:rPr>
          <w:sz w:val="20"/>
          <w:szCs w:val="20"/>
          <w:color w:val="auto"/>
        </w:rPr>
      </w:pPr>
    </w:p>
    <w:p>
      <w:pPr>
        <w:jc w:val="both"/>
        <w:ind w:firstLine="1125"/>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First/Second Lien Intercreditor Agreement</w:t>
      </w:r>
      <w:r>
        <w:rPr>
          <w:rFonts w:ascii="Arial" w:cs="Arial" w:eastAsia="Arial" w:hAnsi="Arial"/>
          <w:sz w:val="14"/>
          <w:szCs w:val="14"/>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 On the Effective Date, the First Lien Administrative Agent entered into a First/Second Lien Intercreditor Agreement with the Second Lien Trustee and the other parties party thereto.</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Amounts</w:t>
      </w:r>
      <w:r>
        <w:rPr>
          <w:rFonts w:ascii="Arial" w:cs="Arial" w:eastAsia="Arial" w:hAnsi="Arial"/>
          <w:sz w:val="16"/>
          <w:szCs w:val="16"/>
          <w:color w:val="auto"/>
        </w:rPr>
        <w:t>” has the meaning assigned to such term in 1.07.(b).</w:t>
      </w:r>
    </w:p>
    <w:p>
      <w:pPr>
        <w:spacing w:after="0" w:line="212" w:lineRule="exact"/>
        <w:rPr>
          <w:sz w:val="20"/>
          <w:szCs w:val="20"/>
          <w:color w:val="auto"/>
        </w:rPr>
      </w:pPr>
    </w:p>
    <w:p>
      <w:pPr>
        <w:jc w:val="both"/>
        <w:ind w:firstLine="112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Flood Insurance Laws</w:t>
      </w:r>
      <w:r>
        <w:rPr>
          <w:rFonts w:ascii="Arial" w:cs="Arial" w:eastAsia="Arial" w:hAnsi="Arial"/>
          <w:sz w:val="14"/>
          <w:szCs w:val="14"/>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64" w:lineRule="exact"/>
        <w:rPr>
          <w:sz w:val="20"/>
          <w:szCs w:val="20"/>
          <w:color w:val="auto"/>
        </w:rPr>
      </w:pPr>
    </w:p>
    <w:p>
      <w:pPr>
        <w:jc w:val="both"/>
        <w:ind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xml:space="preserve">” means the benchmark rate floor, if any, provided in this Agreement initially (as of the execution of this Agreement, the modification, amendment or renewal of this Agreement or otherwise) with respect to the LIBO Rate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EURIBOR </w:t>
      </w:r>
      <w:r>
        <w:rPr>
          <w:rFonts w:ascii="Arial" w:cs="Arial" w:eastAsia="Arial" w:hAnsi="Arial"/>
          <w:sz w:val="16"/>
          <w:szCs w:val="16"/>
          <w:color w:val="0000FF"/>
        </w:rPr>
        <w:t>or Adjusted Daily Simple SONIA</w:t>
      </w:r>
      <w:r>
        <w:rPr>
          <w:rFonts w:ascii="Arial" w:cs="Arial" w:eastAsia="Arial" w:hAnsi="Arial"/>
          <w:sz w:val="16"/>
          <w:szCs w:val="16"/>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-67310</wp:posOffset>
            </wp:positionV>
            <wp:extent cx="10668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-29845</wp:posOffset>
            </wp:positionV>
            <wp:extent cx="136207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Lender that is not a United States Person (as defined in Section 7701(a)(30) of the Code).</w:t>
      </w:r>
    </w:p>
    <w:p>
      <w:pPr>
        <w:spacing w:after="0" w:line="212" w:lineRule="exact"/>
        <w:rPr>
          <w:sz w:val="20"/>
          <w:szCs w:val="20"/>
          <w:color w:val="auto"/>
        </w:rPr>
      </w:pPr>
    </w:p>
    <w:p>
      <w:pPr>
        <w:jc w:val="both"/>
        <w:ind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Intercreditor Agreements</w:t>
      </w:r>
      <w:r>
        <w:rPr>
          <w:rFonts w:ascii="Arial" w:cs="Arial" w:eastAsia="Arial" w:hAnsi="Arial"/>
          <w:sz w:val="16"/>
          <w:szCs w:val="16"/>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192" w:lineRule="exact"/>
        <w:rPr>
          <w:sz w:val="20"/>
          <w:szCs w:val="20"/>
          <w:color w:val="auto"/>
        </w:rPr>
      </w:pPr>
    </w:p>
    <w:p>
      <w:pPr>
        <w:jc w:val="both"/>
        <w:ind w:right="20" w:firstLine="1271"/>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95" w:lineRule="exact"/>
        <w:rPr>
          <w:sz w:val="20"/>
          <w:szCs w:val="20"/>
          <w:color w:val="auto"/>
        </w:rPr>
      </w:pPr>
    </w:p>
    <w:p>
      <w:pPr>
        <w:jc w:val="both"/>
        <w:ind w:firstLine="1176"/>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xml:space="preserve">” means generally accepted accounting principles in the United States of America, as in effect from time to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80"/>
          </w:cols>
          <w:pgMar w:left="400" w:top="1178" w:right="419" w:bottom="1440" w:gutter="0" w:footer="0" w:header="0"/>
        </w:sectPr>
      </w:pPr>
    </w:p>
    <w:bookmarkStart w:id="162" w:name="page163"/>
    <w:bookmarkEnd w:id="162"/>
    <w:p>
      <w:pPr>
        <w:ind w:left="112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Election Request</w:t>
      </w:r>
      <w:r>
        <w:rPr>
          <w:rFonts w:ascii="Arial" w:cs="Arial" w:eastAsia="Arial" w:hAnsi="Arial"/>
          <w:sz w:val="14"/>
          <w:szCs w:val="14"/>
          <w:color w:val="auto"/>
        </w:rPr>
        <w:t>” means a request by the Borrower to convert or continue a Revolving Borrowing or Term Borrowing in accordance with Section</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6"/>
          <w:szCs w:val="16"/>
          <w:color w:val="auto"/>
        </w:rPr>
        <w:t>2.07.</w:t>
      </w:r>
    </w:p>
    <w:p>
      <w:pPr>
        <w:spacing w:after="0" w:line="202" w:lineRule="exact"/>
        <w:rPr>
          <w:sz w:val="20"/>
          <w:szCs w:val="20"/>
          <w:color w:val="auto"/>
        </w:rPr>
      </w:pPr>
    </w:p>
    <w:p>
      <w:pPr>
        <w:jc w:val="both"/>
        <w:ind w:left="3" w:right="20" w:firstLine="1119"/>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xml:space="preserve">” means (a) with respect to any ABR Loan (including a Swingline Loan), the last Business Day of each March, June, September and December </w:t>
      </w:r>
      <w:r>
        <w:rPr>
          <w:rFonts w:ascii="Arial" w:cs="Arial" w:eastAsia="Arial" w:hAnsi="Arial"/>
          <w:sz w:val="14"/>
          <w:szCs w:val="14"/>
          <w:color w:val="FF0000"/>
        </w:rPr>
        <w:t>and</w:t>
      </w:r>
      <w:r>
        <w:rPr>
          <w:rFonts w:ascii="Arial" w:cs="Arial" w:eastAsia="Arial" w:hAnsi="Arial"/>
          <w:sz w:val="14"/>
          <w:szCs w:val="14"/>
          <w:color w:val="0000FF"/>
        </w:rPr>
        <w:t>,</w:t>
      </w:r>
      <w:r>
        <w:rPr>
          <w:rFonts w:ascii="Arial" w:cs="Arial" w:eastAsia="Arial" w:hAnsi="Arial"/>
          <w:sz w:val="14"/>
          <w:szCs w:val="14"/>
          <w:color w:val="auto"/>
        </w:rPr>
        <w:t xml:space="preserve"> (b) 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-175260</wp:posOffset>
            </wp:positionV>
            <wp:extent cx="1670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167005" cy="7620"/>
                    </a:xfrm>
                    <a:prstGeom prst="rect">
                      <a:avLst/>
                    </a:prstGeom>
                    <a:noFill/>
                  </pic:spPr>
                </pic:pic>
              </a:graphicData>
            </a:graphic>
          </wp:anchor>
        </w:drawing>
      </w:r>
    </w:p>
    <w:p>
      <w:pPr>
        <w:jc w:val="both"/>
        <w:ind w:left="3" w:right="40"/>
        <w:spacing w:after="0" w:line="316" w:lineRule="auto"/>
        <w:rPr>
          <w:sz w:val="20"/>
          <w:szCs w:val="20"/>
          <w:color w:val="auto"/>
        </w:rPr>
      </w:pPr>
      <w:r>
        <w:rPr>
          <w:rFonts w:ascii="Arial" w:cs="Arial" w:eastAsia="Arial" w:hAnsi="Arial"/>
          <w:sz w:val="14"/>
          <w:szCs w:val="14"/>
          <w:color w:val="auto"/>
        </w:rPr>
        <w:t>duration after the first day of such Interest Period</w:t>
      </w:r>
      <w:r>
        <w:rPr>
          <w:rFonts w:ascii="Arial" w:cs="Arial" w:eastAsia="Arial" w:hAnsi="Arial"/>
          <w:sz w:val="14"/>
          <w:szCs w:val="14"/>
          <w:color w:val="FF0000"/>
        </w:rPr>
        <w:t>.</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and (c) with respect to any SONIA Loan, each date that is on the numer ically corresponding day in each calendar month that is</w:t>
      </w:r>
      <w:r>
        <w:rPr>
          <w:rFonts w:ascii="Arial" w:cs="Arial" w:eastAsia="Arial" w:hAnsi="Arial"/>
          <w:sz w:val="14"/>
          <w:szCs w:val="14"/>
          <w:color w:val="auto"/>
        </w:rPr>
        <w:t xml:space="preserve"> </w:t>
      </w:r>
      <w:r>
        <w:rPr>
          <w:rFonts w:ascii="Arial" w:cs="Arial" w:eastAsia="Arial" w:hAnsi="Arial"/>
          <w:sz w:val="14"/>
          <w:szCs w:val="14"/>
          <w:u w:val="single" w:color="auto"/>
          <w:color w:val="0000FF"/>
        </w:rPr>
        <w:t>one month after the Borrowing of such SONIA Loan (or, if there is no such numer ically corresponding day in such month, then the last day of such month).</w:t>
      </w:r>
    </w:p>
    <w:p>
      <w:pPr>
        <w:spacing w:after="0" w:line="149" w:lineRule="exact"/>
        <w:rPr>
          <w:sz w:val="20"/>
          <w:szCs w:val="20"/>
          <w:color w:val="auto"/>
        </w:rPr>
      </w:pPr>
    </w:p>
    <w:p>
      <w:pPr>
        <w:jc w:val="both"/>
        <w:ind w:left="3" w:right="20" w:firstLine="1125"/>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Period</w:t>
      </w:r>
      <w:r>
        <w:rPr>
          <w:rFonts w:ascii="Arial" w:cs="Arial" w:eastAsia="Arial" w:hAnsi="Arial"/>
          <w:sz w:val="14"/>
          <w:szCs w:val="14"/>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if consented to by each Lender participating therein, twelve months or such shorter period as the Borrower may elect);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Term Loans, the Term Maturity Date and (ii) in the case of Revolving Loans, the Revolving Maturity Date. For purposes hereof, the date of a Borrowing initially shall be the date on which such Borrowing is made and thereafter shall be the effective date of the most recent conversion or continuation of such Borrowing.</w:t>
      </w:r>
    </w:p>
    <w:p>
      <w:pPr>
        <w:spacing w:after="0" w:line="162" w:lineRule="exact"/>
        <w:rPr>
          <w:sz w:val="20"/>
          <w:szCs w:val="20"/>
          <w:color w:val="auto"/>
        </w:rPr>
      </w:pPr>
    </w:p>
    <w:p>
      <w:pPr>
        <w:ind w:left="11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Intermediate Parent</w:t>
      </w:r>
      <w:r>
        <w:rPr>
          <w:rFonts w:ascii="Arial" w:cs="Arial" w:eastAsia="Arial" w:hAnsi="Arial"/>
          <w:sz w:val="16"/>
          <w:szCs w:val="16"/>
          <w:color w:val="auto"/>
        </w:rPr>
        <w:t>” means any Subsidiary of Holdings of which the Borrower is a subsidiary.</w:t>
      </w:r>
    </w:p>
    <w:p>
      <w:pPr>
        <w:spacing w:after="0" w:line="189" w:lineRule="exact"/>
        <w:rPr>
          <w:sz w:val="20"/>
          <w:szCs w:val="20"/>
          <w:color w:val="auto"/>
        </w:rPr>
      </w:pPr>
    </w:p>
    <w:p>
      <w:pPr>
        <w:ind w:left="11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w:t>
      </w:r>
    </w:p>
    <w:p>
      <w:pPr>
        <w:spacing w:after="0" w:line="3" w:lineRule="exact"/>
        <w:rPr>
          <w:sz w:val="20"/>
          <w:szCs w:val="20"/>
          <w:color w:val="auto"/>
        </w:rPr>
      </w:pPr>
    </w:p>
    <w:p>
      <w:pPr>
        <w:jc w:val="both"/>
        <w:ind w:left="3" w:right="40"/>
        <w:spacing w:after="0" w:line="228" w:lineRule="auto"/>
        <w:rPr>
          <w:sz w:val="20"/>
          <w:szCs w:val="20"/>
          <w:color w:val="auto"/>
        </w:rPr>
      </w:pPr>
      <w:r>
        <w:rPr>
          <w:rFonts w:ascii="Arial" w:cs="Arial" w:eastAsia="Arial" w:hAnsi="Arial"/>
          <w:sz w:val="16"/>
          <w:szCs w:val="16"/>
          <w:color w:val="auto"/>
        </w:rPr>
        <w:t>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w:t>
      </w:r>
    </w:p>
    <w:p>
      <w:pPr>
        <w:jc w:val="both"/>
        <w:ind w:left="3" w:hanging="3"/>
        <w:spacing w:after="0" w:line="263" w:lineRule="auto"/>
        <w:tabs>
          <w:tab w:leader="none" w:pos="476"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w:t>
      </w:r>
    </w:p>
    <w:p>
      <w:pPr>
        <w:spacing w:after="0" w:line="30" w:lineRule="exact"/>
        <w:rPr>
          <w:sz w:val="20"/>
          <w:szCs w:val="20"/>
          <w:color w:val="auto"/>
        </w:rPr>
      </w:pPr>
    </w:p>
    <w:p>
      <w:pPr>
        <w:jc w:val="center"/>
        <w:ind w:right="-282"/>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103"/>
          </w:cols>
          <w:pgMar w:left="397" w:top="1178" w:right="399" w:bottom="1440" w:gutter="0" w:footer="0" w:header="0"/>
        </w:sectPr>
      </w:pPr>
    </w:p>
    <w:bookmarkStart w:id="163" w:name="page164"/>
    <w:bookmarkEnd w:id="163"/>
    <w:p>
      <w:pPr>
        <w:jc w:val="both"/>
        <w:ind w:left="3" w:firstLine="112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Securitization Facility</w:t>
      </w:r>
      <w:r>
        <w:rPr>
          <w:rFonts w:ascii="Arial" w:cs="Arial" w:eastAsia="Arial" w:hAnsi="Arial"/>
          <w:sz w:val="16"/>
          <w:szCs w:val="16"/>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207"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Lender</w:t>
      </w:r>
      <w:r>
        <w:rPr>
          <w:rFonts w:ascii="Arial" w:cs="Arial" w:eastAsia="Arial" w:hAnsi="Arial"/>
          <w:sz w:val="16"/>
          <w:szCs w:val="16"/>
          <w:color w:val="auto"/>
        </w:rPr>
        <w:t>” has the meaning assigned to such term in Section 2.11(a)(ii)(D)(3).</w:t>
      </w:r>
    </w:p>
    <w:p>
      <w:pPr>
        <w:spacing w:after="0" w:line="212" w:lineRule="exact"/>
        <w:rPr>
          <w:sz w:val="20"/>
          <w:szCs w:val="20"/>
          <w:color w:val="auto"/>
        </w:rPr>
      </w:pPr>
    </w:p>
    <w:p>
      <w:pPr>
        <w:jc w:val="both"/>
        <w:ind w:left="3"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RBC Letter of Credit Sublimit</w:t>
      </w:r>
      <w:r>
        <w:rPr>
          <w:rFonts w:ascii="Arial" w:cs="Arial" w:eastAsia="Arial" w:hAnsi="Arial"/>
          <w:sz w:val="16"/>
          <w:szCs w:val="16"/>
          <w:color w:val="auto"/>
        </w:rPr>
        <w:t>” means an amount equal to $50,000,000. Letters of Credit issued pursuant to the RBC Letter of Credit Sublimit will be issued by Royal Bank of Canada in its capacity as an “Issuing Bank”.</w:t>
      </w:r>
    </w:p>
    <w:p>
      <w:pPr>
        <w:spacing w:after="0" w:line="186" w:lineRule="exact"/>
        <w:rPr>
          <w:sz w:val="20"/>
          <w:szCs w:val="20"/>
          <w:color w:val="auto"/>
        </w:rPr>
      </w:pPr>
    </w:p>
    <w:p>
      <w:pPr>
        <w:jc w:val="both"/>
        <w:ind w:left="3" w:firstLine="1125"/>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Reference Time</w:t>
      </w:r>
      <w:r>
        <w:rPr>
          <w:rFonts w:ascii="Arial" w:cs="Arial" w:eastAsia="Arial" w:hAnsi="Arial"/>
          <w:sz w:val="14"/>
          <w:szCs w:val="14"/>
          <w:color w:val="auto"/>
        </w:rPr>
        <w:t xml:space="preserve">” with respect to any setting of the then-current Benchmark means (1) if such Benchmark is the LIBO Rate, 11:00 a.m. (London time) on the day that is two London banking days preceding the date of such setting, </w:t>
      </w:r>
      <w:r>
        <w:rPr>
          <w:rFonts w:ascii="Arial" w:cs="Arial" w:eastAsia="Arial" w:hAnsi="Arial"/>
          <w:sz w:val="14"/>
          <w:szCs w:val="14"/>
          <w:color w:val="FF0000"/>
          <w:strike w:val="1"/>
        </w:rPr>
        <w:t>and</w:t>
      </w:r>
      <w:r>
        <w:rPr>
          <w:rFonts w:ascii="Arial" w:cs="Arial" w:eastAsia="Arial" w:hAnsi="Arial"/>
          <w:sz w:val="14"/>
          <w:szCs w:val="14"/>
          <w:color w:val="auto"/>
        </w:rPr>
        <w:t xml:space="preserve"> (2</w:t>
      </w:r>
      <w:r>
        <w:rPr>
          <w:rFonts w:ascii="Arial" w:cs="Arial" w:eastAsia="Arial" w:hAnsi="Arial"/>
          <w:sz w:val="14"/>
          <w:szCs w:val="14"/>
          <w:u w:val="single" w:color="auto"/>
          <w:color w:val="0000FF"/>
        </w:rPr>
        <w:t>) if such Benchmark is SONIA, 11:00 a.m. (London time) on the day that is four Business Days pr</w:t>
      </w:r>
      <w:r>
        <w:rPr>
          <w:rFonts w:ascii="Arial" w:cs="Arial" w:eastAsia="Arial" w:hAnsi="Arial"/>
          <w:sz w:val="14"/>
          <w:szCs w:val="14"/>
          <w:color w:val="auto"/>
        </w:rPr>
        <w:t xml:space="preserve"> </w:t>
      </w:r>
      <w:r>
        <w:rPr>
          <w:rFonts w:ascii="Arial" w:cs="Arial" w:eastAsia="Arial" w:hAnsi="Arial"/>
          <w:sz w:val="14"/>
          <w:szCs w:val="14"/>
          <w:u w:val="single" w:color="auto"/>
          <w:color w:val="0000FF"/>
        </w:rPr>
        <w:t>ior to such setting and (3</w:t>
      </w:r>
      <w:r>
        <w:rPr>
          <w:rFonts w:ascii="Arial" w:cs="Arial" w:eastAsia="Arial" w:hAnsi="Arial"/>
          <w:sz w:val="14"/>
          <w:szCs w:val="14"/>
          <w:color w:val="000000"/>
        </w:rPr>
        <w:t>) if such Benchmark is not the LIBO Rate</w:t>
      </w:r>
      <w:r>
        <w:rPr>
          <w:rFonts w:ascii="Arial" w:cs="Arial" w:eastAsia="Arial" w:hAnsi="Arial"/>
          <w:sz w:val="14"/>
          <w:szCs w:val="14"/>
          <w:color w:val="0000FF"/>
        </w:rPr>
        <w:t xml:space="preserve"> or SONIA</w:t>
      </w:r>
      <w:r>
        <w:rPr>
          <w:rFonts w:ascii="Arial" w:cs="Arial" w:eastAsia="Arial" w:hAnsi="Arial"/>
          <w:sz w:val="14"/>
          <w:szCs w:val="14"/>
          <w:color w:val="000000"/>
        </w:rPr>
        <w:t>, the time determined by the First Lien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-48260</wp:posOffset>
            </wp:positionV>
            <wp:extent cx="4330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433070" cy="7620"/>
                    </a:xfrm>
                    <a:prstGeom prst="rect">
                      <a:avLst/>
                    </a:prstGeom>
                    <a:noFill/>
                  </pic:spPr>
                </pic:pic>
              </a:graphicData>
            </a:graphic>
          </wp:anchor>
        </w:drawing>
      </w:r>
    </w:p>
    <w:p>
      <w:pPr>
        <w:spacing w:after="0" w:line="138"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Refinanced Debt</w:t>
      </w:r>
      <w:r>
        <w:rPr>
          <w:rFonts w:ascii="Arial" w:cs="Arial" w:eastAsia="Arial" w:hAnsi="Arial"/>
          <w:sz w:val="16"/>
          <w:szCs w:val="16"/>
          <w:color w:val="auto"/>
        </w:rPr>
        <w:t>” has the meaning assigned to such term in the definition of “Credit Agreement Refinancing Indebtedness.”</w:t>
      </w:r>
    </w:p>
    <w:p>
      <w:pPr>
        <w:spacing w:after="0" w:line="224" w:lineRule="exact"/>
        <w:rPr>
          <w:sz w:val="20"/>
          <w:szCs w:val="20"/>
          <w:color w:val="auto"/>
        </w:rPr>
      </w:pPr>
    </w:p>
    <w:p>
      <w:pPr>
        <w:jc w:val="both"/>
        <w:ind w:left="3" w:right="20" w:firstLine="112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w:t>
      </w:r>
      <w:r>
        <w:rPr>
          <w:rFonts w:ascii="Arial" w:cs="Arial" w:eastAsia="Arial" w:hAnsi="Arial"/>
          <w:sz w:val="16"/>
          <w:szCs w:val="16"/>
          <w:color w:val="auto"/>
        </w:rPr>
        <w:t>” means (a) the refinancing of all indebtedness of the Borrower under the Credit Agreement dated as of May 15, 2015, as amended as of August 18, 2015, April 4, 2017, June 30, 2017, October 31,</w:t>
      </w:r>
    </w:p>
    <w:p>
      <w:pPr>
        <w:spacing w:after="0" w:line="1" w:lineRule="exact"/>
        <w:rPr>
          <w:sz w:val="20"/>
          <w:szCs w:val="20"/>
          <w:color w:val="auto"/>
        </w:rPr>
      </w:pPr>
    </w:p>
    <w:p>
      <w:pPr>
        <w:jc w:val="both"/>
        <w:ind w:left="3" w:right="20"/>
        <w:spacing w:after="0" w:line="278" w:lineRule="auto"/>
        <w:rPr>
          <w:sz w:val="20"/>
          <w:szCs w:val="20"/>
          <w:color w:val="auto"/>
        </w:rPr>
      </w:pPr>
      <w:r>
        <w:rPr>
          <w:rFonts w:ascii="Arial" w:cs="Arial" w:eastAsia="Arial" w:hAnsi="Arial"/>
          <w:sz w:val="14"/>
          <w:szCs w:val="14"/>
          <w:color w:val="auto"/>
        </w:rPr>
        <w:t>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w:t>
      </w:r>
    </w:p>
    <w:p>
      <w:pPr>
        <w:ind w:left="3" w:right="20" w:hanging="3"/>
        <w:spacing w:after="0" w:line="246" w:lineRule="auto"/>
        <w:tabs>
          <w:tab w:leader="none" w:pos="23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redemption of the Existing Notes; it being agreed that the delivery of customary duly executed payoff and release letters to the First Lien Administrative Agent shall be satisfactory evidence.</w:t>
      </w:r>
    </w:p>
    <w:p>
      <w:pPr>
        <w:spacing w:after="0" w:line="196" w:lineRule="exact"/>
        <w:rPr>
          <w:sz w:val="20"/>
          <w:szCs w:val="20"/>
          <w:color w:val="auto"/>
        </w:rPr>
      </w:pPr>
    </w:p>
    <w:p>
      <w:pPr>
        <w:jc w:val="both"/>
        <w:ind w:left="3" w:right="20" w:firstLine="1204"/>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Refinancing Amendment</w:t>
      </w:r>
      <w:r>
        <w:rPr>
          <w:rFonts w:ascii="Arial" w:cs="Arial" w:eastAsia="Arial" w:hAnsi="Arial"/>
          <w:sz w:val="14"/>
          <w:szCs w:val="14"/>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69"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 No. 1</w:t>
      </w:r>
      <w:r>
        <w:rPr>
          <w:rFonts w:ascii="Arial" w:cs="Arial" w:eastAsia="Arial" w:hAnsi="Arial"/>
          <w:sz w:val="16"/>
          <w:szCs w:val="16"/>
          <w:color w:val="auto"/>
        </w:rPr>
        <w:t xml:space="preserve">” means the Refinancing Amendment to First Lien Credit Agreement dated as of January </w:t>
      </w:r>
      <w:r>
        <w:rPr>
          <w:rFonts w:ascii="Arial" w:cs="Arial" w:eastAsia="Arial" w:hAnsi="Arial"/>
          <w:sz w:val="16"/>
          <w:szCs w:val="16"/>
          <w:color w:val="FF0000"/>
          <w:strike w:val="1"/>
        </w:rPr>
        <w:t>[●]</w:t>
      </w:r>
      <w:r>
        <w:rPr>
          <w:rFonts w:ascii="Arial" w:cs="Arial" w:eastAsia="Arial" w:hAnsi="Arial"/>
          <w:sz w:val="16"/>
          <w:szCs w:val="16"/>
          <w:u w:val="single" w:color="auto"/>
          <w:color w:val="0000FF"/>
        </w:rPr>
        <w:t>20</w:t>
      </w:r>
      <w:r>
        <w:rPr>
          <w:rFonts w:ascii="Arial" w:cs="Arial" w:eastAsia="Arial" w:hAnsi="Arial"/>
          <w:sz w:val="16"/>
          <w:szCs w:val="16"/>
          <w:color w:val="auto"/>
        </w:rPr>
        <w:t>, 2021.</w:t>
      </w:r>
    </w:p>
    <w:p>
      <w:pPr>
        <w:spacing w:after="0" w:line="282"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 No. 1 Effective Date</w:t>
      </w:r>
      <w:r>
        <w:rPr>
          <w:rFonts w:ascii="Arial" w:cs="Arial" w:eastAsia="Arial" w:hAnsi="Arial"/>
          <w:sz w:val="16"/>
          <w:szCs w:val="16"/>
          <w:color w:val="auto"/>
        </w:rPr>
        <w:t xml:space="preserve">” means January </w:t>
      </w:r>
      <w:r>
        <w:rPr>
          <w:rFonts w:ascii="Arial" w:cs="Arial" w:eastAsia="Arial" w:hAnsi="Arial"/>
          <w:sz w:val="16"/>
          <w:szCs w:val="16"/>
          <w:color w:val="FF0000"/>
          <w:strike w:val="1"/>
        </w:rPr>
        <w:t>[●]</w:t>
      </w:r>
      <w:r>
        <w:rPr>
          <w:rFonts w:ascii="Arial" w:cs="Arial" w:eastAsia="Arial" w:hAnsi="Arial"/>
          <w:sz w:val="16"/>
          <w:szCs w:val="16"/>
          <w:u w:val="single" w:color="auto"/>
          <w:color w:val="0000FF"/>
        </w:rPr>
        <w:t>20</w:t>
      </w:r>
      <w:r>
        <w:rPr>
          <w:rFonts w:ascii="Arial" w:cs="Arial" w:eastAsia="Arial" w:hAnsi="Arial"/>
          <w:sz w:val="16"/>
          <w:szCs w:val="16"/>
          <w:color w:val="auto"/>
        </w:rPr>
        <w:t>, 2021, the date of effectiveness of Refinancing Amendment No. 1.</w:t>
      </w:r>
    </w:p>
    <w:p>
      <w:pPr>
        <w:spacing w:after="0" w:line="224"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 No. 1 Term Loans</w:t>
      </w:r>
      <w:r>
        <w:rPr>
          <w:rFonts w:ascii="Arial" w:cs="Arial" w:eastAsia="Arial" w:hAnsi="Arial"/>
          <w:sz w:val="16"/>
          <w:szCs w:val="16"/>
          <w:color w:val="auto"/>
        </w:rPr>
        <w:t>” means the “Refinancing Loans” as defined in Refinancing Amendment No. 1.</w:t>
      </w:r>
    </w:p>
    <w:p>
      <w:pPr>
        <w:spacing w:after="0" w:line="212" w:lineRule="exact"/>
        <w:rPr>
          <w:sz w:val="20"/>
          <w:szCs w:val="20"/>
          <w:color w:val="auto"/>
        </w:rPr>
      </w:pPr>
    </w:p>
    <w:p>
      <w:pPr>
        <w:ind w:left="112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has the meaning assigned to such term in Section 9.04(b)(iv).</w:t>
      </w:r>
    </w:p>
    <w:p>
      <w:pPr>
        <w:spacing w:after="0" w:line="212" w:lineRule="exact"/>
        <w:rPr>
          <w:sz w:val="20"/>
          <w:szCs w:val="20"/>
          <w:color w:val="auto"/>
        </w:rPr>
      </w:pPr>
    </w:p>
    <w:p>
      <w:pPr>
        <w:jc w:val="both"/>
        <w:ind w:left="3" w:right="20" w:firstLine="1125"/>
        <w:spacing w:after="0" w:line="3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Registered Equivalent Notes</w:t>
      </w:r>
      <w:r>
        <w:rPr>
          <w:rFonts w:ascii="Arial" w:cs="Arial" w:eastAsia="Arial" w:hAnsi="Arial"/>
          <w:sz w:val="14"/>
          <w:szCs w:val="14"/>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24"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83"/>
          </w:cols>
          <w:pgMar w:left="397" w:top="1237" w:right="419" w:bottom="1440" w:gutter="0" w:footer="0" w:header="0"/>
        </w:sectPr>
      </w:pPr>
    </w:p>
    <w:bookmarkStart w:id="164" w:name="page165"/>
    <w:bookmarkEnd w:id="164"/>
    <w:p>
      <w:pPr>
        <w:jc w:val="both"/>
        <w:ind w:firstLine="1125"/>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Regulated Bank</w:t>
      </w:r>
      <w:r>
        <w:rPr>
          <w:rFonts w:ascii="Arial" w:cs="Arial" w:eastAsia="Arial" w:hAnsi="Arial"/>
          <w:sz w:val="16"/>
          <w:szCs w:val="16"/>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 Date</w:t>
      </w:r>
      <w:r>
        <w:rPr>
          <w:rFonts w:ascii="Arial" w:cs="Arial" w:eastAsia="Arial" w:hAnsi="Arial"/>
          <w:sz w:val="16"/>
          <w:szCs w:val="16"/>
          <w:color w:val="auto"/>
        </w:rPr>
        <w:t>” has the meaning assigned to such term in Section 2.05(f).</w:t>
      </w:r>
    </w:p>
    <w:p>
      <w:pPr>
        <w:spacing w:after="0" w:line="212" w:lineRule="exact"/>
        <w:rPr>
          <w:sz w:val="20"/>
          <w:szCs w:val="20"/>
          <w:color w:val="auto"/>
        </w:rPr>
      </w:pPr>
    </w:p>
    <w:p>
      <w:pPr>
        <w:jc w:val="both"/>
        <w:ind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Funds</w:t>
      </w:r>
      <w:r>
        <w:rPr>
          <w:rFonts w:ascii="Arial" w:cs="Arial" w:eastAsia="Arial" w:hAnsi="Arial"/>
          <w:sz w:val="16"/>
          <w:szCs w:val="16"/>
          <w:color w:val="auto"/>
        </w:rPr>
        <w:t>” means with respect to any Lender that is an Approved Fund, any other Approved Fund that is managed by the same investment advisor as such Lender or by an Affiliate of such investment advisor.</w:t>
      </w:r>
    </w:p>
    <w:p>
      <w:pPr>
        <w:spacing w:after="0" w:line="186" w:lineRule="exact"/>
        <w:rPr>
          <w:sz w:val="20"/>
          <w:szCs w:val="20"/>
          <w:color w:val="auto"/>
        </w:rPr>
      </w:pPr>
    </w:p>
    <w:p>
      <w:pPr>
        <w:jc w:val="both"/>
        <w:ind w:right="20"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92" w:lineRule="exact"/>
        <w:rPr>
          <w:sz w:val="20"/>
          <w:szCs w:val="20"/>
          <w:color w:val="auto"/>
        </w:rPr>
      </w:pPr>
    </w:p>
    <w:p>
      <w:pPr>
        <w:jc w:val="both"/>
        <w:ind w:right="20"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92" w:lineRule="exact"/>
        <w:rPr>
          <w:sz w:val="20"/>
          <w:szCs w:val="20"/>
          <w:color w:val="auto"/>
        </w:rPr>
      </w:pPr>
    </w:p>
    <w:p>
      <w:pPr>
        <w:jc w:val="both"/>
        <w:ind w:firstLine="112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and/or the Federal Reserve Bank of New York, or a committee officially endorsed or convened by the Federal Reserve Board and/or the Federal Reserve Bank of New York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9" w:lineRule="exact"/>
        <w:rPr>
          <w:sz w:val="20"/>
          <w:szCs w:val="20"/>
          <w:color w:val="auto"/>
        </w:rPr>
      </w:pPr>
    </w:p>
    <w:p>
      <w:pPr>
        <w:jc w:val="both"/>
        <w:ind w:right="20"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Rate</w:t>
      </w:r>
      <w:r>
        <w:rPr>
          <w:rFonts w:ascii="Arial" w:cs="Arial" w:eastAsia="Arial" w:hAnsi="Arial"/>
          <w:sz w:val="16"/>
          <w:szCs w:val="16"/>
          <w:color w:val="auto"/>
        </w:rPr>
        <w:t xml:space="preserve">” means (i) with respect to any Eurodollar Borrowing denominated in an Agreed Currency (other than Canadian Dollars or Euros), the LIBO Rate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(ii) with respect to any Eurodollar Borrowing denominated in Euros, EURIBOR, </w:t>
      </w:r>
      <w:r>
        <w:rPr>
          <w:rFonts w:ascii="Arial" w:cs="Arial" w:eastAsia="Arial" w:hAnsi="Arial"/>
          <w:sz w:val="16"/>
          <w:szCs w:val="16"/>
          <w:u w:val="single" w:color="auto"/>
          <w:color w:val="0000FF"/>
        </w:rPr>
        <w:t>or (iii) with respect to any SONIA Borrowing, Adjusted Daily Simple SONIA,</w:t>
      </w:r>
      <w:r>
        <w:rPr>
          <w:rFonts w:ascii="Arial" w:cs="Arial" w:eastAsia="Arial" w:hAnsi="Arial"/>
          <w:sz w:val="16"/>
          <w:szCs w:val="16"/>
          <w:color w:val="auto"/>
        </w:rPr>
        <w:t xml:space="preser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-181610</wp:posOffset>
            </wp:positionV>
            <wp:extent cx="1143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14300" cy="7620"/>
                    </a:xfrm>
                    <a:prstGeom prst="rect">
                      <a:avLst/>
                    </a:prstGeom>
                    <a:noFill/>
                  </pic:spPr>
                </pic:pic>
              </a:graphicData>
            </a:graphic>
          </wp:anchor>
        </w:drawing>
      </w:r>
    </w:p>
    <w:p>
      <w:pPr>
        <w:spacing w:after="0" w:line="172" w:lineRule="exact"/>
        <w:rPr>
          <w:sz w:val="20"/>
          <w:szCs w:val="20"/>
          <w:color w:val="auto"/>
        </w:rPr>
      </w:pPr>
    </w:p>
    <w:p>
      <w:pPr>
        <w:jc w:val="both"/>
        <w:ind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Screen Rate</w:t>
      </w:r>
      <w:r>
        <w:rPr>
          <w:rFonts w:ascii="Arial" w:cs="Arial" w:eastAsia="Arial" w:hAnsi="Arial"/>
          <w:sz w:val="16"/>
          <w:szCs w:val="16"/>
          <w:color w:val="auto"/>
        </w:rPr>
        <w:t>” means (i) with respect to any Eurodollar Borrowing denominated in an Agreed Currency (other than Canadian Dollars or Euros), the LIBO Screen Rate or (ii) with respect to any Eurodollar Borrowing denominated in Euros, the EURIBOR Screen Rate, as applicable.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has the meaning assigned to such term in Section 8.06.</w:t>
      </w:r>
    </w:p>
    <w:p>
      <w:pPr>
        <w:spacing w:after="0" w:line="212" w:lineRule="exact"/>
        <w:rPr>
          <w:sz w:val="20"/>
          <w:szCs w:val="20"/>
          <w:color w:val="auto"/>
        </w:rPr>
      </w:pPr>
    </w:p>
    <w:p>
      <w:pPr>
        <w:jc w:val="both"/>
        <w:ind w:firstLine="1125"/>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Repricing Transaction</w:t>
      </w:r>
      <w:r>
        <w:rPr>
          <w:rFonts w:ascii="Arial" w:cs="Arial" w:eastAsia="Arial" w:hAnsi="Arial"/>
          <w:sz w:val="14"/>
          <w:szCs w:val="14"/>
          <w:color w:val="auto"/>
        </w:rPr>
        <w:t>”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Refinancing Amendment No. 1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Refinancing Amendment No. 1 Term</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80"/>
          </w:cols>
          <w:pgMar w:left="400" w:top="1178" w:right="419" w:bottom="1440" w:gutter="0" w:footer="0" w:header="0"/>
        </w:sectPr>
      </w:pPr>
    </w:p>
    <w:bookmarkStart w:id="165" w:name="page166"/>
    <w:bookmarkEnd w:id="165"/>
    <w:p>
      <w:pPr>
        <w:ind w:left="80" w:firstLine="1125"/>
        <w:spacing w:after="0" w:line="3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SOFR</w:t>
      </w:r>
      <w:r>
        <w:rPr>
          <w:rFonts w:ascii="Arial" w:cs="Arial" w:eastAsia="Arial" w:hAnsi="Arial"/>
          <w:sz w:val="14"/>
          <w:szCs w:val="14"/>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w:t>
      </w:r>
      <w:r>
        <w:rPr>
          <w:rFonts w:ascii="Arial" w:cs="Arial" w:eastAsia="Arial" w:hAnsi="Arial"/>
          <w:sz w:val="16"/>
          <w:szCs w:val="16"/>
          <w:color w:val="auto"/>
        </w:rPr>
        <w:t>” means the Federal Reserve Bank of New York (or a successor administrator of the secured overnight financing rate).</w:t>
      </w:r>
    </w:p>
    <w:p>
      <w:pPr>
        <w:spacing w:after="0" w:line="212"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Administrator’s Website</w:t>
      </w:r>
      <w:r>
        <w:rPr>
          <w:rFonts w:ascii="Arial" w:cs="Arial" w:eastAsia="Arial" w:hAnsi="Arial"/>
          <w:sz w:val="16"/>
          <w:szCs w:val="16"/>
          <w:color w:val="auto"/>
        </w:rPr>
        <w:t>” means the NYFRB’s website,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has the meaning assigned to such term in the definition of the term “Consolidated EBITDA.”</w:t>
      </w:r>
    </w:p>
    <w:p>
      <w:pPr>
        <w:spacing w:after="0" w:line="12" w:lineRule="exact"/>
        <w:rPr>
          <w:sz w:val="20"/>
          <w:szCs w:val="20"/>
          <w:color w:val="auto"/>
        </w:rPr>
      </w:pPr>
    </w:p>
    <w:p>
      <w:pPr>
        <w:ind w:left="1200"/>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Solicited Discount Proration</w:t>
      </w:r>
      <w:r>
        <w:rPr>
          <w:rFonts w:ascii="Arial" w:cs="Arial" w:eastAsia="Arial" w:hAnsi="Arial"/>
          <w:sz w:val="16"/>
          <w:szCs w:val="16"/>
          <w:color w:val="auto"/>
        </w:rPr>
        <w:t>” has the meaning assigned to such term in Section 2.11(a)(ii)(D)(3). “</w:t>
      </w:r>
      <w:r>
        <w:rPr>
          <w:rFonts w:ascii="Arial" w:cs="Arial" w:eastAsia="Arial" w:hAnsi="Arial"/>
          <w:sz w:val="16"/>
          <w:szCs w:val="16"/>
          <w:u w:val="single" w:color="auto"/>
          <w:color w:val="auto"/>
        </w:rPr>
        <w:t>Solicited Discounted Prepayment Amount</w:t>
      </w:r>
      <w:r>
        <w:rPr>
          <w:rFonts w:ascii="Arial" w:cs="Arial" w:eastAsia="Arial" w:hAnsi="Arial"/>
          <w:sz w:val="16"/>
          <w:szCs w:val="16"/>
          <w:color w:val="auto"/>
        </w:rPr>
        <w:t>” has the meaning assigned to such term in</w:t>
      </w:r>
    </w:p>
    <w:p>
      <w:pPr>
        <w:ind w:left="80"/>
        <w:spacing w:after="0"/>
        <w:rPr>
          <w:sz w:val="20"/>
          <w:szCs w:val="20"/>
          <w:color w:val="auto"/>
        </w:rPr>
      </w:pPr>
      <w:r>
        <w:rPr>
          <w:rFonts w:ascii="Arial" w:cs="Arial" w:eastAsia="Arial" w:hAnsi="Arial"/>
          <w:sz w:val="16"/>
          <w:szCs w:val="16"/>
          <w:color w:val="auto"/>
        </w:rPr>
        <w:t>Section 2.11(a)(ii)(D)(1).</w:t>
      </w:r>
    </w:p>
    <w:p>
      <w:pPr>
        <w:spacing w:after="0" w:line="202"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Solicited Discounted Prepayment Notice</w:t>
      </w:r>
      <w:r>
        <w:rPr>
          <w:rFonts w:ascii="Arial" w:cs="Arial" w:eastAsia="Arial" w:hAnsi="Arial"/>
          <w:sz w:val="16"/>
          <w:szCs w:val="16"/>
          <w:color w:val="auto"/>
        </w:rPr>
        <w:t>” means an irrevocable written notice of a Borrower Solicitation of Discounted Prepayment Offers made pursuant to Section 2.11(a)(ii)(D) substantially in the form of Exhibit K.</w:t>
      </w:r>
    </w:p>
    <w:p>
      <w:pPr>
        <w:spacing w:after="0" w:line="186"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Solicited Discounted Prepayment Offer</w:t>
      </w:r>
      <w:r>
        <w:rPr>
          <w:rFonts w:ascii="Arial" w:cs="Arial" w:eastAsia="Arial" w:hAnsi="Arial"/>
          <w:sz w:val="16"/>
          <w:szCs w:val="16"/>
          <w:color w:val="auto"/>
        </w:rPr>
        <w:t>” means the irrevocable written offer by each Term Lender, substantially in the form of Exhibit L, submitted following the First Lien Administrative Agent’s receipt of a Solicited Discounted Prepayment Notice.</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Solicited Discounted Prepayment Response Date</w:t>
      </w:r>
      <w:r>
        <w:rPr>
          <w:rFonts w:ascii="Arial" w:cs="Arial" w:eastAsia="Arial" w:hAnsi="Arial"/>
          <w:sz w:val="16"/>
          <w:szCs w:val="16"/>
          <w:color w:val="auto"/>
        </w:rPr>
        <w:t>” has the meaning assigned to such term in Section 2.11(a)(ii)(D)(1).</w:t>
      </w:r>
    </w:p>
    <w:p>
      <w:pPr>
        <w:spacing w:after="0" w:line="212" w:lineRule="exact"/>
        <w:rPr>
          <w:sz w:val="20"/>
          <w:szCs w:val="20"/>
          <w:color w:val="auto"/>
        </w:rPr>
      </w:pPr>
    </w:p>
    <w:p>
      <w:pPr>
        <w:ind w:right="20" w:firstLine="1189"/>
        <w:spacing w:after="0" w:line="259" w:lineRule="auto"/>
        <w:rPr>
          <w:sz w:val="20"/>
          <w:szCs w:val="20"/>
          <w:color w:val="auto"/>
        </w:rPr>
      </w:pPr>
      <w:r>
        <w:rPr>
          <w:rFonts w:ascii="Arial" w:cs="Arial" w:eastAsia="Arial" w:hAnsi="Arial"/>
          <w:sz w:val="16"/>
          <w:szCs w:val="16"/>
          <w:u w:val="single" w:color="auto"/>
          <w:color w:val="0000FF"/>
        </w:rPr>
        <w:t>“ SONIA” means, with respect to any Business Day, a rate per annum equal to the Ster ling Overnight Index Average for such Business Day published by the SONIA Administrator on the SONIA Administrator’s Website on the immediately succeeding Business Day.</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0000FF"/>
        </w:rPr>
        <w:t>“ SONIA Administrator” means the Bank of England (or any successor administrator of the Sterling Overnight Index Average).</w:t>
      </w:r>
    </w:p>
    <w:p>
      <w:pPr>
        <w:spacing w:after="0" w:line="212" w:lineRule="exact"/>
        <w:rPr>
          <w:sz w:val="20"/>
          <w:szCs w:val="20"/>
          <w:color w:val="auto"/>
        </w:rPr>
      </w:pPr>
    </w:p>
    <w:p>
      <w:pPr>
        <w:ind w:left="80" w:right="20" w:firstLine="1125"/>
        <w:spacing w:after="0" w:line="259" w:lineRule="auto"/>
        <w:rPr>
          <w:sz w:val="20"/>
          <w:szCs w:val="20"/>
          <w:color w:val="auto"/>
        </w:rPr>
      </w:pPr>
      <w:r>
        <w:rPr>
          <w:rFonts w:ascii="Arial" w:cs="Arial" w:eastAsia="Arial" w:hAnsi="Arial"/>
          <w:sz w:val="16"/>
          <w:szCs w:val="16"/>
          <w:u w:val="single" w:color="auto"/>
          <w:color w:val="0000FF"/>
        </w:rPr>
        <w:t>“ SONIA Administrator’s Website” means the Bank of England’s website, currently at http://www.bankofengland.co.uk, or any successor source for the Ster ling Overnight Index Average identified as such by the SONIA Administrator from time to time.</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0000FF"/>
        </w:rPr>
        <w:t>“ SONIA Borrowing” means, for any as to any Borrowing, the SONIA Loans compr ising</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0000FF"/>
        </w:rPr>
        <w:t>such Borrowing.</w:t>
      </w:r>
    </w:p>
    <w:p>
      <w:pPr>
        <w:spacing w:after="0" w:line="212" w:lineRule="exact"/>
        <w:rPr>
          <w:sz w:val="20"/>
          <w:szCs w:val="20"/>
          <w:color w:val="auto"/>
        </w:rPr>
      </w:pPr>
    </w:p>
    <w:p>
      <w:pPr>
        <w:ind w:left="80" w:right="100" w:firstLine="1125"/>
        <w:spacing w:after="0" w:line="259" w:lineRule="auto"/>
        <w:rPr>
          <w:sz w:val="20"/>
          <w:szCs w:val="20"/>
          <w:color w:val="auto"/>
        </w:rPr>
      </w:pPr>
      <w:r>
        <w:rPr>
          <w:rFonts w:ascii="Arial" w:cs="Arial" w:eastAsia="Arial" w:hAnsi="Arial"/>
          <w:sz w:val="16"/>
          <w:szCs w:val="16"/>
          <w:color w:val="0000FF"/>
        </w:rPr>
        <w:t xml:space="preserve">“ SONIA Business Day” means, for any Loan denominated in Sterling, any day except for (i) </w:t>
      </w:r>
      <w:r>
        <w:rPr>
          <w:rFonts w:ascii="Arial" w:cs="Arial" w:eastAsia="Arial" w:hAnsi="Arial"/>
          <w:sz w:val="16"/>
          <w:szCs w:val="16"/>
          <w:u w:val="single" w:color="auto"/>
          <w:color w:val="0000FF"/>
        </w:rPr>
        <w:t>a Saturday, (ii) a Sunday or (iii) a day on which banks are closed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for general business in London.</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0000FF"/>
        </w:rPr>
        <w:t>“ SONIA Interest Day” has the meaning specified in the definition of “ Daily Simple SONIA”.</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0000FF"/>
        </w:rPr>
        <w:t>“ SONIA Loan” means any Loan denominated in Ster ling, which shall bear interest at a rate based on the Adjusted Daily Simple SONIA.</w:t>
      </w:r>
    </w:p>
    <w:p>
      <w:pPr>
        <w:spacing w:after="0" w:line="21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Discount</w:t>
      </w:r>
      <w:r>
        <w:rPr>
          <w:rFonts w:ascii="Arial" w:cs="Arial" w:eastAsia="Arial" w:hAnsi="Arial"/>
          <w:sz w:val="16"/>
          <w:szCs w:val="16"/>
          <w:color w:val="auto"/>
        </w:rPr>
        <w:t>” has the meaning assigned to such term in Section 2.11(a)(ii)(B)(1).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160"/>
          </w:cols>
          <w:pgMar w:left="320" w:top="1178" w:right="419" w:bottom="1440" w:gutter="0" w:footer="0" w:header="0"/>
        </w:sectPr>
      </w:pPr>
    </w:p>
    <w:bookmarkStart w:id="166" w:name="page167"/>
    <w:bookmarkEnd w:id="166"/>
    <w:p>
      <w:pPr>
        <w:jc w:val="both"/>
        <w:ind w:right="20" w:firstLine="112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means, as of any date of determination, the ratio, on a Pro Forma Basis, of (a) Consolidated Total Net Indebtedness as of such date to (b) Consolidated EBITDA for the most recently ended Test Period.</w:t>
      </w:r>
    </w:p>
    <w:p>
      <w:pPr>
        <w:spacing w:after="0" w:line="1" w:lineRule="exact"/>
        <w:rPr>
          <w:sz w:val="20"/>
          <w:szCs w:val="20"/>
          <w:color w:val="auto"/>
        </w:rPr>
      </w:pPr>
    </w:p>
    <w:p>
      <w:pPr>
        <w:ind w:left="1180" w:right="80" w:hanging="64"/>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has the meaning assigned to such term in the First Lien Collateral Agreement. “</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all fees, costs and expenses incurred or payable by Holdings, the</w:t>
      </w:r>
    </w:p>
    <w:p>
      <w:pPr>
        <w:spacing w:after="0"/>
        <w:rPr>
          <w:sz w:val="20"/>
          <w:szCs w:val="20"/>
          <w:color w:val="auto"/>
        </w:rPr>
      </w:pPr>
      <w:r>
        <w:rPr>
          <w:rFonts w:ascii="Arial" w:cs="Arial" w:eastAsia="Arial" w:hAnsi="Arial"/>
          <w:sz w:val="16"/>
          <w:szCs w:val="16"/>
          <w:color w:val="auto"/>
        </w:rPr>
        <w:t>Borrower or any other Subsidiary in connection with the Transactions.</w:t>
      </w:r>
    </w:p>
    <w:p>
      <w:pPr>
        <w:spacing w:after="0" w:line="202" w:lineRule="exact"/>
        <w:rPr>
          <w:sz w:val="20"/>
          <w:szCs w:val="20"/>
          <w:color w:val="auto"/>
        </w:rPr>
      </w:pPr>
    </w:p>
    <w:p>
      <w:pPr>
        <w:ind w:right="20"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(a) the First Lien Financing Transactions and the Second Lien Financing Transactions, (b) the Refinancing and (c) the payment of the Transaction Costs.</w:t>
      </w:r>
    </w:p>
    <w:p>
      <w:pPr>
        <w:spacing w:after="0" w:line="186" w:lineRule="exact"/>
        <w:rPr>
          <w:sz w:val="20"/>
          <w:szCs w:val="20"/>
          <w:color w:val="auto"/>
        </w:rPr>
      </w:pPr>
    </w:p>
    <w:p>
      <w:pPr>
        <w:jc w:val="both"/>
        <w:ind w:firstLine="1125"/>
        <w:spacing w:after="0" w:line="3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Type</w:t>
      </w:r>
      <w:r>
        <w:rPr>
          <w:rFonts w:ascii="Arial" w:cs="Arial" w:eastAsia="Arial" w:hAnsi="Arial"/>
          <w:sz w:val="14"/>
          <w:szCs w:val="14"/>
          <w:color w:val="auto"/>
        </w:rPr>
        <w:t xml:space="preserve">,” when used in reference to any Loan or Borrowing, refers to whether the rate of interest on such Loan, or on the Loans comprising such Borrowing, is determined by reference to the Adjusted LIBO Rate, Adjusted BA Rate, Adjusted EURIBOR, Alternate Base Rate </w:t>
      </w:r>
      <w:r>
        <w:rPr>
          <w:rFonts w:ascii="Arial" w:cs="Arial" w:eastAsia="Arial" w:hAnsi="Arial"/>
          <w:sz w:val="14"/>
          <w:szCs w:val="14"/>
          <w:color w:val="FF0000"/>
        </w:rPr>
        <w:t>or</w:t>
      </w:r>
      <w:r>
        <w:rPr>
          <w:rFonts w:ascii="Arial" w:cs="Arial" w:eastAsia="Arial" w:hAnsi="Arial"/>
          <w:sz w:val="14"/>
          <w:szCs w:val="14"/>
          <w:color w:val="0000FF"/>
        </w:rPr>
        <w:t>,</w:t>
      </w:r>
      <w:r>
        <w:rPr>
          <w:rFonts w:ascii="Arial" w:cs="Arial" w:eastAsia="Arial" w:hAnsi="Arial"/>
          <w:sz w:val="14"/>
          <w:szCs w:val="14"/>
          <w:color w:val="auto"/>
        </w:rPr>
        <w:t xml:space="preserve"> Canadian Base Rate </w:t>
      </w:r>
      <w:r>
        <w:rPr>
          <w:rFonts w:ascii="Arial" w:cs="Arial" w:eastAsia="Arial" w:hAnsi="Arial"/>
          <w:sz w:val="14"/>
          <w:szCs w:val="14"/>
          <w:color w:val="0000FF"/>
        </w:rPr>
        <w:t>or Adjusted Daily Simple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SONIA</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-95885</wp:posOffset>
            </wp:positionV>
            <wp:extent cx="1066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-59055</wp:posOffset>
            </wp:positionV>
            <wp:extent cx="103568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1035685" cy="7620"/>
                    </a:xfrm>
                    <a:prstGeom prst="rect">
                      <a:avLst/>
                    </a:prstGeom>
                    <a:noFill/>
                  </pic:spPr>
                </pic:pic>
              </a:graphicData>
            </a:graphic>
          </wp:anchor>
        </w:drawing>
      </w:r>
    </w:p>
    <w:p>
      <w:pPr>
        <w:spacing w:after="0" w:line="120" w:lineRule="exact"/>
        <w:rPr>
          <w:sz w:val="20"/>
          <w:szCs w:val="20"/>
          <w:color w:val="auto"/>
        </w:rPr>
      </w:pPr>
    </w:p>
    <w:p>
      <w:pPr>
        <w:jc w:val="both"/>
        <w:ind w:firstLine="1125"/>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96" w:lineRule="exact"/>
        <w:rPr>
          <w:sz w:val="20"/>
          <w:szCs w:val="20"/>
          <w:color w:val="auto"/>
        </w:rPr>
      </w:pPr>
    </w:p>
    <w:p>
      <w:pPr>
        <w:jc w:val="both"/>
        <w:ind w:firstLine="1125"/>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UCP</w:t>
      </w:r>
      <w:r>
        <w:rPr>
          <w:rFonts w:ascii="Arial" w:cs="Arial" w:eastAsia="Arial" w:hAnsi="Arial"/>
          <w:sz w:val="14"/>
          <w:szCs w:val="14"/>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58" w:lineRule="exact"/>
        <w:rPr>
          <w:sz w:val="20"/>
          <w:szCs w:val="20"/>
          <w:color w:val="auto"/>
        </w:rPr>
      </w:pPr>
    </w:p>
    <w:p>
      <w:pPr>
        <w:jc w:val="both"/>
        <w:ind w:firstLine="1125"/>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Financial Institution</w:t>
      </w:r>
      <w:r>
        <w:rPr>
          <w:rFonts w:ascii="Arial" w:cs="Arial" w:eastAsia="Arial" w:hAnsi="Arial"/>
          <w:sz w:val="14"/>
          <w:szCs w:val="14"/>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112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Resolution Authority</w:t>
      </w:r>
      <w:r>
        <w:rPr>
          <w:rFonts w:ascii="Arial" w:cs="Arial" w:eastAsia="Arial" w:hAnsi="Arial"/>
          <w:sz w:val="16"/>
          <w:szCs w:val="16"/>
          <w:color w:val="auto"/>
        </w:rPr>
        <w:t>” means the Bank of England or any other public administrative authority having responsibility for the resolution of any UK Financial Institution.</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Unadjusted Benchmark Replacement</w:t>
      </w:r>
      <w:r>
        <w:rPr>
          <w:rFonts w:ascii="Arial" w:cs="Arial" w:eastAsia="Arial" w:hAnsi="Arial"/>
          <w:sz w:val="14"/>
          <w:szCs w:val="14"/>
          <w:color w:val="auto"/>
        </w:rPr>
        <w:t>” means the applicable Benchmark Replacement excluding the related Benchmark Replacement Adjustment.</w:t>
      </w:r>
    </w:p>
    <w:p>
      <w:pPr>
        <w:spacing w:after="0" w:line="235" w:lineRule="exact"/>
        <w:rPr>
          <w:sz w:val="20"/>
          <w:szCs w:val="20"/>
          <w:color w:val="auto"/>
        </w:rPr>
      </w:pPr>
    </w:p>
    <w:p>
      <w:pPr>
        <w:jc w:val="both"/>
        <w:ind w:firstLine="112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Tax Compliance Certificate</w:t>
      </w:r>
      <w:r>
        <w:rPr>
          <w:rFonts w:ascii="Arial" w:cs="Arial" w:eastAsia="Arial" w:hAnsi="Arial"/>
          <w:sz w:val="16"/>
          <w:szCs w:val="16"/>
          <w:color w:val="auto"/>
        </w:rPr>
        <w:t>” has the meaning assigned to such term in Section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2.17(f)(ii)(C).</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Unrestricted Subsidiary</w:t>
      </w:r>
      <w:r>
        <w:rPr>
          <w:rFonts w:ascii="Arial" w:cs="Arial" w:eastAsia="Arial" w:hAnsi="Arial"/>
          <w:sz w:val="14"/>
          <w:szCs w:val="14"/>
          <w:color w:val="auto"/>
        </w:rPr>
        <w:t>” means any Subsidiary designated by the Borrower as an Unrestricted Subsidiary pursuant to Section 5.13 subsequent to the Effective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80"/>
          </w:cols>
          <w:pgMar w:left="400" w:top="1178" w:right="419" w:bottom="1440" w:gutter="0" w:footer="0" w:header="0"/>
        </w:sectPr>
      </w:pPr>
    </w:p>
    <w:bookmarkStart w:id="167" w:name="page168"/>
    <w:bookmarkEnd w:id="167"/>
    <w:p>
      <w:pPr>
        <w:jc w:val="both"/>
        <w:ind w:left="7"/>
        <w:spacing w:after="0" w:line="282" w:lineRule="auto"/>
        <w:rPr>
          <w:sz w:val="20"/>
          <w:szCs w:val="20"/>
          <w:color w:val="auto"/>
        </w:rPr>
      </w:pPr>
      <w:r>
        <w:rPr>
          <w:rFonts w:ascii="Arial" w:cs="Arial" w:eastAsia="Arial" w:hAnsi="Arial"/>
          <w:sz w:val="14"/>
          <w:szCs w:val="14"/>
          <w:color w:val="auto"/>
        </w:rPr>
        <w:t>to, the administration, submission or any other matter related to the London interbank offered rate or other rates in the definition of “LIBO Rate” (or “EURIBOR”, as applicable) or with respect to any alternative or successor rate thereto, or replacement rate thereof (including, without limitation, (i) any such alternative, successor or replacement rate implemented pursuant to Section 2.14(b) or (c), whether upon the occurrence of a Benchmark Transition Event, a Term SOFR Transition Event or an Early Opt-in Election, and</w:t>
      </w:r>
    </w:p>
    <w:p>
      <w:pPr>
        <w:spacing w:after="0" w:line="2" w:lineRule="exact"/>
        <w:rPr>
          <w:sz w:val="20"/>
          <w:szCs w:val="20"/>
          <w:color w:val="auto"/>
        </w:rPr>
      </w:pPr>
    </w:p>
    <w:p>
      <w:pPr>
        <w:jc w:val="both"/>
        <w:ind w:left="7" w:hanging="7"/>
        <w:spacing w:after="0" w:line="244" w:lineRule="auto"/>
        <w:tabs>
          <w:tab w:leader="none" w:pos="2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“EURIBOR”, as applicable) or have the same volume or liquidity as did the London interbank offered rate (or the euro interbank offered rate, as applicable) prior to its discontinuance or unavailability.</w:t>
      </w:r>
    </w:p>
    <w:p>
      <w:pPr>
        <w:spacing w:after="0" w:line="198"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ARTICLE II</w:t>
      </w:r>
    </w:p>
    <w:p>
      <w:pPr>
        <w:spacing w:after="0" w:line="201" w:lineRule="exact"/>
        <w:rPr>
          <w:sz w:val="20"/>
          <w:szCs w:val="20"/>
          <w:color w:val="auto"/>
        </w:rPr>
      </w:pPr>
    </w:p>
    <w:p>
      <w:pPr>
        <w:jc w:val="center"/>
        <w:ind w:right="-86"/>
        <w:spacing w:after="0"/>
        <w:rPr>
          <w:sz w:val="20"/>
          <w:szCs w:val="20"/>
          <w:color w:val="auto"/>
        </w:rPr>
      </w:pPr>
      <w:r>
        <w:rPr>
          <w:rFonts w:ascii="Arial" w:cs="Arial" w:eastAsia="Arial" w:hAnsi="Arial"/>
          <w:sz w:val="16"/>
          <w:szCs w:val="16"/>
          <w:u w:val="single" w:color="auto"/>
          <w:color w:val="auto"/>
        </w:rPr>
        <w:t>THE CREDITS</w:t>
      </w:r>
    </w:p>
    <w:p>
      <w:pPr>
        <w:spacing w:after="0" w:line="177" w:lineRule="exact"/>
        <w:rPr>
          <w:sz w:val="20"/>
          <w:szCs w:val="20"/>
          <w:color w:val="auto"/>
        </w:rPr>
      </w:pPr>
    </w:p>
    <w:p>
      <w:pPr>
        <w:ind w:left="1187"/>
        <w:spacing w:after="0"/>
        <w:tabs>
          <w:tab w:leader="none" w:pos="2286"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auto"/>
        </w:rPr>
        <w:t>Commitments</w:t>
      </w:r>
      <w:r>
        <w:rPr>
          <w:rFonts w:ascii="Arial" w:cs="Arial" w:eastAsia="Arial" w:hAnsi="Arial"/>
          <w:sz w:val="14"/>
          <w:szCs w:val="14"/>
          <w:color w:val="auto"/>
        </w:rPr>
        <w:t>.</w:t>
      </w:r>
    </w:p>
    <w:p>
      <w:pPr>
        <w:spacing w:after="0" w:line="189" w:lineRule="exact"/>
        <w:rPr>
          <w:sz w:val="20"/>
          <w:szCs w:val="20"/>
          <w:color w:val="auto"/>
        </w:rPr>
      </w:pPr>
    </w:p>
    <w:p>
      <w:pPr>
        <w:jc w:val="both"/>
        <w:ind w:left="87" w:firstLine="1125"/>
        <w:spacing w:after="0" w:line="246" w:lineRule="auto"/>
        <w:rPr>
          <w:sz w:val="20"/>
          <w:szCs w:val="20"/>
          <w:color w:val="auto"/>
        </w:rPr>
      </w:pPr>
      <w:r>
        <w:rPr>
          <w:rFonts w:ascii="Arial" w:cs="Arial" w:eastAsia="Arial" w:hAnsi="Arial"/>
          <w:sz w:val="16"/>
          <w:szCs w:val="16"/>
          <w:color w:val="auto"/>
        </w:rPr>
        <w:t>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197" w:lineRule="exact"/>
        <w:rPr>
          <w:sz w:val="20"/>
          <w:szCs w:val="20"/>
          <w:color w:val="auto"/>
        </w:rPr>
      </w:pPr>
    </w:p>
    <w:p>
      <w:pPr>
        <w:ind w:left="1207"/>
        <w:spacing w:after="0"/>
        <w:tabs>
          <w:tab w:leader="none" w:pos="2306" w:val="left"/>
        </w:tabs>
        <w:rPr>
          <w:sz w:val="20"/>
          <w:szCs w:val="20"/>
          <w:color w:val="auto"/>
        </w:rPr>
      </w:pPr>
      <w:r>
        <w:rPr>
          <w:rFonts w:ascii="Arial" w:cs="Arial" w:eastAsia="Arial" w:hAnsi="Arial"/>
          <w:sz w:val="16"/>
          <w:szCs w:val="16"/>
          <w:color w:val="auto"/>
        </w:rPr>
        <w:t>SECTION 2.02</w:t>
      </w:r>
      <w:r>
        <w:rPr>
          <w:sz w:val="20"/>
          <w:szCs w:val="20"/>
          <w:color w:val="auto"/>
        </w:rPr>
        <w:tab/>
      </w:r>
      <w:r>
        <w:rPr>
          <w:rFonts w:ascii="Arial" w:cs="Arial" w:eastAsia="Arial" w:hAnsi="Arial"/>
          <w:sz w:val="14"/>
          <w:szCs w:val="14"/>
          <w:u w:val="single" w:color="auto"/>
          <w:color w:val="auto"/>
        </w:rPr>
        <w:t>Loans and Borrowings</w:t>
      </w:r>
      <w:r>
        <w:rPr>
          <w:rFonts w:ascii="Arial" w:cs="Arial" w:eastAsia="Arial" w:hAnsi="Arial"/>
          <w:sz w:val="14"/>
          <w:szCs w:val="14"/>
          <w:color w:val="auto"/>
        </w:rPr>
        <w:t>.</w:t>
      </w:r>
    </w:p>
    <w:p>
      <w:pPr>
        <w:spacing w:after="0" w:line="212" w:lineRule="exact"/>
        <w:rPr>
          <w:sz w:val="20"/>
          <w:szCs w:val="20"/>
          <w:color w:val="auto"/>
        </w:rPr>
      </w:pPr>
    </w:p>
    <w:p>
      <w:pPr>
        <w:jc w:val="both"/>
        <w:ind w:left="87" w:right="20" w:firstLine="1122"/>
        <w:spacing w:after="0" w:line="247" w:lineRule="auto"/>
        <w:tabs>
          <w:tab w:leader="none" w:pos="16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95" w:lineRule="exact"/>
        <w:rPr>
          <w:rFonts w:ascii="Arial" w:cs="Arial" w:eastAsia="Arial" w:hAnsi="Arial"/>
          <w:sz w:val="16"/>
          <w:szCs w:val="16"/>
          <w:color w:val="auto"/>
        </w:rPr>
      </w:pPr>
    </w:p>
    <w:p>
      <w:pPr>
        <w:ind w:left="87" w:right="120" w:firstLine="1122"/>
        <w:spacing w:after="0" w:line="246" w:lineRule="auto"/>
        <w:tabs>
          <w:tab w:leader="none" w:pos="16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Subject to Section 2.14, each Revolving Borrowing and Term Borrowing shall be comprised entirely of ABR Loans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Eurodollar </w:t>
      </w:r>
      <w:r>
        <w:rPr>
          <w:rFonts w:ascii="Arial" w:cs="Arial" w:eastAsia="Arial" w:hAnsi="Arial"/>
          <w:sz w:val="16"/>
          <w:szCs w:val="16"/>
          <w:u w:val="single" w:color="auto"/>
          <w:color w:val="0000FF"/>
        </w:rPr>
        <w:t>Loans or SONIA</w:t>
      </w:r>
      <w:r>
        <w:rPr>
          <w:rFonts w:ascii="Arial" w:cs="Arial" w:eastAsia="Arial" w:hAnsi="Arial"/>
          <w:sz w:val="16"/>
          <w:szCs w:val="16"/>
          <w:color w:val="auto"/>
        </w:rPr>
        <w:t xml:space="preserve"> Loans as the Borrower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Borrowings made on the Effective Date must be made as ABR Borrowings unless the Borrower shall have given the notice required for a Eurodollar Borrowing under Section 2.03 and provided an indemnity letter extending the benefits of Section 2.16 to Lenders in respect of such Borrowings. Revolving Loans denominated in (i) Dollars or Canadian Dollars may be ABR Loans or Eurodollar Loans </w:t>
      </w:r>
      <w:r>
        <w:rPr>
          <w:rFonts w:ascii="Arial" w:cs="Arial" w:eastAsia="Arial" w:hAnsi="Arial"/>
          <w:sz w:val="16"/>
          <w:szCs w:val="16"/>
          <w:color w:val="FF0000"/>
        </w:rPr>
        <w:t>and</w:t>
      </w:r>
      <w:r>
        <w:rPr>
          <w:rFonts w:ascii="Arial" w:cs="Arial" w:eastAsia="Arial" w:hAnsi="Arial"/>
          <w:sz w:val="16"/>
          <w:szCs w:val="16"/>
          <w:color w:val="0000FF"/>
        </w:rPr>
        <w:t>,</w:t>
      </w:r>
      <w:r>
        <w:rPr>
          <w:rFonts w:ascii="Arial" w:cs="Arial" w:eastAsia="Arial" w:hAnsi="Arial"/>
          <w:sz w:val="16"/>
          <w:szCs w:val="16"/>
          <w:color w:val="auto"/>
        </w:rPr>
        <w:t xml:space="preserve"> (ii) any Alternative Currency (other than Canadian Dollars </w:t>
      </w:r>
      <w:r>
        <w:rPr>
          <w:rFonts w:ascii="Arial" w:cs="Arial" w:eastAsia="Arial" w:hAnsi="Arial"/>
          <w:sz w:val="16"/>
          <w:szCs w:val="16"/>
          <w:color w:val="0000FF"/>
        </w:rPr>
        <w:t>or Sterling</w:t>
      </w:r>
      <w:r>
        <w:rPr>
          <w:rFonts w:ascii="Arial" w:cs="Arial" w:eastAsia="Arial" w:hAnsi="Arial"/>
          <w:sz w:val="16"/>
          <w:szCs w:val="16"/>
          <w:color w:val="auto"/>
        </w:rPr>
        <w:t xml:space="preserve">) shall be Eurodollar </w:t>
      </w:r>
      <w:r>
        <w:rPr>
          <w:rFonts w:ascii="Arial" w:cs="Arial" w:eastAsia="Arial" w:hAnsi="Arial"/>
          <w:sz w:val="16"/>
          <w:szCs w:val="16"/>
          <w:u w:val="single" w:color="auto"/>
          <w:color w:val="0000FF"/>
        </w:rPr>
        <w:t>Loans and (iii) Sterling shall be SONIA</w:t>
      </w:r>
      <w:r>
        <w:rPr>
          <w:rFonts w:ascii="Arial" w:cs="Arial" w:eastAsia="Arial" w:hAnsi="Arial"/>
          <w:sz w:val="16"/>
          <w:szCs w:val="16"/>
          <w:color w:val="auto"/>
        </w:rPr>
        <w:t xml:space="preserve"> Loans. Each Lender at its option may make any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83" w:lineRule="exact"/>
        <w:rPr>
          <w:rFonts w:ascii="Arial" w:cs="Arial" w:eastAsia="Arial" w:hAnsi="Arial"/>
          <w:sz w:val="16"/>
          <w:szCs w:val="16"/>
          <w:color w:val="auto"/>
        </w:rPr>
      </w:pPr>
    </w:p>
    <w:p>
      <w:pPr>
        <w:jc w:val="both"/>
        <w:ind w:left="87" w:right="20" w:firstLine="1122"/>
        <w:spacing w:after="0" w:line="220" w:lineRule="auto"/>
        <w:tabs>
          <w:tab w:leader="none" w:pos="16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Eurodollar Borrowing, such Borrowing shall be in an aggregate amount that is an integral multiple of the Borrowing Multiple and not less than the Borrowing Minimum;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more than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5634990</wp:posOffset>
            </wp:positionH>
            <wp:positionV relativeFrom="paragraph">
              <wp:posOffset>-1530985</wp:posOffset>
            </wp:positionV>
            <wp:extent cx="1066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-1175385</wp:posOffset>
            </wp:positionV>
            <wp:extent cx="16700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167005" cy="7620"/>
                    </a:xfrm>
                    <a:prstGeom prst="rect">
                      <a:avLst/>
                    </a:prstGeom>
                    <a:noFill/>
                  </pic:spPr>
                </pic:pic>
              </a:graphicData>
            </a:graphic>
          </wp:anchor>
        </w:drawing>
        <w:drawing>
          <wp:anchor simplePos="0" relativeHeight="251657728" behindDoc="1" locked="0" layoutInCell="0" allowOverlap="1">
            <wp:simplePos x="0" y="0"/>
            <wp:positionH relativeFrom="column">
              <wp:posOffset>741045</wp:posOffset>
            </wp:positionH>
            <wp:positionV relativeFrom="paragraph">
              <wp:posOffset>-1020445</wp:posOffset>
            </wp:positionV>
            <wp:extent cx="44386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443865" cy="7620"/>
                    </a:xfrm>
                    <a:prstGeom prst="rect">
                      <a:avLst/>
                    </a:prstGeom>
                    <a:noFill/>
                  </pic:spPr>
                </pic:pic>
              </a:graphicData>
            </a:graphic>
          </wp:anchor>
        </w:drawing>
      </w:r>
    </w:p>
    <w:p>
      <w:pPr>
        <w:spacing w:after="0" w:line="25" w:lineRule="exact"/>
        <w:rPr>
          <w:sz w:val="20"/>
          <w:szCs w:val="20"/>
          <w:color w:val="auto"/>
        </w:rPr>
      </w:pPr>
    </w:p>
    <w:p>
      <w:pPr>
        <w:ind w:left="6187"/>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167"/>
          </w:cols>
          <w:pgMar w:left="313" w:top="1178" w:right="419" w:bottom="1440" w:gutter="0" w:footer="0" w:header="0"/>
        </w:sectPr>
      </w:pPr>
    </w:p>
    <w:bookmarkStart w:id="168" w:name="page169"/>
    <w:bookmarkEnd w:id="168"/>
    <w:p>
      <w:pPr>
        <w:jc w:val="both"/>
        <w:spacing w:after="0" w:line="251" w:lineRule="auto"/>
        <w:rPr>
          <w:sz w:val="20"/>
          <w:szCs w:val="20"/>
          <w:color w:val="auto"/>
        </w:rPr>
      </w:pPr>
      <w:r>
        <w:rPr>
          <w:rFonts w:ascii="Arial" w:cs="Arial" w:eastAsia="Arial" w:hAnsi="Arial"/>
          <w:sz w:val="16"/>
          <w:szCs w:val="16"/>
          <w:color w:val="auto"/>
        </w:rPr>
        <w:t xml:space="preserve">total of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twelve Eurodollar </w:t>
      </w:r>
      <w:r>
        <w:rPr>
          <w:rFonts w:ascii="Arial" w:cs="Arial" w:eastAsia="Arial" w:hAnsi="Arial"/>
          <w:sz w:val="16"/>
          <w:szCs w:val="16"/>
          <w:u w:val="single" w:color="auto"/>
          <w:color w:val="0000FF"/>
        </w:rPr>
        <w:t>Borrowings outstanding and (ii) four SONIA</w:t>
      </w:r>
      <w:r>
        <w:rPr>
          <w:rFonts w:ascii="Arial" w:cs="Arial" w:eastAsia="Arial" w:hAnsi="Arial"/>
          <w:sz w:val="16"/>
          <w:szCs w:val="16"/>
          <w:color w:val="auto"/>
        </w:rPr>
        <w:t xml:space="preserve">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92" w:lineRule="exact"/>
        <w:rPr>
          <w:sz w:val="20"/>
          <w:szCs w:val="20"/>
          <w:color w:val="auto"/>
        </w:rPr>
      </w:pPr>
    </w:p>
    <w:p>
      <w:pPr>
        <w:ind w:left="1200"/>
        <w:spacing w:after="0"/>
        <w:tabs>
          <w:tab w:leader="none" w:pos="2300" w:val="left"/>
        </w:tabs>
        <w:rPr>
          <w:sz w:val="20"/>
          <w:szCs w:val="20"/>
          <w:color w:val="auto"/>
        </w:rPr>
      </w:pPr>
      <w:r>
        <w:rPr>
          <w:rFonts w:ascii="Arial" w:cs="Arial" w:eastAsia="Arial" w:hAnsi="Arial"/>
          <w:sz w:val="16"/>
          <w:szCs w:val="16"/>
          <w:color w:val="auto"/>
        </w:rPr>
        <w:t>SECTION 2.03</w:t>
      </w:r>
      <w:r>
        <w:rPr>
          <w:sz w:val="20"/>
          <w:szCs w:val="20"/>
          <w:color w:val="auto"/>
        </w:rPr>
        <w:tab/>
      </w:r>
      <w:r>
        <w:rPr>
          <w:rFonts w:ascii="Arial" w:cs="Arial" w:eastAsia="Arial" w:hAnsi="Arial"/>
          <w:sz w:val="14"/>
          <w:szCs w:val="14"/>
          <w:u w:val="single" w:color="auto"/>
          <w:color w:val="auto"/>
        </w:rPr>
        <w:t>Requests for Borrowings</w:t>
      </w:r>
      <w:r>
        <w:rPr>
          <w:rFonts w:ascii="Arial" w:cs="Arial" w:eastAsia="Arial" w:hAnsi="Arial"/>
          <w:sz w:val="14"/>
          <w:szCs w:val="14"/>
          <w:color w:val="auto"/>
        </w:rPr>
        <w:t>.</w:t>
      </w:r>
    </w:p>
    <w:p>
      <w:pPr>
        <w:spacing w:after="0" w:line="212" w:lineRule="exact"/>
        <w:rPr>
          <w:sz w:val="20"/>
          <w:szCs w:val="20"/>
          <w:color w:val="auto"/>
        </w:rPr>
      </w:pPr>
    </w:p>
    <w:p>
      <w:pPr>
        <w:jc w:val="both"/>
        <w:ind w:left="80" w:right="120" w:firstLine="1125"/>
        <w:spacing w:after="0" w:line="246" w:lineRule="auto"/>
        <w:rPr>
          <w:sz w:val="20"/>
          <w:szCs w:val="20"/>
          <w:color w:val="auto"/>
        </w:rPr>
      </w:pPr>
      <w:r>
        <w:rPr>
          <w:rFonts w:ascii="Arial" w:cs="Arial" w:eastAsia="Arial" w:hAnsi="Arial"/>
          <w:sz w:val="16"/>
          <w:szCs w:val="16"/>
          <w:color w:val="auto"/>
        </w:rPr>
        <w:t xml:space="preserve">To request a Revolving Borrowing or Term Borrowing, the Borrower shall notify the First Lien Administrative Agent of such request by telephone (a) in the case of a Eurodollar Borrowing, not later than 2:00 p.m., New York City time (or London, England time in the case of any Eurodollar Revolving Borrowing in an Alternative Currency (other than Canadian Dollars)), three (3) Business Days before the date of the proposed Borrowing (or, in the case of any Eurodollar Borrowing to be made on the Effective Date, one (1) Business Day) </w:t>
      </w:r>
      <w:r>
        <w:rPr>
          <w:rFonts w:ascii="Arial" w:cs="Arial" w:eastAsia="Arial" w:hAnsi="Arial"/>
          <w:sz w:val="16"/>
          <w:szCs w:val="16"/>
          <w:color w:val="FF0000"/>
        </w:rPr>
        <w:t>or</w:t>
      </w:r>
      <w:r>
        <w:rPr>
          <w:rFonts w:ascii="Arial" w:cs="Arial" w:eastAsia="Arial" w:hAnsi="Arial"/>
          <w:sz w:val="16"/>
          <w:szCs w:val="16"/>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-57150</wp:posOffset>
            </wp:positionV>
            <wp:extent cx="1066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106680" cy="7620"/>
                    </a:xfrm>
                    <a:prstGeom prst="rect">
                      <a:avLst/>
                    </a:prstGeom>
                    <a:noFill/>
                  </pic:spPr>
                </pic:pic>
              </a:graphicData>
            </a:graphic>
          </wp:anchor>
        </w:drawing>
      </w:r>
    </w:p>
    <w:p>
      <w:pPr>
        <w:jc w:val="both"/>
        <w:ind w:left="80" w:right="120" w:hanging="3"/>
        <w:spacing w:after="0" w:line="290" w:lineRule="auto"/>
        <w:tabs>
          <w:tab w:leader="none" w:pos="553"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in the case of an ABR Borrowing, not later than 10:00 a.m., New York City time, on </w:t>
      </w:r>
      <w:r>
        <w:rPr>
          <w:rFonts w:ascii="Arial" w:cs="Arial" w:eastAsia="Arial" w:hAnsi="Arial"/>
          <w:sz w:val="14"/>
          <w:szCs w:val="14"/>
          <w:u w:val="single" w:color="auto"/>
          <w:color w:val="0000FF"/>
        </w:rPr>
        <w:t>the date of the proposed Borrowing or (c) in the case of a SONIA Borrowing, not</w:t>
      </w:r>
      <w:r>
        <w:rPr>
          <w:rFonts w:ascii="Arial" w:cs="Arial" w:eastAsia="Arial" w:hAnsi="Arial"/>
          <w:sz w:val="14"/>
          <w:szCs w:val="14"/>
          <w:color w:val="auto"/>
        </w:rPr>
        <w:t xml:space="preserve"> </w:t>
      </w:r>
      <w:r>
        <w:rPr>
          <w:rFonts w:ascii="Arial" w:cs="Arial" w:eastAsia="Arial" w:hAnsi="Arial"/>
          <w:sz w:val="14"/>
          <w:szCs w:val="14"/>
          <w:u w:val="single" w:color="auto"/>
          <w:color w:val="0000FF"/>
        </w:rPr>
        <w:t>later than 2:00 p.m. London, England time, five (5) Business Days before</w:t>
      </w:r>
      <w:r>
        <w:rPr>
          <w:rFonts w:ascii="Arial" w:cs="Arial" w:eastAsia="Arial" w:hAnsi="Arial"/>
          <w:sz w:val="14"/>
          <w:szCs w:val="14"/>
          <w:color w:val="0000FF"/>
        </w:rPr>
        <w:t xml:space="preserve"> </w:t>
      </w:r>
      <w:r>
        <w:rPr>
          <w:rFonts w:ascii="Arial" w:cs="Arial" w:eastAsia="Arial" w:hAnsi="Arial"/>
          <w:sz w:val="14"/>
          <w:szCs w:val="14"/>
          <w:color w:val="000000"/>
        </w:rPr>
        <w:t>the date of the proposed Borrowing. Each such telephonic Borrowing Request shall be irrevocable and</w:t>
      </w:r>
      <w:r>
        <w:rPr>
          <w:rFonts w:ascii="Arial" w:cs="Arial" w:eastAsia="Arial" w:hAnsi="Arial"/>
          <w:sz w:val="14"/>
          <w:szCs w:val="14"/>
          <w:color w:val="0000FF"/>
        </w:rPr>
        <w:t xml:space="preserve"> </w:t>
      </w:r>
      <w:r>
        <w:rPr>
          <w:rFonts w:ascii="Arial" w:cs="Arial" w:eastAsia="Arial" w:hAnsi="Arial"/>
          <w:sz w:val="14"/>
          <w:szCs w:val="14"/>
          <w:color w:val="000000"/>
        </w:rPr>
        <w:t>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167" w:lineRule="exact"/>
        <w:rPr>
          <w:rFonts w:ascii="Arial" w:cs="Arial" w:eastAsia="Arial" w:hAnsi="Arial"/>
          <w:sz w:val="14"/>
          <w:szCs w:val="14"/>
          <w:color w:val="auto"/>
        </w:rPr>
      </w:pPr>
    </w:p>
    <w:p>
      <w:pPr>
        <w:ind w:left="1680" w:hanging="611"/>
        <w:spacing w:after="0"/>
        <w:tabs>
          <w:tab w:leader="none" w:pos="1680" w:val="left"/>
        </w:tabs>
        <w:numPr>
          <w:ilvl w:val="1"/>
          <w:numId w:val="95"/>
        </w:numPr>
        <w:rPr>
          <w:rFonts w:ascii="Arial" w:cs="Arial" w:eastAsia="Arial" w:hAnsi="Arial"/>
          <w:sz w:val="14"/>
          <w:szCs w:val="14"/>
          <w:color w:val="auto"/>
        </w:rPr>
      </w:pPr>
      <w:r>
        <w:rPr>
          <w:rFonts w:ascii="Arial" w:cs="Arial" w:eastAsia="Arial" w:hAnsi="Arial"/>
          <w:sz w:val="14"/>
          <w:szCs w:val="14"/>
          <w:color w:val="auto"/>
        </w:rPr>
        <w:t>whether the requested Borrowing is to be a Revolving Borrowing, a Term Borrowing or a Borrowing of any other Class (specifying the Class thereof);</w:t>
      </w:r>
    </w:p>
    <w:p>
      <w:pPr>
        <w:spacing w:after="0" w:line="235" w:lineRule="exact"/>
        <w:rPr>
          <w:rFonts w:ascii="Arial" w:cs="Arial" w:eastAsia="Arial" w:hAnsi="Arial"/>
          <w:sz w:val="14"/>
          <w:szCs w:val="14"/>
          <w:color w:val="auto"/>
        </w:rPr>
      </w:pPr>
    </w:p>
    <w:p>
      <w:pPr>
        <w:ind w:left="1540" w:hanging="508"/>
        <w:spacing w:after="0"/>
        <w:tabs>
          <w:tab w:leader="none" w:pos="1540" w:val="left"/>
        </w:tabs>
        <w:numPr>
          <w:ilvl w:val="2"/>
          <w:numId w:val="95"/>
        </w:numPr>
        <w:rPr>
          <w:rFonts w:ascii="Arial" w:cs="Arial" w:eastAsia="Arial" w:hAnsi="Arial"/>
          <w:sz w:val="16"/>
          <w:szCs w:val="16"/>
          <w:color w:val="auto"/>
        </w:rPr>
      </w:pPr>
      <w:r>
        <w:rPr>
          <w:rFonts w:ascii="Arial" w:cs="Arial" w:eastAsia="Arial" w:hAnsi="Arial"/>
          <w:sz w:val="16"/>
          <w:szCs w:val="16"/>
          <w:color w:val="auto"/>
        </w:rPr>
        <w:t>the aggregate amount of such Borrowing;</w:t>
      </w:r>
    </w:p>
    <w:p>
      <w:pPr>
        <w:spacing w:after="0" w:line="212" w:lineRule="exact"/>
        <w:rPr>
          <w:rFonts w:ascii="Arial" w:cs="Arial" w:eastAsia="Arial" w:hAnsi="Arial"/>
          <w:sz w:val="16"/>
          <w:szCs w:val="16"/>
          <w:color w:val="auto"/>
        </w:rPr>
      </w:pPr>
    </w:p>
    <w:p>
      <w:pPr>
        <w:ind w:left="1540" w:hanging="545"/>
        <w:spacing w:after="0"/>
        <w:tabs>
          <w:tab w:leader="none" w:pos="1540" w:val="left"/>
        </w:tabs>
        <w:numPr>
          <w:ilvl w:val="3"/>
          <w:numId w:val="95"/>
        </w:numPr>
        <w:rPr>
          <w:rFonts w:ascii="Arial" w:cs="Arial" w:eastAsia="Arial" w:hAnsi="Arial"/>
          <w:sz w:val="16"/>
          <w:szCs w:val="16"/>
          <w:color w:val="auto"/>
        </w:rPr>
      </w:pPr>
      <w:r>
        <w:rPr>
          <w:rFonts w:ascii="Arial" w:cs="Arial" w:eastAsia="Arial" w:hAnsi="Arial"/>
          <w:sz w:val="16"/>
          <w:szCs w:val="16"/>
          <w:color w:val="auto"/>
        </w:rPr>
        <w:t>the date of such Borrowing, which shall be a Business Day;</w:t>
      </w:r>
    </w:p>
    <w:p>
      <w:pPr>
        <w:spacing w:after="0" w:line="212" w:lineRule="exact"/>
        <w:rPr>
          <w:rFonts w:ascii="Arial" w:cs="Arial" w:eastAsia="Arial" w:hAnsi="Arial"/>
          <w:sz w:val="16"/>
          <w:szCs w:val="16"/>
          <w:color w:val="auto"/>
        </w:rPr>
      </w:pPr>
    </w:p>
    <w:p>
      <w:pPr>
        <w:ind w:left="1660" w:hanging="676"/>
        <w:spacing w:after="0"/>
        <w:tabs>
          <w:tab w:leader="none" w:pos="16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 xml:space="preserve">whether such Borrowing is to be an ABR Borrowing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a Eurodollar Borrowing </w:t>
      </w:r>
      <w:r>
        <w:rPr>
          <w:rFonts w:ascii="Arial" w:cs="Arial" w:eastAsia="Arial" w:hAnsi="Arial"/>
          <w:sz w:val="16"/>
          <w:szCs w:val="16"/>
          <w:color w:val="0000FF"/>
        </w:rPr>
        <w:t>or 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SONIA Borrowing</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420" w:right="120" w:firstLine="600"/>
        <w:spacing w:after="0" w:line="259" w:lineRule="auto"/>
        <w:tabs>
          <w:tab w:leader="none" w:pos="1673"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the case of a Eurodollar Borrowing, the initial Interest Period to be applicable thereto, which shall be a period contemplated by the definition of the term “Interest Period”;</w:t>
      </w:r>
    </w:p>
    <w:p>
      <w:pPr>
        <w:spacing w:after="0" w:line="185" w:lineRule="exact"/>
        <w:rPr>
          <w:rFonts w:ascii="Arial" w:cs="Arial" w:eastAsia="Arial" w:hAnsi="Arial"/>
          <w:sz w:val="16"/>
          <w:szCs w:val="16"/>
          <w:color w:val="auto"/>
        </w:rPr>
      </w:pPr>
    </w:p>
    <w:p>
      <w:pPr>
        <w:jc w:val="both"/>
        <w:ind w:left="420" w:right="120" w:firstLine="564"/>
        <w:spacing w:after="0" w:line="251" w:lineRule="auto"/>
        <w:tabs>
          <w:tab w:leader="none" w:pos="1668"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192" w:lineRule="exact"/>
        <w:rPr>
          <w:rFonts w:ascii="Arial" w:cs="Arial" w:eastAsia="Arial" w:hAnsi="Arial"/>
          <w:sz w:val="16"/>
          <w:szCs w:val="16"/>
          <w:color w:val="auto"/>
        </w:rPr>
      </w:pPr>
    </w:p>
    <w:p>
      <w:pPr>
        <w:ind w:left="1680" w:hanging="732"/>
        <w:spacing w:after="0"/>
        <w:tabs>
          <w:tab w:leader="none" w:pos="16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that as of the date of such Borrowing, the conditions set forth in Sections 4.02(a) and 4.02(b) are satisfied; and</w:t>
      </w:r>
    </w:p>
    <w:p>
      <w:pPr>
        <w:spacing w:after="0" w:line="212" w:lineRule="exact"/>
        <w:rPr>
          <w:rFonts w:ascii="Arial" w:cs="Arial" w:eastAsia="Arial" w:hAnsi="Arial"/>
          <w:sz w:val="16"/>
          <w:szCs w:val="16"/>
          <w:color w:val="auto"/>
        </w:rPr>
      </w:pPr>
    </w:p>
    <w:p>
      <w:pPr>
        <w:ind w:left="420" w:right="120" w:firstLine="491"/>
        <w:spacing w:after="0" w:line="259" w:lineRule="auto"/>
        <w:tabs>
          <w:tab w:leader="none" w:pos="1670" w:val="left"/>
        </w:tabs>
        <w:numPr>
          <w:ilvl w:val="2"/>
          <w:numId w:val="97"/>
        </w:numPr>
        <w:rPr>
          <w:rFonts w:ascii="Arial" w:cs="Arial" w:eastAsia="Arial" w:hAnsi="Arial"/>
          <w:sz w:val="16"/>
          <w:szCs w:val="16"/>
          <w:color w:val="auto"/>
        </w:rPr>
      </w:pPr>
      <w:r>
        <w:rPr>
          <w:rFonts w:ascii="Arial" w:cs="Arial" w:eastAsia="Arial" w:hAnsi="Arial"/>
          <w:sz w:val="16"/>
          <w:szCs w:val="16"/>
          <w:color w:val="auto"/>
        </w:rPr>
        <w:t>in the case of a Revolving Borrowing, the currency in which such Borrowing is to be denominated and, if such Borrowing is to be denominated in Canadian Dollars, whether such Borrowing is of both Classes of Revolving Loans or only the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-1547495</wp:posOffset>
            </wp:positionV>
            <wp:extent cx="10668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-1510665</wp:posOffset>
            </wp:positionV>
            <wp:extent cx="17526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166" w:lineRule="exact"/>
        <w:rPr>
          <w:sz w:val="20"/>
          <w:szCs w:val="20"/>
          <w:color w:val="auto"/>
        </w:rPr>
      </w:pPr>
    </w:p>
    <w:p>
      <w:pPr>
        <w:jc w:val="both"/>
        <w:ind w:left="80" w:right="100"/>
        <w:spacing w:after="0" w:line="291" w:lineRule="auto"/>
        <w:rPr>
          <w:sz w:val="20"/>
          <w:szCs w:val="20"/>
          <w:color w:val="auto"/>
        </w:rPr>
      </w:pPr>
      <w:r>
        <w:rPr>
          <w:rFonts w:ascii="Arial" w:cs="Arial" w:eastAsia="Arial" w:hAnsi="Arial"/>
          <w:sz w:val="14"/>
          <w:szCs w:val="14"/>
          <w:color w:val="auto"/>
        </w:rPr>
        <w:t>If no election as to the Type of Borrowing is specified as to any requested Borrowing in Dollars or Canadian Dollars, then the requested Borrowing shall be an ABR Borrowing. If no Interest Period is specified with respect to any requested Eurodollar Borrowing, then the Borrower shall be deemed to have selected an Interest Period of one month’s duration. If no currency is specified with respect to any requested Eurodollar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60"/>
          </w:cols>
          <w:pgMar w:left="320" w:top="1178" w:right="319" w:bottom="1440" w:gutter="0" w:footer="0" w:header="0"/>
        </w:sectPr>
      </w:pPr>
    </w:p>
    <w:bookmarkStart w:id="169" w:name="page170"/>
    <w:bookmarkEnd w:id="169"/>
    <w:p>
      <w:pPr>
        <w:jc w:val="both"/>
        <w:spacing w:after="0" w:line="263" w:lineRule="auto"/>
        <w:rPr>
          <w:sz w:val="20"/>
          <w:szCs w:val="20"/>
          <w:color w:val="auto"/>
        </w:rPr>
      </w:pPr>
      <w:r>
        <w:rPr>
          <w:rFonts w:ascii="Arial" w:cs="Arial" w:eastAsia="Arial" w:hAnsi="Arial"/>
          <w:sz w:val="14"/>
          <w:szCs w:val="14"/>
          <w:color w:val="auto"/>
        </w:rPr>
        <w:t xml:space="preserve">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subject to any requirement to repay Second Lien Notes under the Second Lien Debt Documents, be retained by the Borrower (such amounts, “</w:t>
      </w:r>
      <w:r>
        <w:rPr>
          <w:rFonts w:ascii="Arial" w:cs="Arial" w:eastAsia="Arial" w:hAnsi="Arial"/>
          <w:sz w:val="14"/>
          <w:szCs w:val="14"/>
          <w:u w:val="single" w:color="auto"/>
          <w:color w:val="auto"/>
        </w:rPr>
        <w:t>Retained Declined Proceeds</w:t>
      </w:r>
      <w:r>
        <w:rPr>
          <w:rFonts w:ascii="Arial" w:cs="Arial" w:eastAsia="Arial" w:hAnsi="Arial"/>
          <w:sz w:val="14"/>
          <w:szCs w:val="14"/>
          <w:color w:val="auto"/>
        </w:rPr>
        <w:t xml:space="preserve">”). An amount equal to any portion of a mandatory prepayment of Term Borrowings that is declined by the Lenders under this Section 2.11(e) may, to the extent not prohibited hereunder or under the documentation governing the Permitted Second Priority Refinancing Debt or First Lien Pari Passu Intercreditor Agreement (if applicable), be applied by the Borrower to prepay the Second Lien Facilities (and Permitted Refinancings thereof) pursuant to the Second Lien Debt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Eurodollar Loans.</w:t>
      </w:r>
    </w:p>
    <w:p>
      <w:pPr>
        <w:spacing w:after="0" w:line="179" w:lineRule="exact"/>
        <w:rPr>
          <w:sz w:val="20"/>
          <w:szCs w:val="20"/>
          <w:color w:val="auto"/>
        </w:rPr>
      </w:pPr>
    </w:p>
    <w:p>
      <w:pPr>
        <w:jc w:val="both"/>
        <w:ind w:right="20" w:firstLine="1122"/>
        <w:spacing w:after="0" w:line="264" w:lineRule="auto"/>
        <w:tabs>
          <w:tab w:leader="none" w:pos="1437"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Eurodollar Borrowing, not later than 11:00 a.m., New York City time (or London, England time in the case of Loans denominated in an Alternative Currency (other than Canadian Dollars)), three (3) Business Days before the date of prepayment (or, in the sole discretion of the First Lien Administrative Agent, one (1) Business Day) </w:t>
      </w:r>
      <w:r>
        <w:rPr>
          <w:rFonts w:ascii="Arial" w:cs="Arial" w:eastAsia="Arial" w:hAnsi="Arial"/>
          <w:sz w:val="14"/>
          <w:szCs w:val="14"/>
          <w:color w:val="FF0000"/>
        </w:rPr>
        <w:t>or</w:t>
      </w:r>
      <w:r>
        <w:rPr>
          <w:rFonts w:ascii="Arial" w:cs="Arial" w:eastAsia="Arial" w:hAnsi="Arial"/>
          <w:sz w:val="14"/>
          <w:szCs w:val="14"/>
          <w:color w:val="0000FF"/>
        </w:rPr>
        <w:t>,</w:t>
      </w:r>
      <w:r>
        <w:rPr>
          <w:rFonts w:ascii="Arial" w:cs="Arial" w:eastAsia="Arial" w:hAnsi="Arial"/>
          <w:sz w:val="14"/>
          <w:szCs w:val="14"/>
          <w:color w:val="auto"/>
        </w:rPr>
        <w:t xml:space="preserve"> (ii) in the case of prepayment of an ABR Borrowing, not later than 11:00 a.m., New York City time, one (1) Business Day before the date of prepayment </w:t>
      </w:r>
      <w:r>
        <w:rPr>
          <w:rFonts w:ascii="Arial" w:cs="Arial" w:eastAsia="Arial" w:hAnsi="Arial"/>
          <w:sz w:val="14"/>
          <w:szCs w:val="14"/>
          <w:color w:val="0000FF"/>
        </w:rPr>
        <w:t>or (iii) in the case of prepayment of a SONIA Borrowing, not later</w:t>
      </w:r>
      <w:r>
        <w:rPr>
          <w:rFonts w:ascii="Arial" w:cs="Arial" w:eastAsia="Arial" w:hAnsi="Arial"/>
          <w:sz w:val="14"/>
          <w:szCs w:val="14"/>
          <w:color w:val="auto"/>
        </w:rPr>
        <w:t xml:space="preserve"> </w:t>
      </w:r>
      <w:r>
        <w:rPr>
          <w:rFonts w:ascii="Arial" w:cs="Arial" w:eastAsia="Arial" w:hAnsi="Arial"/>
          <w:sz w:val="14"/>
          <w:szCs w:val="14"/>
          <w:u w:val="single" w:color="auto"/>
          <w:color w:val="0000FF"/>
        </w:rPr>
        <w:t>than 11:00 a.m., London, England time, five (5) Business Days before the date of prepayment (or, in the sole discretion of the First Lien Administrative Agent, one (1) Business Day)</w:t>
      </w:r>
      <w:r>
        <w:rPr>
          <w:rFonts w:ascii="Arial" w:cs="Arial" w:eastAsia="Arial" w:hAnsi="Arial"/>
          <w:sz w:val="14"/>
          <w:szCs w:val="14"/>
          <w:color w:val="000000"/>
        </w:rPr>
        <w:t>. Each such notice shall be irrevocable and shall specify the prepayment date and the principal amount of each Borrowing or portion thereof to be prepaid and, in the case of</w:t>
      </w:r>
      <w:r>
        <w:rPr>
          <w:rFonts w:ascii="Arial" w:cs="Arial" w:eastAsia="Arial" w:hAnsi="Arial"/>
          <w:sz w:val="14"/>
          <w:szCs w:val="14"/>
          <w:color w:val="0000FF"/>
        </w:rPr>
        <w:t xml:space="preserve"> </w:t>
      </w:r>
      <w:r>
        <w:rPr>
          <w:rFonts w:ascii="Arial" w:cs="Arial" w:eastAsia="Arial" w:hAnsi="Arial"/>
          <w:sz w:val="14"/>
          <w:szCs w:val="14"/>
          <w:color w:val="000000"/>
        </w:rPr>
        <w:t xml:space="preserve">a mandatory prepayment, a reasonably detailed calculation of the amount of such prepayment;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-1399540</wp:posOffset>
            </wp:positionV>
            <wp:extent cx="1143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114300" cy="7620"/>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-1251585</wp:posOffset>
            </wp:positionV>
            <wp:extent cx="26466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2646680" cy="762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100"/>
          </w:cols>
          <w:pgMar w:left="400" w:top="1178" w:right="399" w:bottom="1440" w:gutter="0" w:footer="0" w:header="0"/>
        </w:sectPr>
      </w:pPr>
    </w:p>
    <w:bookmarkStart w:id="170" w:name="page171"/>
    <w:bookmarkEnd w:id="170"/>
    <w:p>
      <w:pPr>
        <w:jc w:val="both"/>
        <w:ind w:left="3"/>
        <w:spacing w:after="0" w:line="283" w:lineRule="auto"/>
        <w:rPr>
          <w:sz w:val="20"/>
          <w:szCs w:val="20"/>
          <w:color w:val="auto"/>
        </w:rPr>
      </w:pPr>
      <w:r>
        <w:rPr>
          <w:rFonts w:ascii="Arial" w:cs="Arial" w:eastAsia="Arial" w:hAnsi="Arial"/>
          <w:sz w:val="14"/>
          <w:szCs w:val="14"/>
          <w:color w:val="auto"/>
        </w:rPr>
        <w:t xml:space="preserve">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8" w:lineRule="exact"/>
        <w:rPr>
          <w:sz w:val="20"/>
          <w:szCs w:val="20"/>
          <w:color w:val="auto"/>
        </w:rPr>
      </w:pPr>
    </w:p>
    <w:p>
      <w:pPr>
        <w:ind w:left="3" w:right="20" w:firstLine="1122"/>
        <w:spacing w:after="0" w:line="259" w:lineRule="auto"/>
        <w:tabs>
          <w:tab w:leader="none" w:pos="159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Borrower agrees to pay to the First Lien Administrative Agent, for its own account, fees payable in the amounts and at the times separately agreed upon between the Borrower and the First Lien Administrative Agent.</w:t>
      </w:r>
    </w:p>
    <w:p>
      <w:pPr>
        <w:spacing w:after="0" w:line="185" w:lineRule="exact"/>
        <w:rPr>
          <w:rFonts w:ascii="Arial" w:cs="Arial" w:eastAsia="Arial" w:hAnsi="Arial"/>
          <w:sz w:val="16"/>
          <w:szCs w:val="16"/>
          <w:color w:val="auto"/>
        </w:rPr>
      </w:pPr>
    </w:p>
    <w:p>
      <w:pPr>
        <w:ind w:left="1583" w:hanging="458"/>
        <w:spacing w:after="0"/>
        <w:tabs>
          <w:tab w:leader="none" w:pos="1583"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Notwithstanding the foregoing, and subject to Section 2.22, the Borrower shall not be obligated to pay any amounts to any Defaulting Lender pursuant</w:t>
      </w:r>
    </w:p>
    <w:p>
      <w:pPr>
        <w:spacing w:after="0" w:line="35"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6"/>
          <w:szCs w:val="16"/>
          <w:color w:val="auto"/>
        </w:rPr>
        <w:t>to this Section 2.12.</w:t>
      </w:r>
    </w:p>
    <w:p>
      <w:pPr>
        <w:spacing w:after="0" w:line="202" w:lineRule="exact"/>
        <w:rPr>
          <w:sz w:val="20"/>
          <w:szCs w:val="20"/>
          <w:color w:val="auto"/>
        </w:rPr>
      </w:pPr>
    </w:p>
    <w:p>
      <w:pPr>
        <w:ind w:left="1123"/>
        <w:spacing w:after="0"/>
        <w:tabs>
          <w:tab w:leader="none" w:pos="2223" w:val="left"/>
        </w:tabs>
        <w:rPr>
          <w:sz w:val="20"/>
          <w:szCs w:val="20"/>
          <w:color w:val="auto"/>
        </w:rPr>
      </w:pPr>
      <w:r>
        <w:rPr>
          <w:rFonts w:ascii="Arial" w:cs="Arial" w:eastAsia="Arial" w:hAnsi="Arial"/>
          <w:sz w:val="16"/>
          <w:szCs w:val="16"/>
          <w:color w:val="auto"/>
        </w:rPr>
        <w:t>SECTION 2.13</w:t>
      </w:r>
      <w:r>
        <w:rPr>
          <w:sz w:val="20"/>
          <w:szCs w:val="20"/>
          <w:color w:val="auto"/>
        </w:rPr>
        <w:tab/>
      </w:r>
      <w:r>
        <w:rPr>
          <w:rFonts w:ascii="Arial" w:cs="Arial" w:eastAsia="Arial" w:hAnsi="Arial"/>
          <w:sz w:val="13"/>
          <w:szCs w:val="13"/>
          <w:u w:val="single" w:color="auto"/>
          <w:color w:val="auto"/>
        </w:rPr>
        <w:t>Interest</w:t>
      </w:r>
      <w:r>
        <w:rPr>
          <w:rFonts w:ascii="Arial" w:cs="Arial" w:eastAsia="Arial" w:hAnsi="Arial"/>
          <w:sz w:val="13"/>
          <w:szCs w:val="13"/>
          <w:color w:val="auto"/>
        </w:rPr>
        <w:t>.</w:t>
      </w:r>
    </w:p>
    <w:p>
      <w:pPr>
        <w:spacing w:after="0" w:line="212" w:lineRule="exact"/>
        <w:rPr>
          <w:sz w:val="20"/>
          <w:szCs w:val="20"/>
          <w:color w:val="auto"/>
        </w:rPr>
      </w:pPr>
    </w:p>
    <w:p>
      <w:pPr>
        <w:ind w:left="3" w:right="20" w:firstLine="1122"/>
        <w:spacing w:after="0" w:line="259" w:lineRule="auto"/>
        <w:tabs>
          <w:tab w:leader="none" w:pos="15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The Loans comprising each ABR Borrowing (including each Swingline Loan) denominated in Dollars or Canadian Dollars shall bear interest at the </w:t>
      </w:r>
      <w:r>
        <w:rPr>
          <w:rFonts w:ascii="Arial" w:cs="Arial" w:eastAsia="Arial" w:hAnsi="Arial"/>
          <w:sz w:val="16"/>
          <w:szCs w:val="16"/>
          <w:color w:val="FF0000"/>
          <w:strike w:val="1"/>
        </w:rPr>
        <w:t>Alternate Base Rate or Canadian Base Rate, respectively, plus the</w:t>
      </w:r>
      <w:r>
        <w:rPr>
          <w:rFonts w:ascii="Arial" w:cs="Arial" w:eastAsia="Arial" w:hAnsi="Arial"/>
          <w:sz w:val="16"/>
          <w:szCs w:val="16"/>
          <w:u w:val="single" w:color="auto"/>
          <w:color w:val="0000FF"/>
        </w:rPr>
        <w:t>rate set forth in clause (b)(i) of the definition of “</w:t>
      </w:r>
      <w:r>
        <w:rPr>
          <w:rFonts w:ascii="Arial" w:cs="Arial" w:eastAsia="Arial" w:hAnsi="Arial"/>
          <w:sz w:val="16"/>
          <w:szCs w:val="16"/>
          <w:color w:val="FF0000"/>
        </w:rPr>
        <w:t xml:space="preserve"> </w:t>
      </w:r>
      <w:r>
        <w:rPr>
          <w:rFonts w:ascii="Arial" w:cs="Arial" w:eastAsia="Arial" w:hAnsi="Arial"/>
          <w:sz w:val="16"/>
          <w:szCs w:val="16"/>
          <w:color w:val="000000"/>
        </w:rPr>
        <w:t>Applicable Rate.</w:t>
      </w:r>
    </w:p>
    <w:p>
      <w:pPr>
        <w:spacing w:after="0" w:line="267" w:lineRule="exact"/>
        <w:rPr>
          <w:rFonts w:ascii="Arial" w:cs="Arial" w:eastAsia="Arial" w:hAnsi="Arial"/>
          <w:sz w:val="16"/>
          <w:szCs w:val="16"/>
          <w:color w:val="auto"/>
        </w:rPr>
      </w:pPr>
    </w:p>
    <w:p>
      <w:pPr>
        <w:jc w:val="both"/>
        <w:ind w:left="3" w:right="20" w:firstLine="1122"/>
        <w:spacing w:after="0" w:line="247" w:lineRule="auto"/>
        <w:tabs>
          <w:tab w:leader="none" w:pos="158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The Loans comprising each Eurodollar Borrowing denominated in (i) Dollars </w:t>
      </w:r>
      <w:r>
        <w:rPr>
          <w:rFonts w:ascii="Arial" w:cs="Arial" w:eastAsia="Arial" w:hAnsi="Arial"/>
          <w:sz w:val="16"/>
          <w:szCs w:val="16"/>
          <w:color w:val="FF0000"/>
          <w:strike w:val="1"/>
        </w:rPr>
        <w:t>or Sterling</w:t>
      </w:r>
      <w:r>
        <w:rPr>
          <w:rFonts w:ascii="Arial" w:cs="Arial" w:eastAsia="Arial" w:hAnsi="Arial"/>
          <w:sz w:val="16"/>
          <w:szCs w:val="16"/>
          <w:color w:val="auto"/>
        </w:rPr>
        <w:t xml:space="preserve"> shall bear interest at the </w:t>
      </w:r>
      <w:r>
        <w:rPr>
          <w:rFonts w:ascii="Arial" w:cs="Arial" w:eastAsia="Arial" w:hAnsi="Arial"/>
          <w:sz w:val="16"/>
          <w:szCs w:val="16"/>
          <w:color w:val="FF0000"/>
          <w:strike w:val="1"/>
        </w:rPr>
        <w:t>Adjusted LIBO Rate, (ii)</w:t>
      </w:r>
      <w:r>
        <w:rPr>
          <w:rFonts w:ascii="Arial" w:cs="Arial" w:eastAsia="Arial" w:hAnsi="Arial"/>
          <w:sz w:val="16"/>
          <w:szCs w:val="16"/>
          <w:u w:val="single" w:color="auto"/>
          <w:color w:val="0000FF"/>
        </w:rPr>
        <w:t>rate set forth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 clause (b)(ii) of the definition of Applicable Rate, (ii) Euros shall bear interest at the rate set forth in clause (b)(iii) of the definition of “ Applicable Rate” or (iii)</w:t>
      </w:r>
      <w:r>
        <w:rPr>
          <w:rFonts w:ascii="Arial" w:cs="Arial" w:eastAsia="Arial" w:hAnsi="Arial"/>
          <w:sz w:val="16"/>
          <w:szCs w:val="16"/>
          <w:color w:val="0000FF"/>
        </w:rPr>
        <w:t xml:space="preserve"> </w:t>
      </w:r>
      <w:r>
        <w:rPr>
          <w:rFonts w:ascii="Arial" w:cs="Arial" w:eastAsia="Arial" w:hAnsi="Arial"/>
          <w:sz w:val="16"/>
          <w:szCs w:val="16"/>
          <w:color w:val="000000"/>
        </w:rPr>
        <w:t>Canadian</w:t>
      </w:r>
      <w:r>
        <w:rPr>
          <w:rFonts w:ascii="Arial" w:cs="Arial" w:eastAsia="Arial" w:hAnsi="Arial"/>
          <w:sz w:val="16"/>
          <w:szCs w:val="16"/>
          <w:color w:val="0000FF"/>
        </w:rPr>
        <w:t xml:space="preserve"> </w:t>
      </w:r>
      <w:r>
        <w:rPr>
          <w:rFonts w:ascii="Arial" w:cs="Arial" w:eastAsia="Arial" w:hAnsi="Arial"/>
          <w:sz w:val="16"/>
          <w:szCs w:val="16"/>
          <w:color w:val="000000"/>
        </w:rPr>
        <w:t xml:space="preserve">Dollars shall bear interest at the </w:t>
      </w:r>
      <w:r>
        <w:rPr>
          <w:rFonts w:ascii="Arial" w:cs="Arial" w:eastAsia="Arial" w:hAnsi="Arial"/>
          <w:sz w:val="16"/>
          <w:szCs w:val="16"/>
          <w:color w:val="FF0000"/>
          <w:strike w:val="1"/>
        </w:rPr>
        <w:t>Adjusted BA Rate or (iii) Euros</w:t>
      </w:r>
      <w:r>
        <w:rPr>
          <w:rFonts w:ascii="Arial" w:cs="Arial" w:eastAsia="Arial" w:hAnsi="Arial"/>
          <w:sz w:val="16"/>
          <w:szCs w:val="16"/>
          <w:u w:val="single" w:color="auto"/>
          <w:color w:val="0000FF"/>
        </w:rPr>
        <w:t>rate set forth in clause (b)(iv) of the definition of “ Applicable Rate”. The Loans compr ising each SONIA</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Borrowing</w:t>
      </w:r>
      <w:r>
        <w:rPr>
          <w:rFonts w:ascii="Arial" w:cs="Arial" w:eastAsia="Arial" w:hAnsi="Arial"/>
          <w:sz w:val="16"/>
          <w:szCs w:val="16"/>
          <w:color w:val="0000FF"/>
        </w:rPr>
        <w:t xml:space="preserve"> </w:t>
      </w:r>
      <w:r>
        <w:rPr>
          <w:rFonts w:ascii="Arial" w:cs="Arial" w:eastAsia="Arial" w:hAnsi="Arial"/>
          <w:sz w:val="16"/>
          <w:szCs w:val="16"/>
          <w:color w:val="000000"/>
        </w:rPr>
        <w:t>shall bear interest at</w:t>
      </w:r>
      <w:r>
        <w:rPr>
          <w:rFonts w:ascii="Arial" w:cs="Arial" w:eastAsia="Arial" w:hAnsi="Arial"/>
          <w:sz w:val="16"/>
          <w:szCs w:val="16"/>
          <w:color w:val="0000FF"/>
        </w:rPr>
        <w:t xml:space="preserve"> </w:t>
      </w:r>
      <w:r>
        <w:rPr>
          <w:rFonts w:ascii="Arial" w:cs="Arial" w:eastAsia="Arial" w:hAnsi="Arial"/>
          <w:sz w:val="16"/>
          <w:szCs w:val="16"/>
          <w:color w:val="FF0000"/>
          <w:strike w:val="1"/>
        </w:rPr>
        <w:t>Adjusted EURIBOR, in each case for the Interest Period in effect for such Borrowing plus the</w:t>
      </w:r>
      <w:r>
        <w:rPr>
          <w:rFonts w:ascii="Arial" w:cs="Arial" w:eastAsia="Arial" w:hAnsi="Arial"/>
          <w:sz w:val="16"/>
          <w:szCs w:val="16"/>
          <w:u w:val="single" w:color="auto"/>
          <w:color w:val="0000FF"/>
        </w:rPr>
        <w:t>the rate set forth in clause (a) of the definition of “</w:t>
      </w:r>
      <w:r>
        <w:rPr>
          <w:rFonts w:ascii="Arial" w:cs="Arial" w:eastAsia="Arial" w:hAnsi="Arial"/>
          <w:sz w:val="16"/>
          <w:szCs w:val="16"/>
          <w:color w:val="0000FF"/>
        </w:rPr>
        <w:t xml:space="preserve"> </w:t>
      </w:r>
      <w:r>
        <w:rPr>
          <w:rFonts w:ascii="Arial" w:cs="Arial" w:eastAsia="Arial" w:hAnsi="Arial"/>
          <w:sz w:val="16"/>
          <w:szCs w:val="16"/>
          <w:color w:val="000000"/>
        </w:rPr>
        <w:t>Applicable Rate</w:t>
      </w:r>
      <w:r>
        <w:rPr>
          <w:rFonts w:ascii="Arial" w:cs="Arial" w:eastAsia="Arial" w:hAnsi="Arial"/>
          <w:sz w:val="16"/>
          <w:szCs w:val="16"/>
          <w:u w:val="single" w:color="auto"/>
          <w:color w:val="0000FF"/>
        </w:rPr>
        <w:t>”</w:t>
      </w:r>
      <w:r>
        <w:rPr>
          <w:rFonts w:ascii="Arial" w:cs="Arial" w:eastAsia="Arial" w:hAnsi="Arial"/>
          <w:sz w:val="16"/>
          <w:szCs w:val="16"/>
          <w:color w:val="000000"/>
        </w:rPr>
        <w:t>.</w:t>
      </w:r>
    </w:p>
    <w:p>
      <w:pPr>
        <w:spacing w:after="0" w:line="265" w:lineRule="exact"/>
        <w:rPr>
          <w:rFonts w:ascii="Arial" w:cs="Arial" w:eastAsia="Arial" w:hAnsi="Arial"/>
          <w:sz w:val="16"/>
          <w:szCs w:val="16"/>
          <w:color w:val="auto"/>
        </w:rPr>
      </w:pPr>
    </w:p>
    <w:p>
      <w:pPr>
        <w:jc w:val="both"/>
        <w:ind w:left="3" w:right="20" w:firstLine="1122"/>
        <w:spacing w:after="0" w:line="286" w:lineRule="auto"/>
        <w:tabs>
          <w:tab w:leader="none" w:pos="159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 xml:space="preserve">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amount shall be payable pursuant to this Section 2.13(c) to a Defaulting Lender so long as such Lender shall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44" w:lineRule="exact"/>
        <w:rPr>
          <w:rFonts w:ascii="Arial" w:cs="Arial" w:eastAsia="Arial" w:hAnsi="Arial"/>
          <w:sz w:val="14"/>
          <w:szCs w:val="14"/>
          <w:color w:val="auto"/>
        </w:rPr>
      </w:pPr>
    </w:p>
    <w:p>
      <w:pPr>
        <w:ind w:left="3" w:right="20" w:firstLine="1122"/>
        <w:spacing w:after="0" w:line="249" w:lineRule="auto"/>
        <w:tabs>
          <w:tab w:leader="none" w:pos="158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3" w:right="20" w:hanging="3"/>
        <w:spacing w:after="0" w:line="269" w:lineRule="auto"/>
        <w:tabs>
          <w:tab w:leader="none" w:pos="4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w:t>
      </w:r>
    </w:p>
    <w:p>
      <w:pPr>
        <w:jc w:val="center"/>
        <w:ind w:right="-282"/>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083"/>
          </w:cols>
          <w:pgMar w:left="397" w:top="1237" w:right="419" w:bottom="1440" w:gutter="0" w:footer="0" w:header="0"/>
        </w:sectPr>
      </w:pPr>
    </w:p>
    <w:bookmarkStart w:id="171" w:name="page172"/>
    <w:bookmarkEnd w:id="171"/>
    <w:p>
      <w:pPr>
        <w:ind w:right="20"/>
        <w:spacing w:after="0" w:line="259" w:lineRule="auto"/>
        <w:rPr>
          <w:sz w:val="20"/>
          <w:szCs w:val="20"/>
          <w:color w:val="auto"/>
        </w:rPr>
      </w:pPr>
      <w:r>
        <w:rPr>
          <w:rFonts w:ascii="Arial" w:cs="Arial" w:eastAsia="Arial" w:hAnsi="Arial"/>
          <w:sz w:val="16"/>
          <w:szCs w:val="16"/>
          <w:color w:val="auto"/>
        </w:rPr>
        <w:t>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6" w:lineRule="exact"/>
        <w:rPr>
          <w:sz w:val="20"/>
          <w:szCs w:val="20"/>
          <w:color w:val="auto"/>
        </w:rPr>
      </w:pPr>
    </w:p>
    <w:p>
      <w:pPr>
        <w:jc w:val="both"/>
        <w:ind w:right="20" w:firstLine="1122"/>
        <w:spacing w:after="0" w:line="247" w:lineRule="auto"/>
        <w:tabs>
          <w:tab w:leader="none" w:pos="158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All interest hereunder shall be computed on the basis of a year of 360 days, except that interest computed by reference to the Alternate Base Rate, the Canadian Base Rate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the BA Rate </w:t>
      </w:r>
      <w:r>
        <w:rPr>
          <w:rFonts w:ascii="Arial" w:cs="Arial" w:eastAsia="Arial" w:hAnsi="Arial"/>
          <w:sz w:val="16"/>
          <w:szCs w:val="16"/>
          <w:u w:val="single" w:color="auto"/>
          <w:color w:val="0000FF"/>
        </w:rPr>
        <w:t>or Daily Simple SONIA</w:t>
      </w:r>
      <w:r>
        <w:rPr>
          <w:rFonts w:ascii="Arial" w:cs="Arial" w:eastAsia="Arial" w:hAnsi="Arial"/>
          <w:sz w:val="16"/>
          <w:szCs w:val="16"/>
          <w:color w:val="auto"/>
        </w:rPr>
        <w:t xml:space="preserve">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w:t>
      </w:r>
      <w:r>
        <w:rPr>
          <w:rFonts w:ascii="Arial" w:cs="Arial" w:eastAsia="Arial" w:hAnsi="Arial"/>
          <w:sz w:val="16"/>
          <w:szCs w:val="16"/>
          <w:color w:val="FF0000"/>
        </w:rPr>
        <w:t>or</w:t>
      </w:r>
      <w:r>
        <w:rPr>
          <w:rFonts w:ascii="Arial" w:cs="Arial" w:eastAsia="Arial" w:hAnsi="Arial"/>
          <w:sz w:val="16"/>
          <w:szCs w:val="16"/>
          <w:color w:val="0000FF"/>
        </w:rPr>
        <w:t>.</w:t>
      </w:r>
      <w:r>
        <w:rPr>
          <w:rFonts w:ascii="Arial" w:cs="Arial" w:eastAsia="Arial" w:hAnsi="Arial"/>
          <w:sz w:val="16"/>
          <w:szCs w:val="16"/>
          <w:color w:val="auto"/>
        </w:rPr>
        <w:t xml:space="preserve"> Adjusted EURIBOR </w:t>
      </w:r>
      <w:r>
        <w:rPr>
          <w:rFonts w:ascii="Arial" w:cs="Arial" w:eastAsia="Arial" w:hAnsi="Arial"/>
          <w:sz w:val="16"/>
          <w:szCs w:val="16"/>
          <w:u w:val="single" w:color="auto"/>
          <w:color w:val="0000FF"/>
        </w:rPr>
        <w:t>or Adjusted Daily Simple SONIA</w:t>
      </w:r>
      <w:r>
        <w:rPr>
          <w:rFonts w:ascii="Arial" w:cs="Arial" w:eastAsia="Arial" w:hAnsi="Arial"/>
          <w:sz w:val="16"/>
          <w:szCs w:val="16"/>
          <w:color w:val="auto"/>
        </w:rPr>
        <w:t xml:space="preserve"> shall be determined by the First Lien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-415925</wp:posOffset>
            </wp:positionV>
            <wp:extent cx="10668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-179070</wp:posOffset>
            </wp:positionV>
            <wp:extent cx="1143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114300" cy="7620"/>
                    </a:xfrm>
                    <a:prstGeom prst="rect">
                      <a:avLst/>
                    </a:prstGeom>
                    <a:noFill/>
                  </pic:spPr>
                </pic:pic>
              </a:graphicData>
            </a:graphic>
          </wp:anchor>
        </w:drawing>
      </w:r>
    </w:p>
    <w:p>
      <w:pPr>
        <w:spacing w:after="0" w:line="176" w:lineRule="exact"/>
        <w:rPr>
          <w:sz w:val="20"/>
          <w:szCs w:val="20"/>
          <w:color w:val="auto"/>
        </w:rPr>
      </w:pPr>
    </w:p>
    <w:p>
      <w:pPr>
        <w:ind w:left="1120"/>
        <w:spacing w:after="0"/>
        <w:tabs>
          <w:tab w:leader="none" w:pos="2220" w:val="left"/>
        </w:tabs>
        <w:rPr>
          <w:sz w:val="20"/>
          <w:szCs w:val="20"/>
          <w:color w:val="auto"/>
        </w:rPr>
      </w:pPr>
      <w:r>
        <w:rPr>
          <w:rFonts w:ascii="Arial" w:cs="Arial" w:eastAsia="Arial" w:hAnsi="Arial"/>
          <w:sz w:val="16"/>
          <w:szCs w:val="16"/>
          <w:color w:val="auto"/>
        </w:rPr>
        <w:t>SECTION 2.14</w:t>
      </w:r>
      <w:r>
        <w:rPr>
          <w:sz w:val="20"/>
          <w:szCs w:val="20"/>
          <w:color w:val="auto"/>
        </w:rPr>
        <w:tab/>
      </w:r>
      <w:r>
        <w:rPr>
          <w:rFonts w:ascii="Arial" w:cs="Arial" w:eastAsia="Arial" w:hAnsi="Arial"/>
          <w:sz w:val="14"/>
          <w:szCs w:val="14"/>
          <w:u w:val="single" w:color="auto"/>
          <w:color w:val="auto"/>
        </w:rPr>
        <w:t>Alternate Rate of Interest</w:t>
      </w:r>
      <w:r>
        <w:rPr>
          <w:rFonts w:ascii="Arial" w:cs="Arial" w:eastAsia="Arial" w:hAnsi="Arial"/>
          <w:sz w:val="14"/>
          <w:szCs w:val="14"/>
          <w:color w:val="auto"/>
        </w:rPr>
        <w:t>.</w:t>
      </w:r>
    </w:p>
    <w:p>
      <w:pPr>
        <w:spacing w:after="0" w:line="212" w:lineRule="exact"/>
        <w:rPr>
          <w:sz w:val="20"/>
          <w:szCs w:val="20"/>
          <w:color w:val="auto"/>
        </w:rPr>
      </w:pPr>
    </w:p>
    <w:p>
      <w:pPr>
        <w:ind w:right="20" w:firstLine="1122"/>
        <w:spacing w:after="0" w:line="259" w:lineRule="auto"/>
        <w:tabs>
          <w:tab w:leader="none" w:pos="158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Subject to clauses (b), (c), (d), (e), (f) and (g) of this Section 2.14, if at least two (2) Business Days prior to the commencement of any Interest Period for a Eurodollar Borrowing:</w:t>
      </w:r>
    </w:p>
    <w:p>
      <w:pPr>
        <w:spacing w:after="0" w:line="185" w:lineRule="exact"/>
        <w:rPr>
          <w:rFonts w:ascii="Arial" w:cs="Arial" w:eastAsia="Arial" w:hAnsi="Arial"/>
          <w:sz w:val="16"/>
          <w:szCs w:val="16"/>
          <w:color w:val="auto"/>
        </w:rPr>
      </w:pPr>
    </w:p>
    <w:p>
      <w:pPr>
        <w:ind w:right="20" w:firstLine="771"/>
        <w:spacing w:after="0" w:line="259" w:lineRule="auto"/>
        <w:tabs>
          <w:tab w:leader="none" w:pos="102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First Lien Administrative Agent determines (which determination shall be conclusive absent manifest error) that adequate and reasonable means do not exist for ascertaining the Adjusted LIBO Rate, the Adjusted BA Rate or Adjusted EURIBOR, as applicable, for such Interest Period; or</w:t>
      </w:r>
    </w:p>
    <w:p>
      <w:pPr>
        <w:spacing w:after="0" w:line="185" w:lineRule="exact"/>
        <w:rPr>
          <w:rFonts w:ascii="Arial" w:cs="Arial" w:eastAsia="Arial" w:hAnsi="Arial"/>
          <w:sz w:val="16"/>
          <w:szCs w:val="16"/>
          <w:color w:val="auto"/>
        </w:rPr>
      </w:pPr>
    </w:p>
    <w:p>
      <w:pPr>
        <w:jc w:val="both"/>
        <w:ind w:right="20" w:firstLine="771"/>
        <w:spacing w:after="0" w:line="304" w:lineRule="auto"/>
        <w:tabs>
          <w:tab w:leader="none" w:pos="103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First Lien Administrative Agent is advised by the Required Lenders that the Adjusted LIBO Rate, the Adjusted BA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Arial" w:cs="Arial" w:eastAsia="Arial" w:hAnsi="Arial"/>
          <w:sz w:val="14"/>
          <w:szCs w:val="14"/>
          <w:u w:val="single" w:color="auto"/>
          <w:color w:val="auto"/>
        </w:rPr>
        <w:t>Impacted Loans</w:t>
      </w:r>
      <w:r>
        <w:rPr>
          <w:rFonts w:ascii="Arial" w:cs="Arial" w:eastAsia="Arial" w:hAnsi="Arial"/>
          <w:sz w:val="14"/>
          <w:szCs w:val="14"/>
          <w:color w:val="auto"/>
        </w:rPr>
        <w: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Eurodollar Borrowing in Dollars or Canadian Dollars shall be ineffective and (y) if any Borrowing Request requests a Eurodollar Borrowing in Dollars or Canadian Dollars, then such Borrowing shall be made as an ABR Borrowing, and (ii) in the event any Loans denominated in an Alternative Currency (other than Canadian Dollars) are so affected, the relevant interest rate shall be determined in accordance with clause (ii) of the definition of “LIBO Rate” or “EURIBOR”,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each case, the Borrower may revoke any Borrowing Request that is pending when such notice is received.</w:t>
      </w:r>
    </w:p>
    <w:p>
      <w:pPr>
        <w:spacing w:after="0" w:line="173" w:lineRule="exact"/>
        <w:rPr>
          <w:sz w:val="20"/>
          <w:szCs w:val="20"/>
          <w:color w:val="auto"/>
        </w:rPr>
      </w:pPr>
    </w:p>
    <w:p>
      <w:pPr>
        <w:jc w:val="both"/>
        <w:ind w:firstLine="1122"/>
        <w:spacing w:after="0" w:line="283" w:lineRule="auto"/>
        <w:tabs>
          <w:tab w:leader="none" w:pos="158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Notwithstanding anything to the contrary herein or in any other First Lien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(3)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080"/>
          </w:cols>
          <w:pgMar w:left="400" w:top="1178" w:right="4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color w:val="auto"/>
        </w:rPr>
        <w:t>manifest error. The Borrower shall pay such Lender or Issuing Bank, as the case may be, the amount shown as due on any such certificate within 15 days after receipt thereof.</w:t>
      </w:r>
    </w:p>
    <w:p>
      <w:pPr>
        <w:spacing w:after="0" w:line="224" w:lineRule="exact"/>
        <w:rPr>
          <w:sz w:val="20"/>
          <w:szCs w:val="20"/>
          <w:color w:val="auto"/>
        </w:rPr>
      </w:pPr>
    </w:p>
    <w:p>
      <w:pPr>
        <w:jc w:val="both"/>
        <w:ind w:firstLine="1122"/>
        <w:spacing w:after="0" w:line="232" w:lineRule="auto"/>
        <w:tabs>
          <w:tab w:leader="none" w:pos="158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91" w:lineRule="exact"/>
        <w:rPr>
          <w:rFonts w:ascii="Arial" w:cs="Arial" w:eastAsia="Arial" w:hAnsi="Arial"/>
          <w:sz w:val="16"/>
          <w:szCs w:val="16"/>
          <w:color w:val="auto"/>
        </w:rPr>
      </w:pPr>
    </w:p>
    <w:p>
      <w:pPr>
        <w:jc w:val="both"/>
        <w:ind w:firstLine="1122"/>
        <w:spacing w:after="0" w:line="235" w:lineRule="auto"/>
        <w:tabs>
          <w:tab w:leader="none" w:pos="15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9" w:lineRule="exact"/>
        <w:rPr>
          <w:sz w:val="20"/>
          <w:szCs w:val="20"/>
          <w:color w:val="auto"/>
        </w:rPr>
      </w:pPr>
    </w:p>
    <w:p>
      <w:pPr>
        <w:ind w:left="1120"/>
        <w:spacing w:after="0"/>
        <w:tabs>
          <w:tab w:leader="none" w:pos="2220" w:val="left"/>
        </w:tabs>
        <w:rPr>
          <w:sz w:val="20"/>
          <w:szCs w:val="20"/>
          <w:color w:val="auto"/>
        </w:rPr>
      </w:pPr>
      <w:r>
        <w:rPr>
          <w:rFonts w:ascii="Arial" w:cs="Arial" w:eastAsia="Arial" w:hAnsi="Arial"/>
          <w:sz w:val="16"/>
          <w:szCs w:val="16"/>
          <w:color w:val="auto"/>
        </w:rPr>
        <w:t>SECTION 2.16</w:t>
      </w:r>
      <w:r>
        <w:rPr>
          <w:sz w:val="20"/>
          <w:szCs w:val="20"/>
          <w:color w:val="auto"/>
        </w:rPr>
        <w:tab/>
      </w:r>
      <w:r>
        <w:rPr>
          <w:rFonts w:ascii="Arial" w:cs="Arial" w:eastAsia="Arial" w:hAnsi="Arial"/>
          <w:sz w:val="14"/>
          <w:szCs w:val="14"/>
          <w:u w:val="single" w:color="auto"/>
          <w:color w:val="auto"/>
        </w:rPr>
        <w:t>Break Funding Payments</w:t>
      </w:r>
      <w:r>
        <w:rPr>
          <w:rFonts w:ascii="Arial" w:cs="Arial" w:eastAsia="Arial" w:hAnsi="Arial"/>
          <w:sz w:val="14"/>
          <w:szCs w:val="14"/>
          <w:color w:val="auto"/>
        </w:rPr>
        <w:t>.</w:t>
      </w:r>
    </w:p>
    <w:p>
      <w:pPr>
        <w:spacing w:after="0" w:line="201" w:lineRule="exact"/>
        <w:rPr>
          <w:sz w:val="20"/>
          <w:szCs w:val="20"/>
          <w:color w:val="auto"/>
        </w:rPr>
      </w:pPr>
    </w:p>
    <w:p>
      <w:pPr>
        <w:jc w:val="both"/>
        <w:ind w:firstLine="1125"/>
        <w:spacing w:after="0" w:line="264" w:lineRule="auto"/>
        <w:rPr>
          <w:sz w:val="20"/>
          <w:szCs w:val="20"/>
          <w:color w:val="auto"/>
        </w:rPr>
      </w:pPr>
      <w:r>
        <w:rPr>
          <w:rFonts w:ascii="Arial" w:cs="Arial" w:eastAsia="Arial" w:hAnsi="Arial"/>
          <w:sz w:val="14"/>
          <w:szCs w:val="14"/>
          <w:color w:val="auto"/>
        </w:rPr>
        <w:t xml:space="preserve">In the event of (a) the payment of any principal of any Eurodollar Loan other than on the last day of an Interest Period applicable thereto </w:t>
      </w:r>
      <w:r>
        <w:rPr>
          <w:rFonts w:ascii="Arial" w:cs="Arial" w:eastAsia="Arial" w:hAnsi="Arial"/>
          <w:sz w:val="14"/>
          <w:szCs w:val="14"/>
          <w:u w:val="single" w:color="auto"/>
          <w:color w:val="0000FF"/>
        </w:rPr>
        <w:t>or of any SONIA</w:t>
      </w:r>
      <w:r>
        <w:rPr>
          <w:rFonts w:ascii="Arial" w:cs="Arial" w:eastAsia="Arial" w:hAnsi="Arial"/>
          <w:sz w:val="14"/>
          <w:szCs w:val="14"/>
          <w:color w:val="auto"/>
        </w:rPr>
        <w:t xml:space="preserve"> </w:t>
      </w:r>
      <w:r>
        <w:rPr>
          <w:rFonts w:ascii="Arial" w:cs="Arial" w:eastAsia="Arial" w:hAnsi="Arial"/>
          <w:sz w:val="14"/>
          <w:szCs w:val="14"/>
          <w:u w:val="single" w:color="auto"/>
          <w:color w:val="0000FF"/>
        </w:rPr>
        <w:t>Loan other than on an Interest Payment Date therefor</w:t>
      </w:r>
      <w:r>
        <w:rPr>
          <w:rFonts w:ascii="Arial" w:cs="Arial" w:eastAsia="Arial" w:hAnsi="Arial"/>
          <w:sz w:val="14"/>
          <w:szCs w:val="14"/>
          <w:color w:val="0000FF"/>
        </w:rPr>
        <w:t xml:space="preserve"> </w:t>
      </w:r>
      <w:r>
        <w:rPr>
          <w:rFonts w:ascii="Arial" w:cs="Arial" w:eastAsia="Arial" w:hAnsi="Arial"/>
          <w:sz w:val="14"/>
          <w:szCs w:val="14"/>
          <w:color w:val="000000"/>
        </w:rPr>
        <w:t>(including as a result of an Event of Default), (b) the conversion of any Eurodollar Loan other than on the last day of the</w:t>
      </w:r>
      <w:r>
        <w:rPr>
          <w:rFonts w:ascii="Arial" w:cs="Arial" w:eastAsia="Arial" w:hAnsi="Arial"/>
          <w:sz w:val="14"/>
          <w:szCs w:val="14"/>
          <w:color w:val="0000FF"/>
        </w:rPr>
        <w:t xml:space="preserve"> </w:t>
      </w:r>
      <w:r>
        <w:rPr>
          <w:rFonts w:ascii="Arial" w:cs="Arial" w:eastAsia="Arial" w:hAnsi="Arial"/>
          <w:sz w:val="14"/>
          <w:szCs w:val="14"/>
          <w:color w:val="000000"/>
        </w:rPr>
        <w:t>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Eurodollar Loan other than on the last day of the Interest Period applicable thereto</w:t>
      </w:r>
      <w:r>
        <w:rPr>
          <w:rFonts w:ascii="Arial" w:cs="Arial" w:eastAsia="Arial" w:hAnsi="Arial"/>
          <w:sz w:val="14"/>
          <w:szCs w:val="14"/>
          <w:u w:val="single" w:color="auto"/>
          <w:color w:val="0000FF"/>
        </w:rPr>
        <w:t>, or of any SONIA Loan other than on an Interest Payment Date therefor, in each case</w:t>
      </w:r>
      <w:r>
        <w:rPr>
          <w:rFonts w:ascii="Arial" w:cs="Arial" w:eastAsia="Arial" w:hAnsi="Arial"/>
          <w:sz w:val="14"/>
          <w:szCs w:val="14"/>
          <w:color w:val="000000"/>
        </w:rPr>
        <w:t xml:space="preserv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t>
      </w:r>
      <w:r>
        <w:rPr>
          <w:rFonts w:ascii="Arial" w:cs="Arial" w:eastAsia="Arial" w:hAnsi="Arial"/>
          <w:sz w:val="14"/>
          <w:szCs w:val="14"/>
          <w:u w:val="single" w:color="auto"/>
          <w:color w:val="0000FF"/>
        </w:rPr>
        <w:t>with respect to any Eurodollar Loan</w:t>
      </w:r>
      <w:r>
        <w:rPr>
          <w:rFonts w:ascii="Arial" w:cs="Arial" w:eastAsia="Arial" w:hAnsi="Arial"/>
          <w:sz w:val="14"/>
          <w:szCs w:val="14"/>
          <w:color w:val="000000"/>
        </w:rPr>
        <w:t>, each Lender shall be deemed to have funded each Eurodollar Loan made by it at the Adjusted LIBO Rate, the Adjusted BA Rate or Adjusted EURIBOR, as applicable, for such Loan by a matching deposit or other borrowing in the applicable interbank eurodollar market or Canadian money market, as applicable, for a comparable amount and for a comparable period, whether or not such Eurodollar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349" w:lineRule="exact"/>
        <w:rPr>
          <w:sz w:val="20"/>
          <w:szCs w:val="20"/>
          <w:color w:val="auto"/>
        </w:rPr>
      </w:pPr>
    </w:p>
    <w:p>
      <w:pPr>
        <w:ind w:left="1120"/>
        <w:spacing w:after="0"/>
        <w:tabs>
          <w:tab w:leader="none" w:pos="2220" w:val="left"/>
        </w:tabs>
        <w:rPr>
          <w:sz w:val="20"/>
          <w:szCs w:val="20"/>
          <w:color w:val="auto"/>
        </w:rPr>
      </w:pPr>
      <w:r>
        <w:rPr>
          <w:rFonts w:ascii="Arial" w:cs="Arial" w:eastAsia="Arial" w:hAnsi="Arial"/>
          <w:sz w:val="16"/>
          <w:szCs w:val="16"/>
          <w:color w:val="auto"/>
        </w:rPr>
        <w:t>SECTION 2.17</w:t>
      </w:r>
      <w:r>
        <w:rPr>
          <w:sz w:val="20"/>
          <w:szCs w:val="20"/>
          <w:color w:val="auto"/>
        </w:rPr>
        <w:tab/>
      </w:r>
      <w:r>
        <w:rPr>
          <w:rFonts w:ascii="Arial" w:cs="Arial" w:eastAsia="Arial" w:hAnsi="Arial"/>
          <w:sz w:val="13"/>
          <w:szCs w:val="13"/>
          <w:u w:val="single" w:color="auto"/>
          <w:color w:val="auto"/>
        </w:rPr>
        <w:t>Taxes</w:t>
      </w:r>
      <w:r>
        <w:rPr>
          <w:rFonts w:ascii="Arial" w:cs="Arial" w:eastAsia="Arial" w:hAnsi="Arial"/>
          <w:sz w:val="13"/>
          <w:szCs w:val="13"/>
          <w:color w:val="auto"/>
        </w:rPr>
        <w:t>.</w:t>
      </w:r>
    </w:p>
    <w:p>
      <w:pPr>
        <w:spacing w:after="0" w:line="201" w:lineRule="exact"/>
        <w:rPr>
          <w:sz w:val="20"/>
          <w:szCs w:val="20"/>
          <w:color w:val="auto"/>
        </w:rPr>
      </w:pPr>
    </w:p>
    <w:p>
      <w:pPr>
        <w:jc w:val="both"/>
        <w:ind w:firstLine="1122"/>
        <w:spacing w:after="0" w:line="273" w:lineRule="auto"/>
        <w:tabs>
          <w:tab w:leader="none" w:pos="134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060"/>
          </w:cols>
          <w:pgMar w:left="400" w:top="1179"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Exhibit 21.1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SOTERA HEALTH COMPANY</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 xml:space="preserve">The following is a list of subsidiaries of Sotera Health Company, omitting subsidiaries which are dormant entities without any operations and holding no or </w:t>
      </w:r>
      <w:r>
        <w:rPr>
          <w:rFonts w:ascii="Arial" w:cs="Arial" w:eastAsia="Arial" w:hAnsi="Arial"/>
          <w:sz w:val="16"/>
          <w:szCs w:val="16"/>
          <w:i w:val="1"/>
          <w:iCs w:val="1"/>
          <w:color w:val="auto"/>
        </w:rPr>
        <w:t>de minimis assets</w:t>
      </w:r>
      <w:r>
        <w:rPr>
          <w:rFonts w:ascii="Arial" w:cs="Arial" w:eastAsia="Arial" w:hAnsi="Arial"/>
          <w:sz w:val="16"/>
          <w:szCs w:val="16"/>
          <w:color w:val="auto"/>
        </w:rPr>
        <w:t>, and which, considered in the aggregate as a single subsidiary, would not constitute a significant subsidiary as of March 1, 2022.</w:t>
      </w:r>
    </w:p>
    <w:p>
      <w:pPr>
        <w:spacing w:after="0" w:line="17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Name of Subsidiary</w:t>
            </w:r>
          </w:p>
        </w:tc>
        <w:tc>
          <w:tcPr>
            <w:tcW w:w="3000" w:type="dxa"/>
            <w:vAlign w:val="bottom"/>
            <w:gridSpan w:val="2"/>
          </w:tcPr>
          <w:p>
            <w:pPr>
              <w:jc w:val="center"/>
              <w:ind w:left="982"/>
              <w:spacing w:after="0"/>
              <w:rPr>
                <w:sz w:val="20"/>
                <w:szCs w:val="20"/>
                <w:color w:val="auto"/>
              </w:rPr>
            </w:pPr>
            <w:r>
              <w:rPr>
                <w:rFonts w:ascii="Arial" w:cs="Arial" w:eastAsia="Arial" w:hAnsi="Arial"/>
                <w:sz w:val="16"/>
                <w:szCs w:val="16"/>
                <w:b w:val="1"/>
                <w:bCs w:val="1"/>
                <w:color w:val="auto"/>
                <w:w w:val="89"/>
              </w:rPr>
              <w:t>Jurisdiction of Incorporation</w:t>
            </w:r>
          </w:p>
        </w:tc>
      </w:tr>
      <w:tr>
        <w:trPr>
          <w:trHeight w:val="20"/>
        </w:trPr>
        <w:tc>
          <w:tcPr>
            <w:tcW w:w="1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Auralux Enterprises Ltd.</w:t>
            </w:r>
          </w:p>
        </w:tc>
        <w:tc>
          <w:tcPr>
            <w:tcW w:w="10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Alberta</w:t>
            </w:r>
          </w:p>
        </w:tc>
      </w:tr>
      <w:tr>
        <w:trPr>
          <w:trHeight w:val="221"/>
        </w:trPr>
        <w:tc>
          <w:tcPr>
            <w:tcW w:w="4220" w:type="dxa"/>
            <w:vAlign w:val="bottom"/>
            <w:gridSpan w:val="2"/>
          </w:tcPr>
          <w:p>
            <w:pPr>
              <w:spacing w:after="0"/>
              <w:rPr>
                <w:sz w:val="20"/>
                <w:szCs w:val="20"/>
                <w:color w:val="auto"/>
              </w:rPr>
            </w:pPr>
            <w:r>
              <w:rPr>
                <w:rFonts w:ascii="Arial" w:cs="Arial" w:eastAsia="Arial" w:hAnsi="Arial"/>
                <w:sz w:val="16"/>
                <w:szCs w:val="16"/>
                <w:color w:val="auto"/>
              </w:rPr>
              <w:t>BioScience Laboratories, LLC</w:t>
            </w:r>
          </w:p>
        </w:tc>
        <w:tc>
          <w:tcPr>
            <w:tcW w:w="10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Companhia Brasileira de Esterilização</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4"/>
              </w:rPr>
              <w:t>Brazil</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DEROSS Holding B.V.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Netherlands</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Nelson Laboratories,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Nelson Laboratories Fairfield Holdings,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Nelson Laboratories Fairfield,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6"/>
              </w:rPr>
              <w:t>New Jersey</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Nelson Laboratories Holdings,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Nelson Labs NV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Belgium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Nordion (Canada)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2"/>
              </w:rPr>
              <w:t>Canada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Nordion US Holdings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Nordion (US)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Regulatory Compliance Associates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REVISS Services (UK) Limited</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United Kingdom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RSI Leasing,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1"/>
              </w:rPr>
              <w:t>California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Sotera Health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Sotera Health Holdings,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Sotera Health Services,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Belgium Fleurus S.A.</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Belgium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Belgium Petit Rechain S.A.</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Belgium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Brasil Participaçãos EIRELI</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4"/>
              </w:rPr>
              <w:t>Brazil</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Costa Rica, S.R.L.</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4"/>
              </w:rPr>
              <w:t>Costa Rica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Denmark A/S</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9"/>
              </w:rPr>
              <w:t>Denmark</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EO Canada,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2"/>
              </w:rPr>
              <w:t>Canada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France S.A.S.</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4"/>
              </w:rPr>
              <w:t>France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Germany GmbH</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8"/>
              </w:rPr>
              <w:t>Germany</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Italy S.p.A.</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Italy</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NV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Belgium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Radiation Technologies,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Radiation Technologies Canada,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British Columbia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Radiation Technologies Holdings,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Radiation Technologies IN, Inc.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Indiana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S. de R.L. de C.V.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Mexico</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S.A.S.</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4"/>
              </w:rPr>
              <w:t>France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Shanghai E-beam Ltd.</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China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Shanghai ETO Ltd.</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China</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Thailand, Ltd.</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Thailand</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UK Limited</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United Kingdom</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Sterigenics U.S., LLC</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Delaware</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STR 1 B.V.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Netherlands</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STR 2 B.V.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Netherlands</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STR C.V.</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5"/>
              </w:rPr>
              <w:t>Netherlands</w:t>
            </w:r>
          </w:p>
        </w:tc>
      </w:tr>
      <w:tr>
        <w:trPr>
          <w:trHeight w:val="198"/>
        </w:trPr>
        <w:tc>
          <w:tcPr>
            <w:tcW w:w="4220" w:type="dxa"/>
            <w:vAlign w:val="bottom"/>
            <w:gridSpan w:val="2"/>
          </w:tcPr>
          <w:p>
            <w:pPr>
              <w:spacing w:after="0"/>
              <w:rPr>
                <w:sz w:val="20"/>
                <w:szCs w:val="20"/>
                <w:color w:val="auto"/>
              </w:rPr>
            </w:pPr>
            <w:r>
              <w:rPr>
                <w:rFonts w:ascii="Arial" w:cs="Arial" w:eastAsia="Arial" w:hAnsi="Arial"/>
                <w:sz w:val="16"/>
                <w:szCs w:val="16"/>
                <w:color w:val="auto"/>
              </w:rPr>
              <w:t>Unidade de Esterilização Cotia LTDA</w:t>
            </w:r>
          </w:p>
        </w:tc>
        <w:tc>
          <w:tcPr>
            <w:tcW w:w="10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4"/>
              </w:rPr>
              <w:t>Brazil</w:t>
            </w:r>
          </w:p>
        </w:tc>
      </w:tr>
    </w:tbl>
    <w:p>
      <w:pPr>
        <w:sectPr>
          <w:pgSz w:w="11900" w:h="16838" w:orient="portrait"/>
          <w:cols w:equalWidth="0" w:num="1">
            <w:col w:w="11260"/>
          </w:cols>
          <w:pgMar w:left="320" w:top="823" w:right="3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88" w:lineRule="exact"/>
        <w:rPr>
          <w:sz w:val="20"/>
          <w:szCs w:val="20"/>
          <w:color w:val="auto"/>
        </w:rPr>
      </w:pPr>
    </w:p>
    <w:p>
      <w:pPr>
        <w:ind w:right="180"/>
        <w:spacing w:after="0" w:line="304" w:lineRule="auto"/>
        <w:rPr>
          <w:sz w:val="20"/>
          <w:szCs w:val="20"/>
          <w:color w:val="auto"/>
        </w:rPr>
      </w:pPr>
      <w:r>
        <w:rPr>
          <w:rFonts w:ascii="Arial" w:cs="Arial" w:eastAsia="Arial" w:hAnsi="Arial"/>
          <w:sz w:val="14"/>
          <w:szCs w:val="14"/>
          <w:color w:val="auto"/>
        </w:rPr>
        <w:t>We consent to the incorporation by reference in the Registration Statement (Form S-8 No. 333-250894) pertaining to the Sotera Health Company 2020 Omnibus Incentive Plan of our reports dated March 1, 2022, with respect to the consolidated financial statements and schedule of Sotera Health Company, and the effectiveness of internal control over financial reporting of Sotera Health Company, included in this Annual Report (Form 10-K) for the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Akron, Ohio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1">
            <w:col w:w="11260"/>
          </w:cols>
          <w:pgMar w:left="320" w:top="123"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I, Michael B. Petras, Jr., certify that:</w:t>
      </w:r>
    </w:p>
    <w:p>
      <w:pPr>
        <w:spacing w:after="0" w:line="189" w:lineRule="exact"/>
        <w:rPr>
          <w:sz w:val="20"/>
          <w:szCs w:val="20"/>
          <w:color w:val="auto"/>
        </w:rPr>
      </w:pPr>
    </w:p>
    <w:p>
      <w:pPr>
        <w:ind w:left="287" w:hanging="287"/>
        <w:spacing w:after="0"/>
        <w:tabs>
          <w:tab w:leader="none" w:pos="2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Sotera Health Company;</w:t>
      </w:r>
    </w:p>
    <w:p>
      <w:pPr>
        <w:spacing w:after="0" w:line="212" w:lineRule="exact"/>
        <w:rPr>
          <w:rFonts w:ascii="Arial" w:cs="Arial" w:eastAsia="Arial" w:hAnsi="Arial"/>
          <w:sz w:val="16"/>
          <w:szCs w:val="16"/>
          <w:color w:val="auto"/>
        </w:rPr>
      </w:pPr>
    </w:p>
    <w:p>
      <w:pPr>
        <w:ind w:left="287" w:right="180" w:hanging="287"/>
        <w:spacing w:after="0" w:line="330" w:lineRule="auto"/>
        <w:tabs>
          <w:tab w:leader="none" w:pos="28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4"/>
          <w:szCs w:val="14"/>
          <w:color w:val="auto"/>
        </w:rPr>
      </w:pPr>
    </w:p>
    <w:p>
      <w:pPr>
        <w:ind w:left="287" w:right="60" w:hanging="287"/>
        <w:spacing w:after="0" w:line="259" w:lineRule="auto"/>
        <w:tabs>
          <w:tab w:leader="none" w:pos="2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287" w:right="160" w:hanging="287"/>
        <w:spacing w:after="0" w:line="330" w:lineRule="auto"/>
        <w:tabs>
          <w:tab w:leader="none" w:pos="28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4"/>
          <w:szCs w:val="14"/>
          <w:color w:val="auto"/>
        </w:rPr>
      </w:pPr>
    </w:p>
    <w:p>
      <w:pPr>
        <w:jc w:val="both"/>
        <w:ind w:left="1127" w:right="80" w:hanging="567"/>
        <w:spacing w:after="0" w:line="251" w:lineRule="auto"/>
        <w:tabs>
          <w:tab w:leader="none" w:pos="112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6"/>
          <w:szCs w:val="16"/>
          <w:color w:val="auto"/>
        </w:rPr>
      </w:pPr>
    </w:p>
    <w:p>
      <w:pPr>
        <w:ind w:left="1127" w:right="120" w:hanging="567"/>
        <w:spacing w:after="0" w:line="251" w:lineRule="auto"/>
        <w:tabs>
          <w:tab w:leader="none" w:pos="11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6"/>
          <w:szCs w:val="16"/>
          <w:color w:val="auto"/>
        </w:rPr>
      </w:pPr>
    </w:p>
    <w:p>
      <w:pPr>
        <w:ind w:left="1127" w:right="520" w:hanging="567"/>
        <w:spacing w:after="0" w:line="330" w:lineRule="auto"/>
        <w:tabs>
          <w:tab w:leader="none" w:pos="1124" w:val="left"/>
        </w:tabs>
        <w:numPr>
          <w:ilvl w:val="1"/>
          <w:numId w:val="10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4"/>
          <w:szCs w:val="14"/>
          <w:color w:val="auto"/>
        </w:rPr>
      </w:pPr>
    </w:p>
    <w:p>
      <w:pPr>
        <w:ind w:left="1127" w:right="200" w:hanging="567"/>
        <w:spacing w:after="0" w:line="251" w:lineRule="auto"/>
        <w:tabs>
          <w:tab w:leader="none" w:pos="11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6"/>
          <w:szCs w:val="16"/>
          <w:color w:val="auto"/>
        </w:rPr>
      </w:pPr>
    </w:p>
    <w:p>
      <w:pPr>
        <w:ind w:left="287" w:right="100" w:hanging="287"/>
        <w:spacing w:after="0" w:line="259" w:lineRule="auto"/>
        <w:tabs>
          <w:tab w:leader="none" w:pos="2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127" w:right="60" w:hanging="567"/>
        <w:spacing w:after="0" w:line="259" w:lineRule="auto"/>
        <w:tabs>
          <w:tab w:leader="none" w:pos="112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1127" w:right="320" w:hanging="567"/>
        <w:spacing w:after="0" w:line="259" w:lineRule="auto"/>
        <w:tabs>
          <w:tab w:leader="none" w:pos="11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
        <w:spacing w:after="0"/>
        <w:tabs>
          <w:tab w:leader="none" w:pos="466"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March 1, 2022</w:t>
      </w:r>
    </w:p>
    <w:p>
      <w:pPr>
        <w:spacing w:after="0" w:line="376" w:lineRule="exact"/>
        <w:rPr>
          <w:sz w:val="20"/>
          <w:szCs w:val="20"/>
          <w:color w:val="auto"/>
        </w:rPr>
      </w:pPr>
    </w:p>
    <w:p>
      <w:pPr>
        <w:ind w:left="3367"/>
        <w:spacing w:after="0"/>
        <w:rPr>
          <w:sz w:val="20"/>
          <w:szCs w:val="20"/>
          <w:color w:val="auto"/>
        </w:rPr>
      </w:pPr>
      <w:r>
        <w:rPr>
          <w:rFonts w:ascii="Arial" w:cs="Arial" w:eastAsia="Arial" w:hAnsi="Arial"/>
          <w:sz w:val="16"/>
          <w:szCs w:val="16"/>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-13335</wp:posOffset>
            </wp:positionV>
            <wp:extent cx="10604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1060450" cy="7620"/>
                    </a:xfrm>
                    <a:prstGeom prst="rect">
                      <a:avLst/>
                    </a:prstGeom>
                    <a:noFill/>
                  </pic:spPr>
                </pic:pic>
              </a:graphicData>
            </a:graphic>
          </wp:anchor>
        </w:drawing>
      </w:r>
    </w:p>
    <w:p>
      <w:pPr>
        <w:ind w:left="3367"/>
        <w:spacing w:after="0"/>
        <w:rPr>
          <w:sz w:val="20"/>
          <w:szCs w:val="20"/>
          <w:color w:val="auto"/>
        </w:rPr>
      </w:pPr>
      <w:r>
        <w:rPr>
          <w:rFonts w:ascii="Arial" w:cs="Arial" w:eastAsia="Arial" w:hAnsi="Arial"/>
          <w:sz w:val="16"/>
          <w:szCs w:val="16"/>
          <w:color w:val="auto"/>
        </w:rPr>
        <w:t>Michael B. Petras, Jr.</w:t>
      </w:r>
    </w:p>
    <w:p>
      <w:pPr>
        <w:spacing w:after="0" w:line="3" w:lineRule="exact"/>
        <w:rPr>
          <w:sz w:val="20"/>
          <w:szCs w:val="20"/>
          <w:color w:val="auto"/>
        </w:rPr>
      </w:pPr>
    </w:p>
    <w:p>
      <w:pPr>
        <w:ind w:left="3367"/>
        <w:spacing w:after="0"/>
        <w:rPr>
          <w:sz w:val="20"/>
          <w:szCs w:val="20"/>
          <w:color w:val="auto"/>
        </w:rPr>
      </w:pPr>
      <w:r>
        <w:rPr>
          <w:rFonts w:ascii="Arial" w:cs="Arial" w:eastAsia="Arial" w:hAnsi="Arial"/>
          <w:sz w:val="16"/>
          <w:szCs w:val="16"/>
          <w:color w:val="auto"/>
        </w:rPr>
        <w:t>Chairman and Chief Executive Officer</w:t>
      </w:r>
    </w:p>
    <w:p>
      <w:pPr>
        <w:spacing w:after="0" w:line="3" w:lineRule="exact"/>
        <w:rPr>
          <w:sz w:val="20"/>
          <w:szCs w:val="20"/>
          <w:color w:val="auto"/>
        </w:rPr>
      </w:pPr>
    </w:p>
    <w:p>
      <w:pPr>
        <w:ind w:left="3367"/>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67"/>
          </w:cols>
          <w:pgMar w:left="313" w:top="123"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PURSUANT TO SECTION 302 OF THE SARBANES-OXLEY ACT 2002</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I, Scott J. Leffler, certify that:</w:t>
      </w:r>
    </w:p>
    <w:p>
      <w:pPr>
        <w:spacing w:after="0" w:line="189" w:lineRule="exact"/>
        <w:rPr>
          <w:sz w:val="20"/>
          <w:szCs w:val="20"/>
          <w:color w:val="auto"/>
        </w:rPr>
      </w:pPr>
    </w:p>
    <w:p>
      <w:pPr>
        <w:ind w:left="287" w:hanging="287"/>
        <w:spacing w:after="0"/>
        <w:tabs>
          <w:tab w:leader="none" w:pos="28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Sotera Health Company;</w:t>
      </w:r>
    </w:p>
    <w:p>
      <w:pPr>
        <w:spacing w:after="0" w:line="212" w:lineRule="exact"/>
        <w:rPr>
          <w:rFonts w:ascii="Arial" w:cs="Arial" w:eastAsia="Arial" w:hAnsi="Arial"/>
          <w:sz w:val="16"/>
          <w:szCs w:val="16"/>
          <w:color w:val="auto"/>
        </w:rPr>
      </w:pPr>
    </w:p>
    <w:p>
      <w:pPr>
        <w:ind w:left="287" w:right="180" w:hanging="287"/>
        <w:spacing w:after="0" w:line="330" w:lineRule="auto"/>
        <w:tabs>
          <w:tab w:leader="none" w:pos="28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4"/>
          <w:szCs w:val="14"/>
          <w:color w:val="auto"/>
        </w:rPr>
      </w:pPr>
    </w:p>
    <w:p>
      <w:pPr>
        <w:ind w:left="287" w:right="60" w:hanging="287"/>
        <w:spacing w:after="0" w:line="259" w:lineRule="auto"/>
        <w:tabs>
          <w:tab w:leader="none" w:pos="28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287" w:right="160" w:hanging="287"/>
        <w:spacing w:after="0" w:line="330" w:lineRule="auto"/>
        <w:tabs>
          <w:tab w:leader="none" w:pos="28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4"/>
          <w:szCs w:val="14"/>
          <w:color w:val="auto"/>
        </w:rPr>
      </w:pPr>
    </w:p>
    <w:p>
      <w:pPr>
        <w:jc w:val="both"/>
        <w:ind w:left="1127" w:right="80" w:hanging="567"/>
        <w:spacing w:after="0" w:line="251" w:lineRule="auto"/>
        <w:tabs>
          <w:tab w:leader="none" w:pos="112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6"/>
          <w:szCs w:val="16"/>
          <w:color w:val="auto"/>
        </w:rPr>
      </w:pPr>
    </w:p>
    <w:p>
      <w:pPr>
        <w:ind w:left="1127" w:right="120" w:hanging="567"/>
        <w:spacing w:after="0" w:line="251" w:lineRule="auto"/>
        <w:tabs>
          <w:tab w:leader="none" w:pos="112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6"/>
          <w:szCs w:val="16"/>
          <w:color w:val="auto"/>
        </w:rPr>
      </w:pPr>
    </w:p>
    <w:p>
      <w:pPr>
        <w:ind w:left="1127" w:right="520" w:hanging="567"/>
        <w:spacing w:after="0" w:line="330" w:lineRule="auto"/>
        <w:tabs>
          <w:tab w:leader="none" w:pos="1124"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4"/>
          <w:szCs w:val="14"/>
          <w:color w:val="auto"/>
        </w:rPr>
      </w:pPr>
    </w:p>
    <w:p>
      <w:pPr>
        <w:ind w:left="1127" w:right="200" w:hanging="567"/>
        <w:spacing w:after="0" w:line="251" w:lineRule="auto"/>
        <w:tabs>
          <w:tab w:leader="none" w:pos="112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6"/>
          <w:szCs w:val="16"/>
          <w:color w:val="auto"/>
        </w:rPr>
      </w:pPr>
    </w:p>
    <w:p>
      <w:pPr>
        <w:ind w:left="287" w:right="100" w:hanging="287"/>
        <w:spacing w:after="0" w:line="259" w:lineRule="auto"/>
        <w:tabs>
          <w:tab w:leader="none" w:pos="28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127" w:right="60" w:hanging="567"/>
        <w:spacing w:after="0" w:line="259" w:lineRule="auto"/>
        <w:tabs>
          <w:tab w:leader="none" w:pos="112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1127" w:right="320" w:hanging="567"/>
        <w:spacing w:after="0" w:line="259" w:lineRule="auto"/>
        <w:tabs>
          <w:tab w:leader="none" w:pos="112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
        <w:spacing w:after="0"/>
        <w:tabs>
          <w:tab w:leader="none" w:pos="466"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March 1, 2022</w:t>
      </w:r>
    </w:p>
    <w:p>
      <w:pPr>
        <w:spacing w:after="0" w:line="376" w:lineRule="exact"/>
        <w:rPr>
          <w:sz w:val="20"/>
          <w:szCs w:val="20"/>
          <w:color w:val="auto"/>
        </w:rPr>
      </w:pPr>
    </w:p>
    <w:p>
      <w:pPr>
        <w:ind w:left="3367"/>
        <w:spacing w:after="0"/>
        <w:rPr>
          <w:sz w:val="20"/>
          <w:szCs w:val="20"/>
          <w:color w:val="auto"/>
        </w:rPr>
      </w:pP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-13335</wp:posOffset>
            </wp:positionV>
            <wp:extent cx="8039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803910" cy="7620"/>
                    </a:xfrm>
                    <a:prstGeom prst="rect">
                      <a:avLst/>
                    </a:prstGeom>
                    <a:noFill/>
                  </pic:spPr>
                </pic:pic>
              </a:graphicData>
            </a:graphic>
          </wp:anchor>
        </w:drawing>
      </w:r>
    </w:p>
    <w:p>
      <w:pPr>
        <w:ind w:left="3367"/>
        <w:spacing w:after="0"/>
        <w:rPr>
          <w:sz w:val="20"/>
          <w:szCs w:val="20"/>
          <w:color w:val="auto"/>
        </w:rPr>
      </w:pPr>
      <w:r>
        <w:rPr>
          <w:rFonts w:ascii="Arial" w:cs="Arial" w:eastAsia="Arial" w:hAnsi="Arial"/>
          <w:sz w:val="16"/>
          <w:szCs w:val="16"/>
          <w:color w:val="auto"/>
        </w:rPr>
        <w:t>Scott J. Leffler</w:t>
      </w:r>
    </w:p>
    <w:p>
      <w:pPr>
        <w:spacing w:after="0" w:line="3" w:lineRule="exact"/>
        <w:rPr>
          <w:sz w:val="20"/>
          <w:szCs w:val="20"/>
          <w:color w:val="auto"/>
        </w:rPr>
      </w:pPr>
    </w:p>
    <w:p>
      <w:pPr>
        <w:ind w:left="3367"/>
        <w:spacing w:after="0"/>
        <w:rPr>
          <w:sz w:val="20"/>
          <w:szCs w:val="20"/>
          <w:color w:val="auto"/>
        </w:rPr>
      </w:pPr>
      <w:r>
        <w:rPr>
          <w:rFonts w:ascii="Arial" w:cs="Arial" w:eastAsia="Arial" w:hAnsi="Arial"/>
          <w:sz w:val="16"/>
          <w:szCs w:val="16"/>
          <w:color w:val="auto"/>
        </w:rPr>
        <w:t>Chief Financial Officer and Treasurer</w:t>
      </w:r>
    </w:p>
    <w:p>
      <w:pPr>
        <w:spacing w:after="0" w:line="3" w:lineRule="exact"/>
        <w:rPr>
          <w:sz w:val="20"/>
          <w:szCs w:val="20"/>
          <w:color w:val="auto"/>
        </w:rPr>
      </w:pPr>
    </w:p>
    <w:p>
      <w:pPr>
        <w:ind w:left="3367"/>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67"/>
          </w:cols>
          <w:pgMar w:left="313" w:top="123"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202" w:lineRule="exact"/>
        <w:rPr>
          <w:sz w:val="20"/>
          <w:szCs w:val="20"/>
          <w:color w:val="auto"/>
        </w:rPr>
      </w:pPr>
    </w:p>
    <w:p>
      <w:pPr>
        <w:ind w:right="180" w:firstLine="560"/>
        <w:spacing w:after="0" w:line="295"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4"/>
          <w:szCs w:val="14"/>
          <w:u w:val="single" w:color="auto"/>
          <w:color w:val="auto"/>
        </w:rPr>
        <w:t>Company</w:t>
      </w:r>
      <w:r>
        <w:rPr>
          <w:rFonts w:ascii="Arial" w:cs="Arial" w:eastAsia="Arial" w:hAnsi="Arial"/>
          <w:sz w:val="14"/>
          <w:szCs w:val="14"/>
          <w:color w:val="auto"/>
        </w:rPr>
        <w:t>”), do hereby certify, to each such officer’s knowledge, that the Annual Report on Form 10-K for the year ended December 31, 2021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ectPr>
          <w:pgSz w:w="11900" w:h="16838" w:orient="portrait"/>
          <w:cols w:equalWidth="0" w:num="1">
            <w:col w:w="11260"/>
          </w:cols>
          <w:pgMar w:left="320" w:top="123" w:right="31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Dated: March 1,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Dated: March 1, 2022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08521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108521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Michael B. Petras, Jr.</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Title: Chairman and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Scott J. Leffler</w:t>
      </w:r>
    </w:p>
    <w:p>
      <w:pPr>
        <w:spacing w:after="0" w:line="201" w:lineRule="auto"/>
        <w:rPr>
          <w:sz w:val="20"/>
          <w:szCs w:val="20"/>
          <w:color w:val="auto"/>
        </w:rPr>
      </w:pPr>
      <w:r>
        <w:rPr>
          <w:rFonts w:ascii="Arial" w:cs="Arial" w:eastAsia="Arial" w:hAnsi="Arial"/>
          <w:sz w:val="16"/>
          <w:szCs w:val="16"/>
          <w:color w:val="auto"/>
        </w:rPr>
        <w:t>Scott J. Leffler</w:t>
      </w:r>
    </w:p>
    <w:p>
      <w:pPr>
        <w:spacing w:after="0" w:line="226" w:lineRule="auto"/>
        <w:rPr>
          <w:sz w:val="20"/>
          <w:szCs w:val="20"/>
          <w:color w:val="auto"/>
        </w:rPr>
      </w:pPr>
      <w:r>
        <w:rPr>
          <w:rFonts w:ascii="Arial" w:cs="Arial" w:eastAsia="Arial" w:hAnsi="Arial"/>
          <w:sz w:val="14"/>
          <w:szCs w:val="14"/>
          <w:color w:val="auto"/>
        </w:rPr>
        <w:t>Title: Chief Financial Officer and Treasurer</w:t>
      </w:r>
    </w:p>
    <w:p>
      <w:pPr>
        <w:spacing w:after="0"/>
        <w:rPr>
          <w:sz w:val="20"/>
          <w:szCs w:val="20"/>
          <w:color w:val="auto"/>
        </w:rPr>
      </w:pPr>
      <w:r>
        <w:rPr>
          <w:rFonts w:ascii="Arial" w:cs="Arial" w:eastAsia="Arial" w:hAnsi="Arial"/>
          <w:sz w:val="16"/>
          <w:szCs w:val="16"/>
          <w:i w:val="1"/>
          <w:iCs w:val="1"/>
          <w:color w:val="auto"/>
        </w:rPr>
        <w:t>(Principal Financial Officer)</w:t>
      </w:r>
    </w:p>
    <w:p>
      <w:pPr>
        <w:spacing w:after="0" w:line="165" w:lineRule="exact"/>
        <w:rPr>
          <w:sz w:val="20"/>
          <w:szCs w:val="20"/>
          <w:color w:val="auto"/>
        </w:rPr>
      </w:pPr>
    </w:p>
    <w:p>
      <w:pPr>
        <w:sectPr>
          <w:pgSz w:w="11900" w:h="16838" w:orient="portrait"/>
          <w:cols w:equalWidth="0" w:num="2">
            <w:col w:w="4800" w:space="720"/>
            <w:col w:w="5740"/>
          </w:cols>
          <w:pgMar w:left="320" w:top="123" w:right="319" w:bottom="1440" w:gutter="0" w:footer="0" w:header="0"/>
          <w:type w:val="continuous"/>
        </w:sectPr>
      </w:pPr>
    </w:p>
    <w:p>
      <w:pPr>
        <w:ind w:right="180"/>
        <w:spacing w:after="0" w:line="304" w:lineRule="auto"/>
        <w:rPr>
          <w:sz w:val="20"/>
          <w:szCs w:val="20"/>
          <w:color w:val="auto"/>
        </w:rPr>
      </w:pPr>
      <w:r>
        <w:rPr>
          <w:rFonts w:ascii="Arial" w:cs="Arial" w:eastAsia="Arial" w:hAnsi="Arial"/>
          <w:sz w:val="14"/>
          <w:szCs w:val="14"/>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60"/>
      </w:cols>
      <w:pgMar w:left="320" w:top="123"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5"/>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2"/>
    </w:lvl>
  </w:abstractNum>
  <w:abstractNum w:abstractNumId="35">
    <w:nsid w:val="168E121F"/>
    <w:multiLevelType w:val="hybridMultilevel"/>
    <w:lvl w:ilvl="0">
      <w:lvlJc w:val="left"/>
      <w:lvlText w:val="%1."/>
      <w:numFmt w:val="decimal"/>
      <w:start w:val="3"/>
    </w:lvl>
  </w:abstractNum>
  <w:abstractNum w:abstractNumId="36">
    <w:nsid w:val="1EBA5D23"/>
    <w:multiLevelType w:val="hybridMultilevel"/>
    <w:lvl w:ilvl="0">
      <w:lvlJc w:val="left"/>
      <w:lvlText w:val="%1."/>
      <w:numFmt w:val="decimal"/>
      <w:start w:val="4"/>
    </w:lvl>
  </w:abstractNum>
  <w:abstractNum w:abstractNumId="37">
    <w:nsid w:val="661E3F1E"/>
    <w:multiLevelType w:val="hybridMultilevel"/>
    <w:lvl w:ilvl="0">
      <w:lvlJc w:val="left"/>
      <w:lvlText w:val="%1."/>
      <w:numFmt w:val="decimal"/>
      <w:start w:val="8"/>
    </w:lvl>
  </w:abstractNum>
  <w:abstractNum w:abstractNumId="38">
    <w:nsid w:val="5DC79EA8"/>
    <w:multiLevelType w:val="hybridMultilevel"/>
    <w:lvl w:ilvl="0">
      <w:lvlJc w:val="left"/>
      <w:lvlText w:val="(%1)"/>
      <w:numFmt w:val="lowerLetter"/>
      <w:start w:val="1"/>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decimal"/>
      <w:start w:val="15"/>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1"/>
    </w:lvl>
  </w:abstractNum>
  <w:abstractNum w:abstractNumId="44">
    <w:nsid w:val="11447B73"/>
    <w:multiLevelType w:val="hybridMultilevel"/>
    <w:lvl w:ilvl="0">
      <w:lvlJc w:val="left"/>
      <w:lvlText w:val="(%1)"/>
      <w:numFmt w:val="lowerLetter"/>
      <w:start w:val="1"/>
    </w:lvl>
  </w:abstractNum>
  <w:abstractNum w:abstractNumId="45">
    <w:nsid w:val="42963E5A"/>
    <w:multiLevelType w:val="hybridMultilevel"/>
    <w:lvl w:ilvl="0">
      <w:lvlJc w:val="left"/>
      <w:lvlText w:val="(%1)"/>
      <w:numFmt w:val="lowerLetter"/>
      <w:start w:val="1"/>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Letter"/>
      <w:start w:val="12"/>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lowerLetter"/>
      <w:start w:val="1"/>
    </w:lvl>
    <w:lvl w:ilvl="1">
      <w:lvlJc w:val="left"/>
      <w:lvlText w:val="(%2)"/>
      <w:numFmt w:val="decimal"/>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decimal"/>
      <w:start w:val="1"/>
    </w:lvl>
  </w:abstractNum>
  <w:abstractNum w:abstractNumId="58">
    <w:nsid w:val="100F59DC"/>
    <w:multiLevelType w:val="hybridMultilevel"/>
    <w:lvl w:ilvl="0">
      <w:lvlJc w:val="left"/>
      <w:lvlText w:val="%1."/>
      <w:numFmt w:val="upperLetter"/>
      <w:start w:val="1"/>
    </w:lvl>
  </w:abstractNum>
  <w:abstractNum w:abstractNumId="59">
    <w:nsid w:val="7FB7E0AA"/>
    <w:multiLevelType w:val="hybridMultilevel"/>
    <w:lvl w:ilvl="0">
      <w:lvlJc w:val="left"/>
      <w:lvlText w:val="%1."/>
      <w:numFmt w:val="upperLetter"/>
      <w:start w:val="2"/>
    </w:lvl>
  </w:abstractNum>
  <w:abstractNum w:abstractNumId="60">
    <w:nsid w:val="6EB5BD4"/>
    <w:multiLevelType w:val="hybridMultilevel"/>
    <w:lvl w:ilvl="0">
      <w:lvlJc w:val="left"/>
      <w:lvlText w:val="%1."/>
      <w:numFmt w:val="upperLetter"/>
      <w:start w:val="3"/>
    </w:lvl>
  </w:abstractNum>
  <w:abstractNum w:abstractNumId="61">
    <w:nsid w:val="6F6DD9AC"/>
    <w:multiLevelType w:val="hybridMultilevel"/>
    <w:lvl w:ilvl="0">
      <w:lvlJc w:val="left"/>
      <w:lvlText w:val="%1."/>
      <w:numFmt w:val="decimal"/>
      <w:start w:val="4"/>
    </w:lvl>
  </w:abstractNum>
  <w:abstractNum w:abstractNumId="62">
    <w:nsid w:val="94211F2"/>
    <w:multiLevelType w:val="hybridMultilevel"/>
    <w:lvl w:ilvl="0">
      <w:lvlJc w:val="left"/>
      <w:lvlText w:val="%1."/>
      <w:numFmt w:val="upperLetter"/>
      <w:start w:val="1"/>
    </w:lvl>
  </w:abstractNum>
  <w:abstractNum w:abstractNumId="63">
    <w:nsid w:val="885E1B"/>
    <w:multiLevelType w:val="hybridMultilevel"/>
    <w:lvl w:ilvl="0">
      <w:lvlJc w:val="left"/>
      <w:lvlText w:val="%1"/>
      <w:numFmt w:val="upperLetter"/>
      <w:start w:val="1"/>
    </w:lvl>
    <w:lvl w:ilvl="1">
      <w:lvlJc w:val="left"/>
      <w:lvlText w:val="%2."/>
      <w:numFmt w:val="lowerRoman"/>
      <w:start w:val="2"/>
    </w:lvl>
  </w:abstractNum>
  <w:abstractNum w:abstractNumId="64">
    <w:nsid w:val="76272110"/>
    <w:multiLevelType w:val="hybridMultilevel"/>
    <w:lvl w:ilvl="0">
      <w:lvlJc w:val="left"/>
      <w:lvlText w:val="%1."/>
      <w:numFmt w:val="upperLetter"/>
      <w:start w:val="2"/>
    </w:lvl>
    <w:lvl w:ilvl="1">
      <w:lvlJc w:val="left"/>
      <w:lvlText w:val="%2."/>
      <w:numFmt w:val="lowerRoman"/>
      <w:start w:val="1"/>
    </w:lvl>
  </w:abstractNum>
  <w:abstractNum w:abstractNumId="65">
    <w:nsid w:val="4C04A8AF"/>
    <w:multiLevelType w:val="hybridMultilevel"/>
    <w:lvl w:ilvl="0">
      <w:lvlJc w:val="left"/>
      <w:lvlText w:val="%1."/>
      <w:numFmt w:val="upperLetter"/>
      <w:start w:val="4"/>
    </w:lvl>
  </w:abstractNum>
  <w:abstractNum w:abstractNumId="66">
    <w:nsid w:val="1716703B"/>
    <w:multiLevelType w:val="hybridMultilevel"/>
    <w:lvl w:ilvl="0">
      <w:lvlJc w:val="left"/>
      <w:lvlText w:val="%1."/>
      <w:numFmt w:val="decimal"/>
      <w:start w:val="5"/>
    </w:lvl>
  </w:abstractNum>
  <w:abstractNum w:abstractNumId="67">
    <w:nsid w:val="14E17E33"/>
    <w:multiLevelType w:val="hybridMultilevel"/>
    <w:lvl w:ilvl="0">
      <w:lvlJc w:val="left"/>
      <w:lvlText w:val="%1."/>
      <w:numFmt w:val="decimal"/>
      <w:start w:val="8"/>
    </w:lvl>
  </w:abstractNum>
  <w:abstractNum w:abstractNumId="68">
    <w:nsid w:val="3222E7CD"/>
    <w:multiLevelType w:val="hybridMultilevel"/>
    <w:lvl w:ilvl="0">
      <w:lvlJc w:val="left"/>
      <w:lvlText w:val="%1."/>
      <w:numFmt w:val="upperLetter"/>
      <w:start w:val="1"/>
    </w:lvl>
  </w:abstractNum>
  <w:abstractNum w:abstractNumId="69">
    <w:nsid w:val="74DE0EE3"/>
    <w:multiLevelType w:val="hybridMultilevel"/>
    <w:lvl w:ilvl="0">
      <w:lvlJc w:val="left"/>
      <w:lvlText w:val="%1."/>
      <w:numFmt w:val="upperLetter"/>
      <w:start w:val="7"/>
    </w:lvl>
    <w:lvl w:ilvl="1">
      <w:lvlJc w:val="left"/>
      <w:lvlText w:val="%2."/>
      <w:numFmt w:val="lowerRoman"/>
      <w:start w:val="1"/>
    </w:lvl>
  </w:abstractNum>
  <w:abstractNum w:abstractNumId="70">
    <w:nsid w:val="68EBC550"/>
    <w:multiLevelType w:val="hybridMultilevel"/>
    <w:lvl w:ilvl="0">
      <w:lvlJc w:val="left"/>
      <w:lvlText w:val="%1"/>
      <w:numFmt w:val="upperLetter"/>
      <w:start w:val="1"/>
    </w:lvl>
    <w:lvl w:ilvl="1">
      <w:lvlJc w:val="left"/>
      <w:lvlText w:val="%2."/>
      <w:numFmt w:val="lowerRoman"/>
      <w:start w:val="3"/>
    </w:lvl>
  </w:abstractNum>
  <w:abstractNum w:abstractNumId="71">
    <w:nsid w:val="2DF6D648"/>
    <w:multiLevelType w:val="hybridMultilevel"/>
    <w:lvl w:ilvl="0">
      <w:lvlJc w:val="left"/>
      <w:lvlText w:val="%1."/>
      <w:numFmt w:val="upperLetter"/>
      <w:start w:val="9"/>
    </w:lvl>
    <w:lvl w:ilvl="1">
      <w:lvlJc w:val="left"/>
      <w:lvlText w:val="%2."/>
      <w:numFmt w:val="lowerRoman"/>
      <w:start w:val="1"/>
    </w:lvl>
  </w:abstractNum>
  <w:abstractNum w:abstractNumId="72">
    <w:nsid w:val="46B7D447"/>
    <w:multiLevelType w:val="hybridMultilevel"/>
    <w:lvl w:ilvl="0">
      <w:lvlJc w:val="left"/>
      <w:lvlText w:val="%1."/>
      <w:numFmt w:val="decimal"/>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decimal"/>
      <w:start w:val="1"/>
    </w:lvl>
    <w:lvl w:ilvl="1">
      <w:lvlJc w:val="left"/>
      <w:lvlText w:val="(%2)"/>
      <w:numFmt w:val="lowerLetter"/>
      <w:start w:val="4"/>
    </w:lvl>
  </w:abstractNum>
  <w:abstractNum w:abstractNumId="75">
    <w:nsid w:val="57FC4FBB"/>
    <w:multiLevelType w:val="hybridMultilevel"/>
    <w:lvl w:ilvl="0">
      <w:lvlJc w:val="left"/>
      <w:lvlText w:val="%1."/>
      <w:numFmt w:val="decimal"/>
      <w:start w:val="3"/>
    </w:lvl>
    <w:lvl w:ilvl="1">
      <w:lvlJc w:val="left"/>
      <w:lvlText w:val="(%2)"/>
      <w:numFmt w:val="lowerLetter"/>
      <w:start w:val="1"/>
    </w:lvl>
  </w:abstractNum>
  <w:abstractNum w:abstractNumId="76">
    <w:nsid w:val="CC1016F"/>
    <w:multiLevelType w:val="hybridMultilevel"/>
    <w:lvl w:ilvl="0">
      <w:lvlJc w:val="left"/>
      <w:lvlText w:val="(%1)"/>
      <w:numFmt w:val="lowerLetter"/>
      <w:start w:val="2"/>
    </w:lvl>
  </w:abstractNum>
  <w:abstractNum w:abstractNumId="77">
    <w:nsid w:val="43F18422"/>
    <w:multiLevelType w:val="hybridMultilevel"/>
    <w:lvl w:ilvl="0">
      <w:lvlJc w:val="left"/>
      <w:lvlText w:val="(%1)"/>
      <w:numFmt w:val="lowerLetter"/>
      <w:start w:val="4"/>
    </w:lvl>
  </w:abstractNum>
  <w:abstractNum w:abstractNumId="78">
    <w:nsid w:val="60EF0119"/>
    <w:multiLevelType w:val="hybridMultilevel"/>
    <w:lvl w:ilvl="0">
      <w:lvlJc w:val="left"/>
      <w:lvlText w:val="%1"/>
      <w:numFmt w:val="lowerLetter"/>
      <w:start w:val="1"/>
    </w:lvl>
    <w:lvl w:ilvl="1">
      <w:lvlJc w:val="left"/>
      <w:lvlText w:val="%2."/>
      <w:numFmt w:val="decimal"/>
      <w:start w:val="5"/>
    </w:lvl>
  </w:abstractNum>
  <w:abstractNum w:abstractNumId="79">
    <w:nsid w:val="26F324BA"/>
    <w:multiLevelType w:val="hybridMultilevel"/>
    <w:lvl w:ilvl="0">
      <w:lvlJc w:val="left"/>
      <w:lvlText w:val="(%1)"/>
      <w:numFmt w:val="lowerLetter"/>
      <w:start w:val="1"/>
    </w:lvl>
    <w:lvl w:ilvl="1">
      <w:lvlJc w:val="left"/>
      <w:lvlText w:val="%2"/>
      <w:numFmt w:val="decimal"/>
      <w:start w:val="1"/>
    </w:lvl>
  </w:abstractNum>
  <w:abstractNum w:abstractNumId="80">
    <w:nsid w:val="7F01579B"/>
    <w:multiLevelType w:val="hybridMultilevel"/>
    <w:lvl w:ilvl="0">
      <w:lvlJc w:val="left"/>
      <w:lvlText w:val="(%1)"/>
      <w:numFmt w:val="lowerLetter"/>
      <w:start w:val="3"/>
    </w:lvl>
    <w:lvl w:ilvl="1">
      <w:lvlJc w:val="left"/>
      <w:lvlText w:val="(%2)"/>
      <w:numFmt w:val="lowerLetter"/>
    </w:lvl>
    <w:lvl w:ilvl="2">
      <w:lvlJc w:val="left"/>
      <w:lvlText w:val="%3."/>
      <w:numFmt w:val="decimal"/>
      <w:start w:val="9"/>
    </w:lvl>
  </w:abstractNum>
  <w:abstractNum w:abstractNumId="81">
    <w:nsid w:val="49DA307D"/>
    <w:multiLevelType w:val="hybridMultilevel"/>
    <w:lvl w:ilvl="0">
      <w:lvlJc w:val="left"/>
      <w:lvlText w:val="%1."/>
      <w:numFmt w:val="decimal"/>
      <w:start w:val="12"/>
    </w:lvl>
  </w:abstractNum>
  <w:abstractNum w:abstractNumId="82">
    <w:nsid w:val="7055A5F5"/>
    <w:multiLevelType w:val="hybridMultilevel"/>
    <w:lvl w:ilvl="0">
      <w:lvlJc w:val="left"/>
      <w:lvlText w:val="\ldblquote"/>
      <w:numFmt w:val="bullet"/>
      <w:start w:val="1"/>
    </w:lvl>
  </w:abstractNum>
  <w:abstractNum w:abstractNumId="83">
    <w:nsid w:val="5FB8370B"/>
    <w:multiLevelType w:val="hybridMultilevel"/>
    <w:lvl w:ilvl="0">
      <w:lvlJc w:val="left"/>
      <w:lvlText w:val="(%1)"/>
      <w:numFmt w:val="lowerLetter"/>
      <w:start w:val="1"/>
    </w:lvl>
  </w:abstractNum>
  <w:abstractNum w:abstractNumId="84">
    <w:nsid w:val="50801EE1"/>
    <w:multiLevelType w:val="hybridMultilevel"/>
    <w:lvl w:ilvl="0">
      <w:lvlJc w:val="left"/>
      <w:lvlText w:val="(%1)"/>
      <w:numFmt w:val="lowerRoman"/>
      <w:start w:val="3"/>
    </w:lvl>
  </w:abstractNum>
  <w:abstractNum w:abstractNumId="85">
    <w:nsid w:val="488AC1A"/>
    <w:multiLevelType w:val="hybridMultilevel"/>
    <w:lvl w:ilvl="0">
      <w:lvlJc w:val="left"/>
      <w:lvlText w:val="\ldblquote"/>
      <w:numFmt w:val="bullet"/>
      <w:start w:val="1"/>
    </w:lvl>
  </w:abstractNum>
  <w:abstractNum w:abstractNumId="86">
    <w:nsid w:val="5FB8011C"/>
    <w:multiLevelType w:val="hybridMultilevel"/>
    <w:lvl w:ilvl="0">
      <w:lvlJc w:val="left"/>
      <w:lvlText w:val="(%1)"/>
      <w:numFmt w:val="lowerLetter"/>
      <w:start w:val="4"/>
    </w:lvl>
  </w:abstractNum>
  <w:abstractNum w:abstractNumId="87">
    <w:nsid w:val="6AA78F7F"/>
    <w:multiLevelType w:val="hybridMultilevel"/>
    <w:lvl w:ilvl="0">
      <w:lvlJc w:val="left"/>
      <w:lvlText w:val="(%1)"/>
      <w:numFmt w:val="lowerLetter"/>
      <w:start w:val="1"/>
    </w:lvl>
    <w:lvl w:ilvl="1">
      <w:lvlJc w:val="left"/>
      <w:lvlText w:val="(%2)"/>
      <w:numFmt w:val="lowerRoman"/>
      <w:start w:val="1"/>
    </w:lvl>
  </w:abstractNum>
  <w:abstractNum w:abstractNumId="88">
    <w:nsid w:val="7672BD23"/>
    <w:multiLevelType w:val="hybridMultilevel"/>
    <w:lvl w:ilvl="0">
      <w:lvlJc w:val="left"/>
      <w:lvlText w:val="(%1)"/>
      <w:numFmt w:val="lowerRoman"/>
      <w:start w:val="1"/>
    </w:lvl>
  </w:abstractNum>
  <w:abstractNum w:abstractNumId="89">
    <w:nsid w:val="6FC75AF8"/>
    <w:multiLevelType w:val="hybridMultilevel"/>
    <w:lvl w:ilvl="0">
      <w:lvlJc w:val="left"/>
      <w:lvlText w:val="(%1)"/>
      <w:numFmt w:val="lowerLetter"/>
      <w:start w:val="3"/>
    </w:lvl>
  </w:abstractNum>
  <w:abstractNum w:abstractNumId="90">
    <w:nsid w:val="6A5F7029"/>
    <w:multiLevelType w:val="hybridMultilevel"/>
    <w:lvl w:ilvl="0">
      <w:lvlJc w:val="left"/>
      <w:lvlText w:val="\ldblquote"/>
      <w:numFmt w:val="bullet"/>
      <w:start w:val="1"/>
    </w:lvl>
    <w:lvl w:ilvl="1">
      <w:lvlJc w:val="left"/>
      <w:lvlText w:val="\ldblquote"/>
      <w:numFmt w:val="bullet"/>
      <w:start w:val="1"/>
    </w:lvl>
  </w:abstractNum>
  <w:abstractNum w:abstractNumId="91">
    <w:nsid w:val="7D5E18F8"/>
    <w:multiLevelType w:val="hybridMultilevel"/>
    <w:lvl w:ilvl="0">
      <w:lvlJc w:val="left"/>
      <w:lvlText w:val="\ldblquote"/>
      <w:numFmt w:val="bullet"/>
      <w:start w:val="1"/>
    </w:lvl>
  </w:abstractNum>
  <w:abstractNum w:abstractNumId="92">
    <w:nsid w:val="5F3534A4"/>
    <w:multiLevelType w:val="hybridMultilevel"/>
    <w:lvl w:ilvl="0">
      <w:lvlJc w:val="left"/>
      <w:lvlText w:val="(%1)"/>
      <w:numFmt w:val="lowerRoman"/>
      <w:start w:val="2"/>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95">
    <w:nsid w:val="555C55B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96">
    <w:nsid w:val="3FA62ACA"/>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8"/>
    </w:lvl>
    <w:lvl w:ilvl="3">
      <w:lvlJc w:val="left"/>
      <w:lvlText w:val="%4"/>
      <w:numFmt w:val="lowerRoman"/>
      <w:start w:val="1"/>
    </w:lvl>
  </w:abstractNum>
  <w:abstractNum w:abstractNumId="97">
    <w:nsid w:val="14FCE74E"/>
    <w:multiLevelType w:val="hybridMultilevel"/>
    <w:lvl w:ilvl="0">
      <w:lvlJc w:val="left"/>
      <w:lvlText w:val="(%1)"/>
      <w:numFmt w:val="lowerLetter"/>
      <w:start w:val="6"/>
    </w:lvl>
  </w:abstractNum>
  <w:abstractNum w:abstractNumId="98">
    <w:nsid w:val="6A3DD3E8"/>
    <w:multiLevelType w:val="hybridMultilevel"/>
    <w:lvl w:ilvl="0">
      <w:lvlJc w:val="left"/>
      <w:lvlText w:val="(%1)"/>
      <w:numFmt w:val="lowerLetter"/>
      <w:start w:val="3"/>
    </w:lvl>
  </w:abstractNum>
  <w:abstractNum w:abstractNumId="99">
    <w:nsid w:val="71C91298"/>
    <w:multiLevelType w:val="hybridMultilevel"/>
    <w:lvl w:ilvl="0">
      <w:lvlJc w:val="left"/>
      <w:lvlText w:val="%1"/>
      <w:numFmt w:val="lowerLetter"/>
      <w:start w:val="1"/>
    </w:lvl>
    <w:lvl w:ilvl="1">
      <w:lvlJc w:val="left"/>
      <w:lvlText w:val="(%2)"/>
      <w:numFmt w:val="lowerLetter"/>
      <w:start w:val="1"/>
    </w:lvl>
  </w:abstractNum>
  <w:abstractNum w:abstractNumId="100">
    <w:nsid w:val="9DAF632"/>
    <w:multiLevelType w:val="hybridMultilevel"/>
    <w:lvl w:ilvl="0">
      <w:lvlJc w:val="left"/>
      <w:lvlText w:val="(%1)"/>
      <w:numFmt w:val="lowerLetter"/>
      <w:start w:val="9"/>
    </w:lvl>
    <w:lvl w:ilvl="1">
      <w:lvlJc w:val="left"/>
      <w:lvlText w:val="%2"/>
      <w:numFmt w:val="lowerLetter"/>
      <w:start w:val="1"/>
    </w:lvl>
  </w:abstractNum>
  <w:abstractNum w:abstractNumId="101">
    <w:nsid w:val="53299938"/>
    <w:multiLevelType w:val="hybridMultilevel"/>
    <w:lvl w:ilvl="0">
      <w:lvlJc w:val="left"/>
      <w:lvlText w:val="(%1)"/>
      <w:numFmt w:val="lowerLetter"/>
      <w:start w:val="5"/>
    </w:lvl>
  </w:abstractNum>
  <w:abstractNum w:abstractNumId="102">
    <w:nsid w:val="1FBFE8E0"/>
    <w:multiLevelType w:val="hybridMultilevel"/>
    <w:lvl w:ilvl="0">
      <w:lvlJc w:val="left"/>
      <w:lvlText w:val="%1"/>
      <w:numFmt w:val="lowerRoman"/>
      <w:start w:val="1"/>
    </w:lvl>
    <w:lvl w:ilvl="1">
      <w:lvlJc w:val="left"/>
      <w:lvlText w:val="(%2)"/>
      <w:numFmt w:val="lowerLetter"/>
      <w:start w:val="1"/>
    </w:lvl>
  </w:abstractNum>
  <w:abstractNum w:abstractNumId="103">
    <w:nsid w:val="5092CA79"/>
    <w:multiLevelType w:val="hybridMultilevel"/>
    <w:lvl w:ilvl="0">
      <w:lvlJc w:val="left"/>
      <w:lvlText w:val="(%1)"/>
      <w:numFmt w:val="lowerRoman"/>
      <w:start w:val="1"/>
    </w:lvl>
    <w:lvl w:ilvl="1">
      <w:lvlJc w:val="left"/>
      <w:lvlText w:val="%2"/>
      <w:numFmt w:val="lowerLetter"/>
      <w:start w:val="1"/>
    </w:lvl>
  </w:abstractNum>
  <w:abstractNum w:abstractNumId="104">
    <w:nsid w:val="1D545C4D"/>
    <w:multiLevelType w:val="hybridMultilevel"/>
    <w:lvl w:ilvl="0">
      <w:lvlJc w:val="left"/>
      <w:lvlText w:val="(%1)"/>
      <w:numFmt w:val="lowerLetter"/>
      <w:start w:val="2"/>
    </w:lvl>
  </w:abstractNum>
  <w:abstractNum w:abstractNumId="105">
    <w:nsid w:val="59ADEA3D"/>
    <w:multiLevelType w:val="hybridMultilevel"/>
    <w:lvl w:ilvl="0">
      <w:lvlJc w:val="left"/>
      <w:lvlText w:val="(%1)"/>
      <w:numFmt w:val="lowerLetter"/>
      <w:start w:val="4"/>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92" Type="http://schemas.openxmlformats.org/officeDocument/2006/relationships/image" Target="media/image164.png"/><Relationship Id="rId203"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169" Type="http://schemas.openxmlformats.org/officeDocument/2006/relationships/hyperlink" Target="https://www.sec.gov/Archives/edgar/data/1822479/000182247921000018/shc_20201231xexhibitx3x1.htm" TargetMode="External"/><Relationship Id="rId170" Type="http://schemas.openxmlformats.org/officeDocument/2006/relationships/hyperlink" Target="https://www.sec.gov/Archives/edgar/data/1822479/000182247921000018/shc20201231_exhibitx3x2.htm" TargetMode="External"/><Relationship Id="rId171" Type="http://schemas.openxmlformats.org/officeDocument/2006/relationships/hyperlink" Target="https://www.sec.gov/Archives/edgar/data/1822479/000182247921000018/shc_20201231xexhibitx4x1.htm" TargetMode="External"/><Relationship Id="rId172" Type="http://schemas.openxmlformats.org/officeDocument/2006/relationships/hyperlink" Target="https://www.sec.gov/Archives/edgar/data/1822479/000182247921000018/shc_20201231xexhibitx4x2.htm" TargetMode="External"/><Relationship Id="rId173" Type="http://schemas.openxmlformats.org/officeDocument/2006/relationships/hyperlink" Target="https://www.sec.gov/Archives/edgar/data/1822479/000119312520290973/d93452dex101.htm" TargetMode="External"/><Relationship Id="rId174" Type="http://schemas.openxmlformats.org/officeDocument/2006/relationships/hyperlink" Target="https://www.sec.gov/Archives/edgar/data/1822479/000119312520290973/d93452dex102.htm" TargetMode="External"/><Relationship Id="rId175" Type="http://schemas.openxmlformats.org/officeDocument/2006/relationships/hyperlink" Target="https://www.sec.gov/Archives/edgar/data/1822479/000119312520290973/d93452dex104.htm" TargetMode="External"/><Relationship Id="rId176" Type="http://schemas.openxmlformats.org/officeDocument/2006/relationships/hyperlink" Target="https://www.sec.gov/Archives/edgar/data/1822479/000119312520290973/d93452dex105.htm" TargetMode="External"/><Relationship Id="rId177" Type="http://schemas.openxmlformats.org/officeDocument/2006/relationships/hyperlink" Target="https://www.sec.gov/Archives/edgar/data/1822479/000119312520290973/d93452dex106.htm" TargetMode="External"/><Relationship Id="rId178" Type="http://schemas.openxmlformats.org/officeDocument/2006/relationships/hyperlink" Target="https://www.sec.gov/Archives/edgar/data/1822479/000119312520290973/d93452dex107.htm" TargetMode="External"/><Relationship Id="rId181" Type="http://schemas.openxmlformats.org/officeDocument/2006/relationships/hyperlink" Target="https://www.sec.gov/Archives/edgar/data/1822479/000119312520284069/d93452dex108.htm" TargetMode="External"/><Relationship Id="rId182" Type="http://schemas.openxmlformats.org/officeDocument/2006/relationships/hyperlink" Target="https://www.sec.gov/Archives/edgar/data/1822479/000182247921000018/shc_20201231xexhibitx10x9.htm" TargetMode="External"/><Relationship Id="rId183" Type="http://schemas.openxmlformats.org/officeDocument/2006/relationships/hyperlink" Target="https://www.sec.gov/Archives/edgar/data/1822479/000119312520275568/d93452dex1010.htm" TargetMode="External"/><Relationship Id="rId184" Type="http://schemas.openxmlformats.org/officeDocument/2006/relationships/hyperlink" Target="https://www.sec.gov/Archives/edgar/data/1822479/000119312520275568/d93452dex1011.htm" TargetMode="External"/><Relationship Id="rId185" Type="http://schemas.openxmlformats.org/officeDocument/2006/relationships/hyperlink" Target="https://www.sec.gov/Archives/edgar/data/1822479/000119312520275568/d93452dex1012.htm" TargetMode="External"/><Relationship Id="rId186" Type="http://schemas.openxmlformats.org/officeDocument/2006/relationships/hyperlink" Target="https://www.sec.gov/Archives/edgar/data/1822479/000119312520275568/d93452dex1013.htm" TargetMode="External"/><Relationship Id="rId187" Type="http://schemas.openxmlformats.org/officeDocument/2006/relationships/hyperlink" Target="https://www.sec.gov/Archives/edgar/data/1822479/000119312520275568/d93452dex1014.htm" TargetMode="External"/><Relationship Id="rId188" Type="http://schemas.openxmlformats.org/officeDocument/2006/relationships/hyperlink" Target="https://www.sec.gov/Archives/edgar/data/1822479/000119312520275568/d93452dex1015.htm" TargetMode="External"/><Relationship Id="rId189" Type="http://schemas.openxmlformats.org/officeDocument/2006/relationships/hyperlink" Target="https://www.sec.gov/Archives/edgar/data/1822479/000119312520275568/d93452dex1016.htm" TargetMode="External"/><Relationship Id="rId190" Type="http://schemas.openxmlformats.org/officeDocument/2006/relationships/hyperlink" Target="https://www.sec.gov/Archives/edgar/data/1822479/000119312520275568/d93452dex1017.htm" TargetMode="External"/><Relationship Id="rId191" Type="http://schemas.openxmlformats.org/officeDocument/2006/relationships/hyperlink" Target="https://www.sec.gov/Archives/edgar/data/1822479/000119312520275568/d93452dex1025.htm" TargetMode="External"/><Relationship Id="rId193" Type="http://schemas.openxmlformats.org/officeDocument/2006/relationships/hyperlink" Target="https://www.sec.gov/Archives/edgar/data/1822479/000119312520275568/d93452dex1026.htm" TargetMode="External"/><Relationship Id="rId194" Type="http://schemas.openxmlformats.org/officeDocument/2006/relationships/hyperlink" Target="https://www.sec.gov/Archives/edgar/data/1822479/000119312520275568/d93452dex1027.htm" TargetMode="External"/><Relationship Id="rId195" Type="http://schemas.openxmlformats.org/officeDocument/2006/relationships/hyperlink" Target="https://www.sec.gov/Archives/edgar/data/1822479/000119312520275568/d93452dex1028.htm" TargetMode="External"/><Relationship Id="rId196" Type="http://schemas.openxmlformats.org/officeDocument/2006/relationships/hyperlink" Target="https://www.sec.gov/Archives/edgar/data/1822479/000119312520275568/d93452dex1029.htm" TargetMode="External"/><Relationship Id="rId197" Type="http://schemas.openxmlformats.org/officeDocument/2006/relationships/hyperlink" Target="https://www.sec.gov/Archives/edgar/data/1822479/000119312520297076/d93452dex1030.htm" TargetMode="External"/><Relationship Id="rId198" Type="http://schemas.openxmlformats.org/officeDocument/2006/relationships/hyperlink" Target="https://www.sec.gov/Archives/edgar/data/1822479/000119312520290973/d93452dex1031.htm" TargetMode="External"/><Relationship Id="rId199" Type="http://schemas.openxmlformats.org/officeDocument/2006/relationships/hyperlink" Target="https://www.sec.gov/Archives/edgar/data/1822479/000119312520290973/d93452dex1032.htm" TargetMode="External"/><Relationship Id="rId200" Type="http://schemas.openxmlformats.org/officeDocument/2006/relationships/hyperlink" Target="https://www.sec.gov/Archives/edgar/data/1822479/000182247921000018/shc_20201231xexhibitx10x26.htm" TargetMode="External"/><Relationship Id="rId201" Type="http://schemas.openxmlformats.org/officeDocument/2006/relationships/hyperlink" Target="https://www.sec.gov/Archives/edgar/data/1822479/000182247921000018/shc_20201231xexhibitx10x27.htm" TargetMode="External"/><Relationship Id="rId202" Type="http://schemas.openxmlformats.org/officeDocument/2006/relationships/hyperlink" Target="https://www.sec.gov/Archives/edgar/data/1822479/000182247921000018/shc_20201231xexhibitx10x28.htm" TargetMode="External"/><Relationship Id="rId204" Type="http://schemas.openxmlformats.org/officeDocument/2006/relationships/hyperlink" Target="https://www.sec.gov/Archives/edgar/data/1822479/000182247921000028/shc-20210331_exhibitx10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2022-03-01T21:00:41Z</dcterms:created>
  <dcterms:modified xsi:type="dcterms:W3CDTF">2022-03-01T21:00:41Z</dcterms:modified>
</cp:coreProperties>
</file>