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333-277418</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27, 2024)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182245</wp:posOffset>
            </wp:positionV>
            <wp:extent cx="125158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of Sotera Health Company identified in this prospectus supplement are offering 25,000,000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w:t>
      </w:r>
    </w:p>
    <w:p>
      <w:pPr>
        <w:spacing w:after="0" w:line="176" w:lineRule="exact"/>
        <w:rPr>
          <w:sz w:val="24"/>
          <w:szCs w:val="24"/>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on the Nasdaq Global Select Market (“Nasdaq”) under the symbol “SHC.” On September 4, 2024, the last reported sale price of our common stock on Nasdaq was $15.41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120" w:right="18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S-11 of this prospectus supplement and in the documents incorporated by reference into this prospectus supplement to read about factors you should consider before deciding to invest in our common stock.</w:t>
      </w:r>
    </w:p>
    <w:p>
      <w:pPr>
        <w:spacing w:after="0" w:line="176" w:lineRule="exact"/>
        <w:rPr>
          <w:sz w:val="24"/>
          <w:szCs w:val="24"/>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underwriter has agreed to purchase the common stock from the selling stockholders at a price equal to $15.03 per share, which will result in $375,750,000 of proceeds to the selling stockholders, before expenses. The underwriter may offer our common stock purchased from the selling stockholders from time to time in one or more transactions on the Nasdaq, in the over-the-counter market or through negotiated transactions at market prices or at negotiated prices. The underwriter may offer shares of common stock for sale at different prices at the same time. See “Underwriting” for a description of compensation payable to the underwriter.</w:t>
      </w:r>
    </w:p>
    <w:p>
      <w:pPr>
        <w:spacing w:after="0" w:line="18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September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Citigroup</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4, 2024.</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80" w:type="dxa"/>
            <w:vAlign w:val="bottom"/>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18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340" w:type="dxa"/>
            <w:vAlign w:val="bottom"/>
            <w:gridSpan w:val="5"/>
          </w:tcPr>
          <w:p>
            <w:pPr>
              <w:spacing w:after="0"/>
              <w:rPr>
                <w:sz w:val="16"/>
                <w:szCs w:val="16"/>
                <w:color w:val="auto"/>
              </w:rPr>
            </w:pPr>
          </w:p>
        </w:tc>
        <w:tc>
          <w:tcPr>
            <w:tcW w:w="2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720" w:type="dxa"/>
            <w:vAlign w:val="bottom"/>
            <w:tcBorders>
              <w:top w:val="single" w:sz="8" w:color="0000EE"/>
            </w:tcBorders>
            <w:gridSpan w:val="9"/>
          </w:tcPr>
          <w:p>
            <w:pPr>
              <w:spacing w:after="0"/>
              <w:rPr>
                <w:sz w:val="17"/>
                <w:szCs w:val="17"/>
                <w:color w:val="auto"/>
              </w:rPr>
            </w:pPr>
          </w:p>
        </w:tc>
        <w:tc>
          <w:tcPr>
            <w:tcW w:w="6140" w:type="dxa"/>
            <w:vAlign w:val="bottom"/>
            <w:gridSpan w:val="9"/>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500" w:type="dxa"/>
            <w:vAlign w:val="bottom"/>
            <w:gridSpan w:val="1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 HISTORICAL CONSOLIDATED FINANCIAL AND OTHER DATA</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60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00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S-22</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5360" w:type="dxa"/>
            <w:vAlign w:val="bottom"/>
            <w:tcBorders>
              <w:top w:val="single" w:sz="8" w:color="0000EE"/>
            </w:tcBorders>
            <w:gridSpan w:val="12"/>
          </w:tcPr>
          <w:p>
            <w:pPr>
              <w:spacing w:after="0"/>
              <w:rPr>
                <w:sz w:val="17"/>
                <w:szCs w:val="17"/>
                <w:color w:val="auto"/>
              </w:rPr>
            </w:pPr>
          </w:p>
        </w:tc>
        <w:tc>
          <w:tcPr>
            <w:tcW w:w="184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32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S-32</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S-34</w:t>
            </w:r>
          </w:p>
        </w:tc>
      </w:tr>
      <w:tr>
        <w:trPr>
          <w:trHeight w:val="196"/>
        </w:trPr>
        <w:tc>
          <w:tcPr>
            <w:tcW w:w="3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49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S-35</w:t>
            </w:r>
          </w:p>
        </w:tc>
      </w:tr>
      <w:tr>
        <w:trPr>
          <w:trHeight w:val="453"/>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180" w:type="dxa"/>
            <w:vAlign w:val="bottom"/>
          </w:tcPr>
          <w:p>
            <w:pPr>
              <w:spacing w:after="0"/>
              <w:rPr>
                <w:sz w:val="24"/>
                <w:szCs w:val="24"/>
                <w:color w:val="auto"/>
              </w:rPr>
            </w:pPr>
          </w:p>
        </w:tc>
      </w:tr>
      <w:tr>
        <w:trPr>
          <w:trHeight w:val="418"/>
        </w:trPr>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740" w:type="dxa"/>
            <w:vAlign w:val="bottom"/>
            <w:gridSpan w:val="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00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200" w:type="dxa"/>
            <w:vAlign w:val="bottom"/>
            <w:gridSpan w:val="1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9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840" w:type="dxa"/>
            <w:vAlign w:val="bottom"/>
            <w:gridSpan w:val="7"/>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2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580" w:type="dxa"/>
            <w:vAlign w:val="bottom"/>
            <w:gridSpan w:val="11"/>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6740" w:type="dxa"/>
            <w:vAlign w:val="bottom"/>
            <w:gridSpan w:val="1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49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32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w:t>
      </w:r>
    </w:p>
    <w:p>
      <w:pPr>
        <w:spacing w:after="0" w:line="183"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both this prospectus supplement, the accompanying prospectus and any free writing prospectus prepared by or on behalf of us, together with the additional information described under the heading “Where You Can Find More Information.”</w:t>
      </w:r>
    </w:p>
    <w:p>
      <w:pPr>
        <w:spacing w:after="0" w:line="155" w:lineRule="exact"/>
        <w:rPr>
          <w:sz w:val="20"/>
          <w:szCs w:val="20"/>
          <w:color w:val="auto"/>
        </w:rPr>
      </w:pPr>
    </w:p>
    <w:p>
      <w:pPr>
        <w:jc w:val="both"/>
        <w:ind w:left="120"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w:t>
      </w:r>
    </w:p>
    <w:p>
      <w:pPr>
        <w:spacing w:after="0" w:line="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the offering varies between this prospectus supplement and the accompanying prospectus, you should rely on the information in this prospectus supplement.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as updated by “Risk Factors” in Part II, Item 1A of our Quarterly Report on Form 10-Q for the quarter ended March 31, 2024.</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55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2023 (the “Annual Report”), as updated by “Risk Factors” in Part II, Item 1A of our Quarterly Report on Form 10-Q for the quarter ended March 31, 2024.</w:t>
      </w:r>
    </w:p>
    <w:p>
      <w:pPr>
        <w:spacing w:after="0" w:line="1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w:t>
      </w:r>
    </w:p>
    <w:p>
      <w:pPr>
        <w:spacing w:after="0" w:line="20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63 facilities worldwide, we have over 3,000 employees who are dedicated to safety and quality.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corporate headquarters and principal executive offices are located at 9100 South Hills Boulevard, Suite 300, Broadview Heights, Ohio 44147.</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telephone number is (440) 262-1410.</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60"/>
          </w:cols>
          <w:pgMar w:left="320" w:top="455" w:right="719" w:bottom="1440" w:gutter="0" w:footer="0" w:header="0"/>
        </w:sectPr>
      </w:pPr>
    </w:p>
    <w:p>
      <w:pPr>
        <w:spacing w:after="0" w:line="256" w:lineRule="exact"/>
        <w:rPr>
          <w:sz w:val="20"/>
          <w:szCs w:val="20"/>
          <w:color w:val="auto"/>
        </w:rPr>
      </w:pPr>
    </w:p>
    <w:p>
      <w:pPr>
        <w:ind w:left="300" w:right="60"/>
        <w:spacing w:after="0" w:line="406" w:lineRule="auto"/>
        <w:rPr>
          <w:sz w:val="20"/>
          <w:szCs w:val="20"/>
          <w:color w:val="auto"/>
        </w:rPr>
      </w:pPr>
      <w:r>
        <w:rPr>
          <w:rFonts w:ascii="Times New Roman" w:cs="Times New Roman" w:eastAsia="Times New Roman" w:hAnsi="Times New Roman"/>
          <w:sz w:val="18"/>
          <w:szCs w:val="18"/>
          <w:color w:val="auto"/>
        </w:rPr>
        <w:t>Common stock offered by the selling stockholders Selling stockholders</w:t>
      </w:r>
    </w:p>
    <w:p>
      <w:pPr>
        <w:spacing w:after="0" w:line="2" w:lineRule="exact"/>
        <w:rPr>
          <w:sz w:val="20"/>
          <w:szCs w:val="20"/>
          <w:color w:val="auto"/>
        </w:rPr>
      </w:pPr>
    </w:p>
    <w:p>
      <w:pPr>
        <w:ind w:left="300"/>
        <w:spacing w:after="0" w:line="438" w:lineRule="auto"/>
        <w:rPr>
          <w:sz w:val="20"/>
          <w:szCs w:val="20"/>
          <w:color w:val="auto"/>
        </w:rPr>
      </w:pPr>
      <w:r>
        <w:rPr>
          <w:rFonts w:ascii="Times New Roman" w:cs="Times New Roman" w:eastAsia="Times New Roman" w:hAnsi="Times New Roman"/>
          <w:sz w:val="18"/>
          <w:szCs w:val="18"/>
          <w:color w:val="auto"/>
        </w:rPr>
        <w:t>Common stock to be outstanding after this offering Use of proceeds</w:t>
      </w: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 of the offering on Sponsor rights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“Selling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283,214,342 shares.</w:t>
      </w:r>
    </w:p>
    <w:p>
      <w:pPr>
        <w:spacing w:after="0" w:line="1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net proceeds from the sale of shares of common stock in this offering. We will not receive any proceeds from the sale of shares of common stock by the selling stockholders.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affiliates of Warburg Pincus LLC (“Warburg Pincus”) and GTCR LLC (“GTCR” and, together with Warburg Pincus, our “Sponsors”) have special rights relating to our corporate governance. For more information, see “Certain Sponsor Rights” in our Definitive Proxy Statement on Schedule 14A, which is incorporated by reference in this prospectus supplement. We expect that, as a result of this offering, our Sponsors will cease to own a majority of our outstanding common stock, which will affect certain of these rights, and related matters. In particular, upon our Sponsors ceasing to own a majority of our outstanding common stock:</w:t>
      </w:r>
    </w:p>
    <w:p>
      <w:pPr>
        <w:spacing w:after="0" w:line="97" w:lineRule="exact"/>
        <w:rPr>
          <w:sz w:val="20"/>
          <w:szCs w:val="20"/>
          <w:color w:val="auto"/>
        </w:rPr>
      </w:pPr>
    </w:p>
    <w:p>
      <w:pPr>
        <w:ind w:left="500" w:right="32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qualify as a “controlled company” within the meaning of the Nasdaq corporate governance standards (although we do not currently avail ourselves of related exemptions).</w:t>
      </w:r>
    </w:p>
    <w:p>
      <w:pPr>
        <w:spacing w:after="0" w:line="81" w:lineRule="exact"/>
        <w:rPr>
          <w:rFonts w:ascii="Times New Roman" w:cs="Times New Roman" w:eastAsia="Times New Roman" w:hAnsi="Times New Roman"/>
          <w:sz w:val="18"/>
          <w:szCs w:val="18"/>
          <w:color w:val="auto"/>
        </w:rPr>
      </w:pPr>
    </w:p>
    <w:p>
      <w:pPr>
        <w:ind w:left="500" w:right="28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our amended and restated certificate of incorporation and amended and restated bylaws will require a 66 2/3% majority approval in place of a simple majority.</w:t>
      </w:r>
    </w:p>
    <w:p>
      <w:pPr>
        <w:spacing w:after="0" w:line="81" w:lineRule="exact"/>
        <w:rPr>
          <w:rFonts w:ascii="Times New Roman" w:cs="Times New Roman" w:eastAsia="Times New Roman" w:hAnsi="Times New Roman"/>
          <w:sz w:val="18"/>
          <w:szCs w:val="18"/>
          <w:color w:val="auto"/>
        </w:rPr>
      </w:pPr>
    </w:p>
    <w:p>
      <w:pPr>
        <w:ind w:left="50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of stockholders which could have been taken without prior notice and not at an annual or special meeting of stockholders will require such notice and forum.</w:t>
      </w:r>
    </w:p>
    <w:p>
      <w:pPr>
        <w:spacing w:after="0" w:line="81" w:lineRule="exact"/>
        <w:rPr>
          <w:rFonts w:ascii="Times New Roman" w:cs="Times New Roman" w:eastAsia="Times New Roman" w:hAnsi="Times New Roman"/>
          <w:sz w:val="18"/>
          <w:szCs w:val="18"/>
          <w:color w:val="auto"/>
        </w:rPr>
      </w:pPr>
    </w:p>
    <w:p>
      <w:pPr>
        <w:ind w:left="500" w:hanging="289"/>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calling of special meetings of stockholders will be limited.</w:t>
      </w:r>
    </w:p>
    <w:p>
      <w:pPr>
        <w:spacing w:after="0" w:line="130" w:lineRule="exact"/>
        <w:rPr>
          <w:rFonts w:ascii="Times New Roman" w:cs="Times New Roman" w:eastAsia="Times New Roman" w:hAnsi="Times New Roman"/>
          <w:sz w:val="18"/>
          <w:szCs w:val="18"/>
          <w:color w:val="auto"/>
        </w:rPr>
      </w:pPr>
    </w:p>
    <w:p>
      <w:pPr>
        <w:ind w:left="500" w:right="24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for cause of directors designated by the Sponsors will require the affirmative vote of at least 75% of the voting power of our outstanding common stock.</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additional information, see “Risk Factors – Risks Related to the Offering and Our Common Stock” — “Although we do not currently rely on the ‘controlled company’ exemption, we expect to lose our status as a ‘controlled company’ within the meaning of the Nasdaq corporate governance standards following this offering and cease to qualify for exemptions from certain corporate governance requirements”, “If the ownership of our common stock continues to be highly concentrated, it may prevent minority stockholders from</w:t>
      </w:r>
    </w:p>
    <w:p>
      <w:pPr>
        <w:spacing w:after="0" w:line="200" w:lineRule="exact"/>
        <w:rPr>
          <w:sz w:val="20"/>
          <w:szCs w:val="20"/>
          <w:color w:val="auto"/>
        </w:rPr>
      </w:pPr>
    </w:p>
    <w:p>
      <w:pPr>
        <w:sectPr>
          <w:pgSz w:w="11900" w:h="16838" w:orient="portrait"/>
          <w:cols w:equalWidth="0" w:num="2">
            <w:col w:w="3980" w:space="360"/>
            <w:col w:w="6520"/>
          </w:cols>
          <w:pgMar w:left="320" w:top="455" w:right="719" w:bottom="1440" w:gutter="0" w:footer="0" w:header="0"/>
          <w:type w:val="continuous"/>
        </w:sectPr>
      </w:pPr>
    </w:p>
    <w:p>
      <w:pPr>
        <w:spacing w:after="0" w:line="1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860"/>
          </w:cols>
          <w:pgMar w:left="320" w:top="455" w:right="7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30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8304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120"/>
        <w:spacing w:after="0" w:line="253" w:lineRule="auto"/>
        <w:rPr>
          <w:sz w:val="20"/>
          <w:szCs w:val="20"/>
          <w:color w:val="auto"/>
        </w:rPr>
      </w:pPr>
      <w:r>
        <w:rPr>
          <w:rFonts w:ascii="Times New Roman" w:cs="Times New Roman" w:eastAsia="Times New Roman" w:hAnsi="Times New Roman"/>
          <w:sz w:val="18"/>
          <w:szCs w:val="18"/>
          <w:color w:val="auto"/>
        </w:rPr>
        <w:t>influencing significant corporate decisions and may result in conflicts of interest” and “Anti-takeover provisions in our amended and restated certificate of incorporation, amended and restated bylaws and our Stockholders’ Agreement, as well as Delaware law, could discourage a change in control of our company or a change in our management.” Additionally, the number of directors that each of our Sponsors is entitled to designate for election to our board of directors declines as that Sponsor’s ownership of our shares falls below set percentage thresholds. See “Certain Sponsor Rights” in our Definitive Proxy Statement on Schedule 14A, which is incorporated by reference in this prospectus supplement. As a result of this offering, the number of directors that GTCR is expected to be entitled to designate will be reduced from three to two.</w:t>
      </w:r>
    </w:p>
    <w:p>
      <w:pPr>
        <w:sectPr>
          <w:pgSz w:w="11900" w:h="16838" w:orient="portrait"/>
          <w:cols w:equalWidth="0" w:num="1">
            <w:col w:w="10920"/>
          </w:cols>
          <w:pgMar w:left="320" w:top="455" w:right="659" w:bottom="1440" w:gutter="0" w:footer="0" w:header="0"/>
        </w:sectPr>
      </w:pP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currently do not expect to pay dividends on our common stock. Instead, we anticipate that all of our earnings in the foreseeable future will be used for the operation and growth of our business and the repayment of indebtedness. See “Dividend Policy.”</w:t>
      </w:r>
    </w:p>
    <w:p>
      <w:pPr>
        <w:spacing w:after="0" w:line="8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320"/>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for a discussion of factors you should carefully consider before deciding to invest in our common stock.</w:t>
      </w:r>
    </w:p>
    <w:p>
      <w:pPr>
        <w:spacing w:after="0" w:line="8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“SHC”</w:t>
      </w:r>
    </w:p>
    <w:p>
      <w:pPr>
        <w:spacing w:after="0" w:line="211"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9"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noted, the number of shares of common stock to be outstanding after the offering is based on 283,214,342 shares of common stock outstanding as of July 29, 2024 and excludes as of such date:</w:t>
      </w:r>
    </w:p>
    <w:p>
      <w:pPr>
        <w:spacing w:after="0" w:line="67" w:lineRule="exact"/>
        <w:rPr>
          <w:sz w:val="20"/>
          <w:szCs w:val="20"/>
          <w:color w:val="auto"/>
        </w:rPr>
      </w:pPr>
    </w:p>
    <w:p>
      <w:pPr>
        <w:ind w:left="1240" w:right="4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8,478,579 shares of common stock issuable upon the exercise of outstanding options as of June 30, 2024, with a weighted average exercise price of $15.02 per share (provided that 43,309 shares of common stock are no longer issuable upon the exercise of outstanding options due to forfeitures subsequent to June 30, 2024, such forfeited options having a weighted-average exercise price of $17.20 per share);</w:t>
      </w:r>
    </w:p>
    <w:p>
      <w:pPr>
        <w:spacing w:after="0" w:line="85" w:lineRule="exact"/>
        <w:rPr>
          <w:rFonts w:ascii="Times New Roman" w:cs="Times New Roman" w:eastAsia="Times New Roman" w:hAnsi="Times New Roman"/>
          <w:sz w:val="18"/>
          <w:szCs w:val="18"/>
          <w:color w:val="auto"/>
        </w:rPr>
      </w:pPr>
    </w:p>
    <w:p>
      <w:pPr>
        <w:ind w:left="1240" w:right="180" w:hanging="415"/>
        <w:spacing w:after="0" w:line="258"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2,877,390 shares issuable pursuant to restricted stock units (“RSUs”) outstanding as of June 30, 2024 (provided that 46,580 of such shares of common stock have ceased to be issuable due to forfeitures of RSUs subsequent to June 30, 2024, and there are no such shares of common stock that have ceased to be issuable due to the vesting and settlement of RSUs subsequent to June 30, 2024 (and any shares of common stock that are outstanding following the satisfaction of tax withholding obligations in respect of such vested RSUs are included in the number of shares of common stock outstanding as of July 29, 2024 set forth above)); and</w:t>
      </w:r>
    </w:p>
    <w:p>
      <w:pPr>
        <w:spacing w:after="0" w:line="8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15,418,329 additional shares of common stock reserved for future issuance under our 2020 Omnibus Incentive Plan (the “2020 Plan”).</w:t>
      </w: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summary historical consolidated financial and other data. The summary historical consolidated statements of operations data and statements of cash flows data for the years ended December 31, 2023, 2022 and 2021 and the summary historical balance sheet data as of December 31, 2023 and December 31, 2022 have been derived from our audited consolidated financial statements incorporated by reference from our Annual Report. The summary historical consolidated statements of operations data and statements of cash flows data for the six months ended June 30, 2024 and 2023 and the summary historical balance sheet data as of June 30, 2024 have been derived from our unaudited consolidated interim financial statements incorporated by reference from our Quarterly Report on Form 10-Q for the quarter ended June 30, 2024.</w:t>
      </w:r>
    </w:p>
    <w:p>
      <w:pPr>
        <w:spacing w:after="0" w:line="187" w:lineRule="exact"/>
        <w:rPr>
          <w:sz w:val="20"/>
          <w:szCs w:val="20"/>
          <w:color w:val="auto"/>
        </w:rPr>
      </w:pPr>
    </w:p>
    <w:p>
      <w:pPr>
        <w:ind w:left="300" w:right="300" w:firstLine="426"/>
        <w:spacing w:after="0" w:line="258" w:lineRule="auto"/>
        <w:rPr>
          <w:sz w:val="20"/>
          <w:szCs w:val="20"/>
          <w:color w:val="auto"/>
        </w:rPr>
      </w:pPr>
      <w:r>
        <w:rPr>
          <w:rFonts w:ascii="Times New Roman" w:cs="Times New Roman" w:eastAsia="Times New Roman" w:hAnsi="Times New Roman"/>
          <w:sz w:val="18"/>
          <w:szCs w:val="18"/>
          <w:color w:val="auto"/>
        </w:rPr>
        <w:t>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and from our unaudited consolidated interim financial statements incorporated by reference from our Quarterly Report on Form 10-Q for the quarter ended June 30, 2024. Our historical results are not necessarily indicative of our results in any future period.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ind w:left="636"/>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lef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905,598</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864,828</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805,501</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464,237</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1,003,687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931,478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418,611</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390,860</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357,205</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55,601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446,683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412,806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244,864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577,158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518,672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63,781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154,521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80,144</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74,192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Georgia EO litigation settlement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Illinois EO litigation settlement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(7,372)</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(6,441)</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(15,201)</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(9,541)</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8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S-6</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5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(233,570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2"/>
              </w:rPr>
              <w:t>15,077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20,790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20,939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(64,816)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(256,657)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the company</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(256,657)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(37,638)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53,704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(0.83)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(147,732)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(302,704)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(214,906)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6"/>
              </w:rPr>
              <w:t>(181,896)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(159,833)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(76,774)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(117,286)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Net Income</w:t>
            </w:r>
            <w:r>
              <w:rPr>
                <w:rFonts w:ascii="Times New Roman" w:cs="Times New Roman" w:eastAsia="Times New Roman" w:hAnsi="Times New Roman"/>
                <w:sz w:val="25"/>
                <w:szCs w:val="25"/>
                <w:color w:val="auto"/>
                <w:vertAlign w:val="superscript"/>
              </w:rPr>
              <w:t>(a)</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 249,279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20" w:right="60" w:hanging="422"/>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(as defined below), to Adjusted Net Income and Adjusted EBITDA, see “—Non-GAAP Financial Measures.”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(a)</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296,407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395,214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(b)</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326,590</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(146,557)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long-term debt (including current portion, less unamortized debt issuance costs and debt</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2,228,471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1,944,234</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2,224,610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2,767,467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350,238</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422,764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(a)</w:t>
        <w:tab/>
        <w:t>Cash and cash equivalents excludes restricted cash.</w:t>
      </w:r>
    </w:p>
    <w:p>
      <w:pPr>
        <w:spacing w:after="0" w:line="131"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(b)</w:t>
        <w:tab/>
        <w:t>Working capital represents current assets less current liabilities.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35"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w:t>
      </w:r>
    </w:p>
    <w:p>
      <w:pPr>
        <w:spacing w:after="0" w:line="153" w:lineRule="exact"/>
        <w:rPr>
          <w:sz w:val="20"/>
          <w:szCs w:val="20"/>
          <w:color w:val="auto"/>
        </w:rPr>
      </w:pPr>
    </w:p>
    <w:p>
      <w:pPr>
        <w:ind w:left="300" w:firstLine="426"/>
        <w:spacing w:after="0" w:line="270" w:lineRule="auto"/>
        <w:rPr>
          <w:sz w:val="20"/>
          <w:szCs w:val="20"/>
          <w:color w:val="auto"/>
        </w:rPr>
      </w:pPr>
      <w:r>
        <w:rPr>
          <w:rFonts w:ascii="Times New Roman" w:cs="Times New Roman" w:eastAsia="Times New Roman" w:hAnsi="Times New Roman"/>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3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41" w:lineRule="exact"/>
        <w:rPr>
          <w:sz w:val="20"/>
          <w:szCs w:val="20"/>
          <w:color w:val="auto"/>
        </w:rPr>
      </w:pPr>
    </w:p>
    <w:p>
      <w:pPr>
        <w:ind w:left="700" w:right="8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26"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and integrating businesses, which will continue to be a part of our growth strategy;</w:t>
      </w:r>
    </w:p>
    <w:p>
      <w:pPr>
        <w:spacing w:after="0" w:line="90" w:lineRule="exact"/>
        <w:rPr>
          <w:rFonts w:ascii="Times New Roman" w:cs="Times New Roman" w:eastAsia="Times New Roman" w:hAnsi="Times New Roman"/>
          <w:sz w:val="18"/>
          <w:szCs w:val="18"/>
          <w:color w:val="auto"/>
        </w:rPr>
      </w:pPr>
    </w:p>
    <w:p>
      <w:pPr>
        <w:ind w:left="700" w:right="40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losses from fluctuations in foreign currency exchange rates, and the mark-to-fair value of derivatives not designated as hedging instruments, which includes embedded derivatives relating to certain customer and supply contracts at Nordion;</w:t>
      </w:r>
    </w:p>
    <w:p>
      <w:pPr>
        <w:spacing w:after="0" w:line="26"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 intangible assets and investments accounted for under the equity method;</w:t>
      </w:r>
    </w:p>
    <w:p>
      <w:pPr>
        <w:spacing w:after="0" w:line="9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incurred in connection with refinancing or early extinguishment of long-term debt;</w:t>
      </w:r>
    </w:p>
    <w:p>
      <w:pPr>
        <w:spacing w:after="0" w:line="9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with the previous secondary offering of our common stock;</w:t>
      </w:r>
    </w:p>
    <w:p>
      <w:pPr>
        <w:spacing w:after="0" w:line="90" w:lineRule="exact"/>
        <w:rPr>
          <w:rFonts w:ascii="Times New Roman" w:cs="Times New Roman" w:eastAsia="Times New Roman" w:hAnsi="Times New Roman"/>
          <w:sz w:val="18"/>
          <w:szCs w:val="18"/>
          <w:color w:val="auto"/>
        </w:rPr>
      </w:pPr>
    </w:p>
    <w:p>
      <w:pPr>
        <w:ind w:left="700" w:right="40" w:hanging="307"/>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charges related to the litigation, settlement agreements, EPA rulemaking and related activities associated with our ethylene oxide sterilization facilities, including those in Willowbrook, Illinois (which we closed in 2019), Atlanta, Georgia, Santa Teresa, New Mexico and Los Angeles, California;</w:t>
      </w:r>
    </w:p>
    <w:p>
      <w:pPr>
        <w:spacing w:after="0" w:line="40" w:lineRule="exact"/>
        <w:rPr>
          <w:rFonts w:ascii="Times New Roman" w:cs="Times New Roman" w:eastAsia="Times New Roman" w:hAnsi="Times New Roman"/>
          <w:sz w:val="18"/>
          <w:szCs w:val="18"/>
          <w:color w:val="auto"/>
        </w:rPr>
      </w:pPr>
    </w:p>
    <w:p>
      <w:pPr>
        <w:ind w:left="700" w:right="66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Adjusted EBITDA, interest expense or the cash requirements necessary to service interest or principal payments on our indebtedness; and</w:t>
      </w:r>
    </w:p>
    <w:p>
      <w:pPr>
        <w:spacing w:after="0" w:line="26" w:lineRule="exact"/>
        <w:rPr>
          <w:rFonts w:ascii="Times New Roman" w:cs="Times New Roman" w:eastAsia="Times New Roman" w:hAnsi="Times New Roman"/>
          <w:sz w:val="18"/>
          <w:szCs w:val="18"/>
          <w:color w:val="auto"/>
        </w:rPr>
      </w:pPr>
    </w:p>
    <w:p>
      <w:pPr>
        <w:ind w:left="700" w:right="12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which has been, and will continue to be for the foreseeable future, a significant recurring expense and an important part of our compensation strategy.</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10"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$(233,570)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$ 117,121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81,348</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81,554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86,742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Share-based compensation</w:t>
            </w:r>
            <w:r>
              <w:rPr>
                <w:rFonts w:ascii="Times New Roman" w:cs="Times New Roman" w:eastAsia="Times New Roman" w:hAnsi="Times New Roman"/>
                <w:sz w:val="25"/>
                <w:szCs w:val="25"/>
                <w:color w:val="auto"/>
                <w:vertAlign w:val="superscript"/>
              </w:rPr>
              <w: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32,364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Loss on refinancing of debt</w:t>
            </w:r>
            <w:r>
              <w:rPr>
                <w:rFonts w:ascii="Times New Roman" w:cs="Times New Roman" w:eastAsia="Times New Roman" w:hAnsi="Times New Roman"/>
                <w:sz w:val="25"/>
                <w:szCs w:val="25"/>
                <w:color w:val="auto"/>
                <w:vertAlign w:val="superscript"/>
              </w:rPr>
              <w:t>(b)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6"/>
                <w:szCs w:val="26"/>
                <w:color w:val="auto"/>
                <w:vertAlign w:val="superscript"/>
              </w:rPr>
              <w:t>(c)</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Business optimization expenses</w:t>
            </w:r>
            <w:r>
              <w:rPr>
                <w:rFonts w:ascii="Times New Roman" w:cs="Times New Roman" w:eastAsia="Times New Roman" w:hAnsi="Times New Roman"/>
                <w:sz w:val="25"/>
                <w:szCs w:val="25"/>
                <w:color w:val="auto"/>
                <w:vertAlign w:val="superscript"/>
              </w:rPr>
              <w:t>(d)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Impairment of investment in unconsolidated affiliate</w:t>
            </w:r>
            <w:r>
              <w:rPr>
                <w:rFonts w:ascii="Times New Roman" w:cs="Times New Roman" w:eastAsia="Times New Roman" w:hAnsi="Times New Roman"/>
                <w:sz w:val="25"/>
                <w:szCs w:val="25"/>
                <w:color w:val="auto"/>
                <w:vertAlign w:val="superscript"/>
              </w:rPr>
              <w:t>(e)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Secondary offering costs</w:t>
            </w:r>
            <w:r>
              <w:rPr>
                <w:rFonts w:ascii="Times New Roman" w:cs="Times New Roman" w:eastAsia="Times New Roman" w:hAnsi="Times New Roman"/>
                <w:sz w:val="25"/>
                <w:szCs w:val="25"/>
                <w:color w:val="auto"/>
                <w:vertAlign w:val="superscript"/>
              </w:rPr>
              <w:t>(f)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Professional services relating to EO sterilization facilities</w:t>
            </w:r>
            <w:r>
              <w:rPr>
                <w:rFonts w:ascii="Times New Roman" w:cs="Times New Roman" w:eastAsia="Times New Roman" w:hAnsi="Times New Roman"/>
                <w:sz w:val="25"/>
                <w:szCs w:val="25"/>
                <w:color w:val="auto"/>
                <w:vertAlign w:val="superscript"/>
              </w:rPr>
              <w:t>(g)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45,312</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72,639</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Illinois EO litigation settlement</w:t>
            </w:r>
            <w:r>
              <w:rPr>
                <w:rFonts w:ascii="Times New Roman" w:cs="Times New Roman" w:eastAsia="Times New Roman" w:hAnsi="Times New Roman"/>
                <w:sz w:val="25"/>
                <w:szCs w:val="25"/>
                <w:color w:val="auto"/>
                <w:vertAlign w:val="superscript"/>
              </w:rPr>
              <w: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Georgia EO litigation settlement</w:t>
            </w:r>
            <w:r>
              <w:rPr>
                <w:rFonts w:ascii="Times New Roman" w:cs="Times New Roman" w:eastAsia="Times New Roman" w:hAnsi="Times New Roman"/>
                <w:sz w:val="25"/>
                <w:szCs w:val="25"/>
                <w:color w:val="auto"/>
                <w:vertAlign w:val="superscript"/>
              </w:rPr>
              <w:t>(i)</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Accretion of asset retirement obligations</w:t>
            </w:r>
            <w:r>
              <w:rPr>
                <w:rFonts w:ascii="Times New Roman" w:cs="Times New Roman" w:eastAsia="Times New Roman" w:hAnsi="Times New Roman"/>
                <w:sz w:val="25"/>
                <w:szCs w:val="25"/>
                <w:color w:val="auto"/>
                <w:vertAlign w:val="superscript"/>
              </w:rPr>
              <w:t>(j)</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COVID-19 expenses</w:t>
            </w:r>
            <w:r>
              <w:rPr>
                <w:rFonts w:ascii="Times New Roman" w:cs="Times New Roman" w:eastAsia="Times New Roman" w:hAnsi="Times New Roman"/>
                <w:sz w:val="25"/>
                <w:szCs w:val="25"/>
                <w:color w:val="auto"/>
                <w:vertAlign w:val="superscript"/>
              </w:rPr>
              <w:t>(k)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tax benefit associated with pre-tax adjustments</w:t>
            </w:r>
            <w:r>
              <w:rPr>
                <w:rFonts w:ascii="Times New Roman" w:cs="Times New Roman" w:eastAsia="Times New Roman" w:hAnsi="Times New Roman"/>
                <w:sz w:val="25"/>
                <w:szCs w:val="25"/>
                <w:color w:val="auto"/>
                <w:vertAlign w:val="superscript"/>
              </w:rPr>
              <w:t>(l)</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(49,597)</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(103,081)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204,326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Interest expense, net</w:t>
            </w:r>
            <w:r>
              <w:rPr>
                <w:rFonts w:ascii="Times New Roman" w:cs="Times New Roman" w:eastAsia="Times New Roman" w:hAnsi="Times New Roman"/>
                <w:sz w:val="25"/>
                <w:szCs w:val="25"/>
                <w:color w:val="auto"/>
                <w:vertAlign w:val="superscript"/>
              </w:rPr>
              <w:t>(m)</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142,878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Depreciation</w:t>
            </w:r>
            <w:r>
              <w:rPr>
                <w:rFonts w:ascii="Times New Roman" w:cs="Times New Roman" w:eastAsia="Times New Roman" w:hAnsi="Times New Roman"/>
                <w:sz w:val="25"/>
                <w:szCs w:val="25"/>
                <w:color w:val="auto"/>
                <w:vertAlign w:val="superscript"/>
              </w:rPr>
              <w:t>(n)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76,577</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64,000</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tax provision applicable to Adjusted Net Income</w:t>
            </w:r>
            <w:r>
              <w:rPr>
                <w:rFonts w:ascii="Times New Roman" w:cs="Times New Roman" w:eastAsia="Times New Roman" w:hAnsi="Times New Roman"/>
                <w:sz w:val="25"/>
                <w:szCs w:val="25"/>
                <w:color w:val="auto"/>
                <w:vertAlign w:val="superscript"/>
              </w:rPr>
              <w:t>(o)</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104,248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5"/>
                <w:szCs w:val="25"/>
                <w:color w:val="auto"/>
                <w:vertAlign w:val="superscript"/>
              </w:rPr>
              <w:t>(p)</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528,029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$ 506,249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481,229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249,279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20" w:hanging="42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to employees and non-employee directors.</w:t>
      </w:r>
    </w:p>
    <w:p>
      <w:pPr>
        <w:spacing w:after="0" w:line="90" w:lineRule="exact"/>
        <w:rPr>
          <w:rFonts w:ascii="Times New Roman" w:cs="Times New Roman" w:eastAsia="Times New Roman" w:hAnsi="Times New Roman"/>
          <w:sz w:val="18"/>
          <w:szCs w:val="18"/>
          <w:color w:val="auto"/>
        </w:rPr>
      </w:pPr>
    </w:p>
    <w:p>
      <w:pPr>
        <w:ind w:left="720" w:right="20" w:hanging="422"/>
        <w:spacing w:after="0" w:line="25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the repricing of a prepayable senior secured first lien term loan in January 2021, and full redemption of the $100 million aggregate principal amount of senior secured first lien notes due 2026 in August 2021 including accelerated amortization of prior debt issuance and discount costs, premiums paid in connection with early extinguishment and debt issuance and discount costs incurred for the new debt. For the six months ended June 30, 2024, represents the write-off of unamortized debt issuance costs and discounts, and certain other costs incurred in connection with the third amendment to the senior secured first lien revolving credit facility, as well as our refinancing of term loans and issuance of secured notes as described in our Quarterly Report on Form 10-Q for the quarter ended June 30, 2024.</w:t>
      </w:r>
    </w:p>
    <w:p>
      <w:pPr>
        <w:spacing w:after="0" w:line="53" w:lineRule="exact"/>
        <w:rPr>
          <w:rFonts w:ascii="Times New Roman" w:cs="Times New Roman" w:eastAsia="Times New Roman" w:hAnsi="Times New Roman"/>
          <w:sz w:val="18"/>
          <w:szCs w:val="18"/>
          <w:color w:val="auto"/>
        </w:rPr>
      </w:pPr>
    </w:p>
    <w:p>
      <w:pPr>
        <w:ind w:left="720" w:right="40" w:hanging="422"/>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hanging="422"/>
        <w:spacing w:after="0" w:line="270"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year ended December 31, 2021 includes a $3.4 million gain recognized in the third quarter of 2021 related to the settlement of an insurance claim for Nordion that existed at the time of our acquisition of the business in 2014, and a $5.1 million non-cash gain recognized in the fourth quarter of 2021 arising from the derecognition of an asset retirement obligations liability no longer attributable to Nordion pursuant to the terms of the sale of the Medical Isotopes business in 2018. The year ended December 31, 2023 includes a $1.0 million cancellation fee received from a tenant in connection with the termination of an office space lease at the Nordion facility.</w:t>
      </w:r>
    </w:p>
    <w:p>
      <w:pPr>
        <w:spacing w:after="0" w:line="82" w:lineRule="exact"/>
        <w:rPr>
          <w:rFonts w:ascii="Times New Roman" w:cs="Times New Roman" w:eastAsia="Times New Roman" w:hAnsi="Times New Roman"/>
          <w:sz w:val="17"/>
          <w:szCs w:val="17"/>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impairment charge on an equity method investment in a joint venture.</w:t>
      </w:r>
    </w:p>
    <w:p>
      <w:pPr>
        <w:spacing w:after="0" w:line="130"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the secondary offering of our common stock that closed on March 4, 2024</w:t>
      </w:r>
    </w:p>
    <w:p>
      <w:pPr>
        <w:spacing w:after="0" w:line="130" w:lineRule="exact"/>
        <w:rPr>
          <w:rFonts w:ascii="Times New Roman" w:cs="Times New Roman" w:eastAsia="Times New Roman" w:hAnsi="Times New Roman"/>
          <w:sz w:val="18"/>
          <w:szCs w:val="18"/>
          <w:color w:val="auto"/>
        </w:rPr>
      </w:pPr>
    </w:p>
    <w:p>
      <w:pPr>
        <w:ind w:left="720" w:right="20" w:hanging="422"/>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ethylene oxide (“EO”) sterilization facilities. Amounts presented for the year ended December 31, 2023 have been adjusted to exclude interest expense, net associated with Term Loan B attributable to the loan proceeds that were used to fund the $408.0 million Illinois EO litigation settlement.</w:t>
      </w:r>
    </w:p>
    <w:p>
      <w:pPr>
        <w:spacing w:after="0" w:line="81" w:lineRule="exact"/>
        <w:rPr>
          <w:rFonts w:ascii="Times New Roman" w:cs="Times New Roman" w:eastAsia="Times New Roman" w:hAnsi="Times New Roman"/>
          <w:sz w:val="18"/>
          <w:szCs w:val="18"/>
          <w:color w:val="auto"/>
        </w:rPr>
      </w:pPr>
    </w:p>
    <w:p>
      <w:pPr>
        <w:ind w:left="720" w:right="20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to settle 880 pending and threatened EO claims against Sterigenics U.S., LLC and Sotera Health LLC (the “Defendant Subsidiaries”) in Illinois pursuant to settlement agreements entered into on March 28, 2023.</w:t>
      </w:r>
    </w:p>
    <w:p>
      <w:pPr>
        <w:spacing w:after="0" w:line="67" w:lineRule="exact"/>
        <w:rPr>
          <w:rFonts w:ascii="Times New Roman" w:cs="Times New Roman" w:eastAsia="Times New Roman" w:hAnsi="Times New Roman"/>
          <w:sz w:val="18"/>
          <w:szCs w:val="18"/>
          <w:color w:val="auto"/>
        </w:rPr>
      </w:pPr>
    </w:p>
    <w:p>
      <w:pPr>
        <w:ind w:left="720" w:right="10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to settle 79 pending EO claims against the Defendant Subsidiaries in Georgia under a settlement term sheet entered into on December 21, 2023.</w:t>
      </w:r>
    </w:p>
    <w:p>
      <w:pPr>
        <w:spacing w:after="0" w:line="67" w:lineRule="exact"/>
        <w:rPr>
          <w:rFonts w:ascii="Times New Roman" w:cs="Times New Roman" w:eastAsia="Times New Roman" w:hAnsi="Times New Roman"/>
          <w:sz w:val="18"/>
          <w:szCs w:val="18"/>
          <w:color w:val="auto"/>
        </w:rPr>
      </w:pPr>
    </w:p>
    <w:p>
      <w:pPr>
        <w:ind w:left="720" w:right="40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asset retirement obligations related to Co-60 gamma and EO processing facilities, which are based on estimated site remediation costs for any future decommissioning of these facilities and are accreted over the life of the asset.</w:t>
      </w:r>
    </w:p>
    <w:p>
      <w:pPr>
        <w:spacing w:after="0" w:line="67" w:lineRule="exact"/>
        <w:rPr>
          <w:rFonts w:ascii="Times New Roman" w:cs="Times New Roman" w:eastAsia="Times New Roman" w:hAnsi="Times New Roman"/>
          <w:sz w:val="18"/>
          <w:szCs w:val="18"/>
          <w:color w:val="auto"/>
        </w:rPr>
      </w:pPr>
    </w:p>
    <w:p>
      <w:pPr>
        <w:ind w:left="720" w:right="24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associated with the COVID-19 pandemic, including incremental costs to implement workplace health and safety measures.</w:t>
      </w:r>
    </w:p>
    <w:p>
      <w:pPr>
        <w:spacing w:after="0" w:line="67" w:lineRule="exact"/>
        <w:rPr>
          <w:rFonts w:ascii="Times New Roman" w:cs="Times New Roman" w:eastAsia="Times New Roman" w:hAnsi="Times New Roman"/>
          <w:sz w:val="18"/>
          <w:szCs w:val="18"/>
          <w:color w:val="auto"/>
        </w:rPr>
      </w:pPr>
    </w:p>
    <w:p>
      <w:pPr>
        <w:ind w:left="720" w:right="8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67" w:lineRule="exact"/>
        <w:rPr>
          <w:rFonts w:ascii="Times New Roman" w:cs="Times New Roman" w:eastAsia="Times New Roman" w:hAnsi="Times New Roman"/>
          <w:sz w:val="18"/>
          <w:szCs w:val="18"/>
          <w:color w:val="auto"/>
        </w:rPr>
      </w:pPr>
    </w:p>
    <w:p>
      <w:pPr>
        <w:ind w:left="720" w:right="100" w:hanging="422"/>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presented in this reconciliation for the year ended December 31, 2023 has been adjusted to conform to the current year presentation to include interest expense, net on Term Loan B attributable to the loan proceeds that were used to fund the $408.0 million Illinois EO litigation settlement. The year ended December 31, 2022 excludes a $1.7 million net decrease in the fair value of interest rate derivatives not designated as hedging instruments recorded to interest expense.</w:t>
      </w:r>
    </w:p>
    <w:p>
      <w:pPr>
        <w:spacing w:after="0" w:line="85"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w:t>
      </w:r>
    </w:p>
    <w:p>
      <w:pPr>
        <w:spacing w:after="0" w:line="130" w:lineRule="exact"/>
        <w:rPr>
          <w:rFonts w:ascii="Times New Roman" w:cs="Times New Roman" w:eastAsia="Times New Roman" w:hAnsi="Times New Roman"/>
          <w:sz w:val="18"/>
          <w:szCs w:val="18"/>
          <w:color w:val="auto"/>
        </w:rPr>
      </w:pPr>
    </w:p>
    <w:p>
      <w:pPr>
        <w:ind w:left="720" w:right="16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income tax provision/benefit as determined under U.S. GAAP and the income tax benefit associated with pre-tax adjustments described in footnote (l).</w:t>
      </w:r>
    </w:p>
    <w:p>
      <w:pPr>
        <w:spacing w:after="0" w:line="67" w:lineRule="exact"/>
        <w:rPr>
          <w:rFonts w:ascii="Times New Roman" w:cs="Times New Roman" w:eastAsia="Times New Roman" w:hAnsi="Times New Roman"/>
          <w:sz w:val="18"/>
          <w:szCs w:val="18"/>
          <w:color w:val="auto"/>
        </w:rPr>
      </w:pPr>
    </w:p>
    <w:p>
      <w:pPr>
        <w:ind w:left="720" w:right="80" w:hanging="422"/>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$94.1 million, $83.6 million, and $85.3 million of the adjustments for the year ended December 31, 2023, 2022, and 2021, respectively, and $47.2 million of the adjustments for the six months ended June 30, 2024 and 2023, respectively, are included in cost of revenues, primarily consisting of amortization of intangible assets, depreciation, and accretion of asset retirement obligations.</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60"/>
          </w:cols>
          <w:pgMar w:left="320" w:top="455"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together will the other information included or incorporated by reference in this prospectus supplement and the accompanying prospectus before deciding to invest in our common stock, including the risks described under “Risk Factors” in Part I, Item. 1A of our Annual Report, as updated by “Risk Factors” in Part II, Item 1A of our Quarterly Report on Form 10-Q for the quarter ended March 31, 2024.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 and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and trading volume of our common stock may be volatile, and you could lose all or part of your investment.</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as updated by “Risk Factors” in Part II, Item 1A of our Quarterly Report on Form 10-Q for the quarter ended March 31, 2024, and the following, some of which are beyond our control:</w:t>
      </w:r>
    </w:p>
    <w:p>
      <w:pPr>
        <w:spacing w:after="0" w:line="89" w:lineRule="exact"/>
        <w:rPr>
          <w:sz w:val="20"/>
          <w:szCs w:val="20"/>
          <w:color w:val="auto"/>
        </w:rPr>
      </w:pPr>
    </w:p>
    <w:p>
      <w:pPr>
        <w:jc w:val="both"/>
        <w:ind w:left="540" w:hanging="316"/>
        <w:spacing w:after="0" w:line="26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jurisdictions in which we operate;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or the industries in which we participate;</w:t>
      </w:r>
    </w:p>
    <w:p>
      <w:pPr>
        <w:spacing w:after="0" w:line="130"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 or in those of our competitors or of companies in the medical device and pharmaceutical industries;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sales of our common stock by us or our stockholders in the future or the perception that such sales may occur;</w:t>
      </w:r>
    </w:p>
    <w:p>
      <w:pPr>
        <w:spacing w:after="0" w:line="130"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industries in which we participate;</w:t>
      </w:r>
    </w:p>
    <w:p>
      <w:pPr>
        <w:spacing w:after="0" w:line="130"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our failure to achieve analysts’ estimates or failure of analysts to maintain coverage of us;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companies similar to us;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and a putative class action of this kind is currently pending against us. See Note 14, “Commitments and Contingencies” to our consolidated unaudited financial statements under the heading “Sotera Health Company Securities Litigation &amp; Related Matters” in our Quarterly Report on Form 10-Q for the quarter ended June 30, 2024. Such litigation could result in substantial costs and a diversion of our management’s attention and resources.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The future issuance of additional common stock in connection with our incentive plans, acquisitions or otherwise will dilute all other stockholdings.</w:t>
      </w:r>
    </w:p>
    <w:p>
      <w:pPr>
        <w:spacing w:after="0" w:line="13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June 30, 2024, we had an aggregate of 886,109,800 shares of common stock that are not currently reserved for issuance under our 2020 Plan, as well as 2,822,810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5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21,991,059 shares as of June 30, 2024, but may be waived at any time by a majority of the members of the leadership development and compensation committee of the board of directors.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July 29, 2024, the Sponsors own approximately 52.27% of our outstanding common stock, and following completion of this offering the Sponsors will own approximately 43.44%,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of 1933 (the “Securities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sales of securities by any of our stockholders described above could have a material adverse effect on the market price of our common stock.</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80" w:lineRule="exact"/>
        <w:rPr>
          <w:sz w:val="20"/>
          <w:szCs w:val="20"/>
          <w:color w:val="auto"/>
        </w:rPr>
      </w:pPr>
    </w:p>
    <w:p>
      <w:pPr>
        <w:ind w:left="12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currently rely on the “controlled company” exemption, we expect to lose our status as a “controlled company” within the meaning of the Nasdaq corporate governance standards following this offering and cease to qualify for exemptions from certain corporate governance requirements.</w:t>
      </w:r>
    </w:p>
    <w:p>
      <w:pPr>
        <w:spacing w:after="0" w:line="67"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Because the Sponsors currently own a majority of our outstanding common stock, we are presently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85" w:lineRule="exact"/>
        <w:rPr>
          <w:sz w:val="20"/>
          <w:szCs w:val="20"/>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540" w:right="58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1"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conduct an annual performance evaluation of the nominating and corporate governance and compensation committees.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Although we presently qualify as a “controlled company,” we expect to lose this status as a result of the completion of this offering. Because we are not currently relying on this exemption, the practical impact of this change is that we will no longer have the option to elect at some point in the future to utilize some or all of these exemptions.</w:t>
      </w:r>
    </w:p>
    <w:p>
      <w:pPr>
        <w:spacing w:after="0" w:line="280"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July 29, 2024, the Sponsors own approximately 52.27% of our outstanding common stock, and following completion of this offering we expect that the Sponsors will own approximately 43.44%, and retain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right to designate six of our directors (subject to further reduction as ownership levels decrease). As a result, even after their ownership is reduced by this offering, the Sponsors will have substantial influence over all matters requiring a stockholder vote. Our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w:t>
      </w:r>
    </w:p>
    <w:p>
      <w:pPr>
        <w:spacing w:after="0" w:line="19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 with correspondingly significant voting rights.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our Stockholders’ Agreement and Delaware law contain provisions that might discourage, delay or prevent a merger, acquisition,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81"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540" w:right="90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three-year staggered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540" w:right="120" w:hanging="316"/>
        <w:spacing w:after="0" w:line="25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(which we expect will cease to be the case following this offering),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92" w:lineRule="exact"/>
        <w:rPr>
          <w:rFonts w:ascii="Times New Roman" w:cs="Times New Roman" w:eastAsia="Times New Roman" w:hAnsi="Times New Roman"/>
          <w:sz w:val="18"/>
          <w:szCs w:val="18"/>
          <w:color w:val="auto"/>
        </w:rPr>
      </w:pPr>
    </w:p>
    <w:p>
      <w:pPr>
        <w:ind w:left="540" w:right="200" w:hanging="316"/>
        <w:spacing w:after="0" w:line="258"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(such consent is currently in effect);</w:t>
      </w:r>
    </w:p>
    <w:p>
      <w:pPr>
        <w:spacing w:after="0" w:line="88" w:lineRule="exact"/>
        <w:rPr>
          <w:rFonts w:ascii="Times New Roman" w:cs="Times New Roman" w:eastAsia="Times New Roman" w:hAnsi="Times New Roman"/>
          <w:sz w:val="18"/>
          <w:szCs w:val="18"/>
          <w:color w:val="auto"/>
        </w:rPr>
      </w:pPr>
    </w:p>
    <w:p>
      <w:pPr>
        <w:ind w:left="540" w:right="40" w:hanging="316"/>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1" w:lineRule="exact"/>
        <w:rPr>
          <w:rFonts w:ascii="Times New Roman" w:cs="Times New Roman" w:eastAsia="Times New Roman" w:hAnsi="Times New Roman"/>
          <w:sz w:val="18"/>
          <w:szCs w:val="18"/>
          <w:color w:val="auto"/>
        </w:rPr>
      </w:pPr>
    </w:p>
    <w:p>
      <w:pPr>
        <w:ind w:left="540" w:right="180" w:hanging="316"/>
        <w:spacing w:after="0" w:line="261"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(which we expect will cease to be the case following this offering), only a majority stockholder vote requirement would apply to such matters;</w:t>
      </w:r>
    </w:p>
    <w:p>
      <w:pPr>
        <w:spacing w:after="0" w:line="85" w:lineRule="exact"/>
        <w:rPr>
          <w:rFonts w:ascii="Times New Roman" w:cs="Times New Roman" w:eastAsia="Times New Roman" w:hAnsi="Times New Roman"/>
          <w:sz w:val="18"/>
          <w:szCs w:val="18"/>
          <w:color w:val="auto"/>
        </w:rPr>
      </w:pPr>
    </w:p>
    <w:p>
      <w:pPr>
        <w:ind w:left="540" w:hanging="316"/>
        <w:spacing w:after="0" w:line="258"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88" w:lineRule="exact"/>
        <w:rPr>
          <w:rFonts w:ascii="Times New Roman" w:cs="Times New Roman" w:eastAsia="Times New Roman" w:hAnsi="Times New Roman"/>
          <w:sz w:val="18"/>
          <w:szCs w:val="18"/>
          <w:color w:val="auto"/>
        </w:rPr>
      </w:pPr>
    </w:p>
    <w:p>
      <w:pPr>
        <w:ind w:left="540" w:right="60" w:hanging="316"/>
        <w:spacing w:after="0" w:line="254"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50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issue blank check preferred stock without stockholder approval, which could be used to dilute the stock ownership of a potential hostile acquirer or adopt a stockholder rights plan;</w:t>
      </w:r>
    </w:p>
    <w:p>
      <w:pPr>
        <w:spacing w:after="0" w:line="67" w:lineRule="exact"/>
        <w:rPr>
          <w:rFonts w:ascii="Times New Roman" w:cs="Times New Roman" w:eastAsia="Times New Roman" w:hAnsi="Times New Roman"/>
          <w:sz w:val="18"/>
          <w:szCs w:val="18"/>
          <w:color w:val="auto"/>
        </w:rPr>
      </w:pPr>
    </w:p>
    <w:p>
      <w:pPr>
        <w:ind w:left="540" w:hanging="316"/>
        <w:spacing w:after="0" w:line="25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(which we expect will cease to be the case following this offering),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92" w:lineRule="exact"/>
        <w:rPr>
          <w:rFonts w:ascii="Times New Roman" w:cs="Times New Roman" w:eastAsia="Times New Roman" w:hAnsi="Times New Roman"/>
          <w:sz w:val="18"/>
          <w:szCs w:val="18"/>
          <w:color w:val="auto"/>
        </w:rPr>
      </w:pPr>
    </w:p>
    <w:p>
      <w:pPr>
        <w:ind w:left="540" w:right="240" w:hanging="316"/>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(which we expect will cease to be the case following this offering), special meetings of our stockholders may be called by the affirmative vote of the holders of a majority of our outstanding voting stock; and</w:t>
      </w:r>
    </w:p>
    <w:p>
      <w:pPr>
        <w:spacing w:after="0" w:line="85"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to the Court of Chancery of the State of Delaware or federal court located within the State of Delaware for certain types of actions and proceedings that may be initiated against us by stockholders.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83"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6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2"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293"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 and, consequently, stockholders’ ability to achieve a return on their investment will depend on appreciation in the price of our common stock.</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facility and senior secured first lien notes. As a result, capital appreciation, if any, of our common stock will be the sole source of potential gain for the foreseeable future, and stockholders will have to sell some or all of their common stock holdings to generate cash flow from their investment.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any documents incorporated by reference in this prospectus supplement and accompanying prospectus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EO, Co-60 or our other direct materials, services and supplies, including as a result of geopolitical instability and/or sanctions against Russia by the United States, Canada United Kingdom and European Union;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and sometimes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and our dependence on information technology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supplement by each of the selling stockholders covered by this prospectus supplement.</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283,214,342 shares of common stock outstanding as of July 29, 2024.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8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820" w:type="dxa"/>
            <w:vAlign w:val="bottom"/>
            <w:gridSpan w:val="7"/>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Beneficially Owned After the</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82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the</w:t>
            </w:r>
          </w:p>
        </w:tc>
        <w:tc>
          <w:tcPr>
            <w:tcW w:w="28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40" w:type="dxa"/>
            <w:vAlign w:val="bottom"/>
            <w:tcBorders>
              <w:bottom w:val="single" w:sz="8" w:color="auto"/>
            </w:tcBorders>
            <w:gridSpan w:val="2"/>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80" w:type="dxa"/>
            <w:vAlign w:val="bottom"/>
            <w:tcBorders>
              <w:bottom w:val="single" w:sz="8" w:color="CCEEFF"/>
            </w:tcBorders>
            <w:gridSpan w:val="2"/>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Held</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1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7"/>
                <w:szCs w:val="17"/>
                <w:color w:val="auto"/>
              </w:rPr>
              <w:t>Investment funds and entities affiliated with Warburg Pincus</w:t>
            </w:r>
            <w:r>
              <w:rPr>
                <w:rFonts w:ascii="Times New Roman" w:cs="Times New Roman" w:eastAsia="Times New Roman" w:hAnsi="Times New Roman"/>
                <w:sz w:val="24"/>
                <w:szCs w:val="24"/>
                <w:color w:val="auto"/>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88,822,952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73,822,952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319"/>
        </w:trPr>
        <w:tc>
          <w:tcPr>
            <w:tcW w:w="220" w:type="dxa"/>
            <w:vAlign w:val="bottom"/>
          </w:tcPr>
          <w:p>
            <w:pPr>
              <w:spacing w:after="0"/>
              <w:rPr>
                <w:sz w:val="24"/>
                <w:szCs w:val="24"/>
                <w:color w:val="auto"/>
              </w:rPr>
            </w:pPr>
          </w:p>
        </w:tc>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59,215,301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49,215,301</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4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spacing w:after="0" w:line="67"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71,083,263 shares held of record by Bull Holdco L.P., a Delaware limited partnership (“Bull Holdco”) and (ii) 17,739,689 shares held of record by Bull Co-Invest L.P., a Delaware limited partnership (“Bull Co-Invest”).</w:t>
      </w:r>
    </w:p>
    <w:p>
      <w:pPr>
        <w:spacing w:after="0" w:line="53" w:lineRule="exact"/>
        <w:rPr>
          <w:rFonts w:ascii="Times New Roman" w:cs="Times New Roman" w:eastAsia="Times New Roman" w:hAnsi="Times New Roman"/>
          <w:sz w:val="18"/>
          <w:szCs w:val="18"/>
          <w:color w:val="auto"/>
        </w:rPr>
      </w:pPr>
    </w:p>
    <w:p>
      <w:pPr>
        <w:ind w:left="5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rFonts w:ascii="Times New Roman" w:cs="Times New Roman" w:eastAsia="Times New Roman" w:hAnsi="Times New Roman"/>
          <w:sz w:val="18"/>
          <w:szCs w:val="18"/>
          <w:color w:val="auto"/>
        </w:rPr>
      </w:pPr>
    </w:p>
    <w:p>
      <w:pPr>
        <w:ind w:left="56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85" w:lineRule="exact"/>
        <w:rPr>
          <w:sz w:val="20"/>
          <w:szCs w:val="20"/>
          <w:color w:val="auto"/>
        </w:rPr>
      </w:pPr>
    </w:p>
    <w:p>
      <w:pPr>
        <w:ind w:left="540" w:hanging="424"/>
        <w:spacing w:after="0" w:line="253"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46,997,881 shares held of record by GTCR Fund XI/A LP, (ii) 11,840,751 shares held of record by GTCR Fund XI/C LP and (iii) 376,669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0980"/>
          </w:cols>
          <w:pgMar w:left="320" w:top="455" w:right="5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w:t>
      </w:r>
    </w:p>
    <w:p>
      <w:pPr>
        <w:spacing w:after="0" w:line="19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tax treaty.</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Investors should consult their own tax advisors about how these information reporting and withholding tax rules may apply to their investment in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tax with respect to gain recognized on a sale, exchange or other taxable disposition of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The timing and amount of future dividend payments will be at the discretion of our board of directors.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application of withholding taxes on dividends, see “Material U.S. Federal Income Tax Considerations for Non-U.S. 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the selling stockholders and Citigroup Global Markets Inc. (the “underwriter”) have entered into an underwriting agreement with respect to the shares of our common stock being offered by the selling stockholders. Subject to certain conditions, the underwriter has agreed to purchase an aggregate of 25,000,000 shares of our common stock from the selling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 is committed to take and pay for all of the shares of our common stock being offered by the selling stockholders, if any are taken.</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underwriter proposes to offer the common stock from time to time for sale in one or more transactions on Nasdaq, in the over-the-counter market, through negotiated transactions or otherwise at market prices prevailing at the time of sale, at prices related to prevailing market prices or at negotiated prices, subject to receipt and acceptance by the underwriter and subject to its right to reject any order in whole or in part. The underwriter may offer shares of common stock for sale at different prices at the same time. 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w:t>
      </w:r>
    </w:p>
    <w:p>
      <w:pPr>
        <w:spacing w:after="0" w:line="18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$510,500.</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without the prior written consent of the underwriter for a period of 45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the selling stockholders have entered into lock-up agreements with the underwriter pursuant to which each of them, subject to certain exceptions, for a period of 45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lock-up restrictions described in the immediately preceding paragraph are subject to certain exceptions including, without limitation:</w:t>
      </w:r>
    </w:p>
    <w:p>
      <w:pPr>
        <w:spacing w:after="0" w:line="27" w:lineRule="exact"/>
        <w:rPr>
          <w:sz w:val="20"/>
          <w:szCs w:val="20"/>
          <w:color w:val="auto"/>
        </w:rPr>
      </w:pPr>
    </w:p>
    <w:p>
      <w:pPr>
        <w:jc w:val="both"/>
        <w:ind w:left="120" w:right="60" w:hanging="4"/>
        <w:spacing w:after="0" w:line="265" w:lineRule="auto"/>
        <w:tabs>
          <w:tab w:leader="none" w:pos="3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as part of a sale of lock-up securities in open market transactions after the closing of this offering, (ii) transfers to us in connection with the vesting, settlement, or exercise of restricted stock units, shares of restricted stock, options, warrants or other rights to purchase shares of common stock,</w:t>
      </w:r>
    </w:p>
    <w:p>
      <w:pPr>
        <w:ind w:left="440" w:hanging="3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an order of a court or regulatory agency related to the lock-up party’s ownership of the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lock-up securities; and (iv) transfers by pledging, hypothecating or otherwise granting a security interest in any lock-up securities as collateral and transfer such lock-up securities upon foreclosure, among others.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selling stockholders have agreed to indemnify the underwriter against certain liabilities, including liabilities under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supplement. This prospectus supplement does not constitute an offer to sell or a solicitation of an offer to buy any securities offered by this prospectus supplement in any jurisdiction in which such an offer or a solicitation is unlawful.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89"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right="300" w:hanging="424"/>
        <w:spacing w:after="0" w:line="266"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acknowledgements and agreements.</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the underwriter to publish a prospectus pursuant to section 85 of the FSMA or a supplemental prospectus pursuant to Article 23 of the UK Prospectus Regulation and each person who initially acquires any shares or to whom any offer is made will be deemed to have represented, acknowledged and agreed to the company and the underwriter that it is a qualified investor within the meaning of Article 2 of the UK Prospectus Regulation.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such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 has been obtained to each such proposed offer or resale.</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acknowledgements and agreements.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of Prospective Investors in Switzerland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supplement nor any other offering or marketing material relating to the shares constitutes a prospectus pursuant to the FinSA, and neither this prospectus supplement nor any other offering or marketing material relating to the shares may be publicly distributed or otherwise made publicly available in Switzerland.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31" w:lineRule="exact"/>
        <w:rPr>
          <w:sz w:val="20"/>
          <w:szCs w:val="20"/>
          <w:color w:val="auto"/>
        </w:rPr>
      </w:pPr>
    </w:p>
    <w:p>
      <w:pPr>
        <w:ind w:left="1080" w:right="4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93" w:lineRule="exact"/>
        <w:rPr>
          <w:sz w:val="20"/>
          <w:szCs w:val="20"/>
          <w:color w:val="auto"/>
        </w:rPr>
      </w:pPr>
    </w:p>
    <w:p>
      <w:pPr>
        <w:ind w:left="540" w:right="16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540" w:right="8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540" w:right="12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to be issued in this offering. Certain legal matters will be passed upon for the underwriter by Simpson Thacher &amp; Bartlett LLP, New York, New York.</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0580"/>
          </w:cols>
          <w:pgMar w:left="320" w:top="455"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 supplement.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40"/>
          </w:cols>
          <w:pgMar w:left="320" w:top="455"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27, 2024;</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58">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9">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filed with the SEC on May 2, 2024 and August 5, 2024, respectively;</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dated </w:t>
      </w:r>
      <w:hyperlink r:id="rId60">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May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3">
        <w:r>
          <w:rPr>
            <w:rFonts w:ascii="Times New Roman" w:cs="Times New Roman" w:eastAsia="Times New Roman" w:hAnsi="Times New Roman"/>
            <w:sz w:val="18"/>
            <w:szCs w:val="18"/>
            <w:u w:val="single" w:color="auto"/>
            <w:color w:val="0000EE"/>
          </w:rPr>
          <w:t>July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4, 2024, May 24, 2024, May 30, 2024 and August 1, 2024, respectively.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6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11, 2024 and supplemented on </w:t>
      </w:r>
      <w:hyperlink r:id="rId65">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as amended (solely to the extent specifically incorporated by reference into our Annual Report on </w:t>
      </w:r>
      <w:hyperlink r:id="rId6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w:t>
      </w:r>
    </w:p>
    <w:p>
      <w:pPr>
        <w:spacing w:after="0" w:line="176" w:lineRule="exact"/>
        <w:rPr>
          <w:rFonts w:ascii="Times New Roman" w:cs="Times New Roman" w:eastAsia="Times New Roman" w:hAnsi="Times New Roman"/>
          <w:sz w:val="18"/>
          <w:szCs w:val="18"/>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76" w:lineRule="exact"/>
        <w:rPr>
          <w:rFonts w:ascii="Times New Roman" w:cs="Times New Roman" w:eastAsia="Times New Roman" w:hAnsi="Times New Roman"/>
          <w:sz w:val="18"/>
          <w:szCs w:val="18"/>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w:t>
      </w:r>
    </w:p>
    <w:p>
      <w:pPr>
        <w:spacing w:after="0" w:line="180" w:lineRule="exact"/>
        <w:rPr>
          <w:rFonts w:ascii="Times New Roman" w:cs="Times New Roman" w:eastAsia="Times New Roman" w:hAnsi="Times New Roman"/>
          <w:sz w:val="18"/>
          <w:szCs w:val="18"/>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supplement will not be sent, however, unless those exhibits have been specifically referenced in this prospectus supplement or the accompanying prospectus.</w:t>
      </w:r>
    </w:p>
    <w:p>
      <w:pPr>
        <w:spacing w:after="0" w:line="94"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97155</wp:posOffset>
            </wp:positionV>
            <wp:extent cx="1560195"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5601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w:t>
      </w:r>
    </w:p>
    <w:p>
      <w:pPr>
        <w:spacing w:after="0" w:line="183"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not an offer to sell our common stock, and it is not soliciting an offer to buy our common stock, in any state or other jurisdiction where the offer or sale is not permitted.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“SHC.”</w:t>
      </w:r>
    </w:p>
    <w:p>
      <w:pPr>
        <w:spacing w:after="0" w:line="212" w:lineRule="exact"/>
        <w:rPr>
          <w:sz w:val="20"/>
          <w:szCs w:val="20"/>
          <w:color w:val="auto"/>
        </w:rPr>
      </w:pPr>
    </w:p>
    <w:p>
      <w:pPr>
        <w:jc w:val="both"/>
        <w:ind w:left="120" w:right="1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27, 2024.</w:t>
      </w:r>
    </w:p>
    <w:p>
      <w:pPr>
        <w:sectPr>
          <w:pgSz w:w="11900" w:h="16838" w:orient="portrait"/>
          <w:cols w:equalWidth="0" w:num="1">
            <w:col w:w="11120"/>
          </w:cols>
          <w:pgMar w:left="320" w:top="455" w:right="4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58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6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17"/>
                <w:szCs w:val="17"/>
                <w:color w:val="auto"/>
              </w:rPr>
            </w:pPr>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6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and the selling stockholders have not authorized anyone to provide you with information different from that contained or incorporated by reference in this prospectus, any amendment or supplement to this prospectus or in any free writing prospectus prepared by us or on our behalf. We do not accept any responsibility for, nor can we provide any assurance as to the reliability of, any information other than the information contained or incorporated by reference in this prospectus, any amendment or supplement to this prospectus or in any free writing prospectus prepared by us or on our behalf. We and the selling stockholders are not making an offer to sell these securities in any jurisdiction where the offer or sale is not permitted.</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any accompanying prospectus supplement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w:t>
      </w:r>
    </w:p>
    <w:p>
      <w:pPr>
        <w:spacing w:after="0" w:line="179"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both this prospectus, any accompanying prospectus supplement and any free writing prospectus prepared by or on behalf of us, together with the additional information described under the heading “Where You Can Find More Information.”</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w:t>
      </w:r>
    </w:p>
    <w:p>
      <w:pPr>
        <w:spacing w:after="0" w:line="9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prospectus supplement; and</w:t>
      </w:r>
    </w:p>
    <w:p>
      <w:pPr>
        <w:spacing w:after="0" w:line="130" w:lineRule="exact"/>
        <w:rPr>
          <w:rFonts w:ascii="Times New Roman" w:cs="Times New Roman" w:eastAsia="Times New Roman" w:hAnsi="Times New Roman"/>
          <w:sz w:val="18"/>
          <w:szCs w:val="18"/>
          <w:color w:val="auto"/>
        </w:rPr>
      </w:pPr>
    </w:p>
    <w:p>
      <w:pPr>
        <w:ind w:left="5600" w:right="2400" w:hanging="4944"/>
        <w:spacing w:after="0" w:line="454" w:lineRule="auto"/>
        <w:tabs>
          <w:tab w:leader="none" w:pos="10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referred to in “Where You Can Find More Information” and “Incorporation by Reference.” i</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SOTERA HEALTH COMPANY</w:t>
      </w:r>
    </w:p>
    <w:p>
      <w:pPr>
        <w:spacing w:after="0" w:line="229" w:lineRule="exact"/>
        <w:rPr>
          <w:sz w:val="20"/>
          <w:szCs w:val="20"/>
          <w:color w:val="auto"/>
        </w:rPr>
      </w:pPr>
    </w:p>
    <w:p>
      <w:pPr>
        <w:ind w:left="120" w:right="40" w:firstLine="440"/>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20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3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and sometimes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our dependence on information technology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 prospectus supplement, we intend to use the net proceeds from any sale of our common stock described in this prospectus for our general corporate purposes.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we will not receive any proceeds from any sale of our common stock by the selling stockholders.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one class of securities, common stock, par value $0.01 per share, registered pursuant to Section 12 of the Securities Exchange Act of 1934, as amended (the “Exchange Act”).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may periodically issue shares of our common stock or other securities that can be exercised, converted or exchanged into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Capitalization</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We are authorized to issue 1,200,000,000 shares of common stock, par value $0.01 per share, of which 282,832,200 shares were outstanding as of February 20, 2024, and 120,000,000 shares of preferred stock, par value $0.01 per share, of which no shares were outstanding as of February 20, 2024.</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common stock are entitled to one vote for each share held on all matters submitted to a vote of stockholders,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9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those dividends, if any, as may be declared by the board of directors out of legally available funds.</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and Winding Up</w:t>
      </w:r>
      <w:r>
        <w:rPr>
          <w:rFonts w:ascii="Times New Roman" w:cs="Times New Roman" w:eastAsia="Times New Roman" w:hAnsi="Times New Roman"/>
          <w:sz w:val="18"/>
          <w:szCs w:val="18"/>
          <w:color w:val="auto"/>
        </w:rPr>
        <w:t>. Upon our liquidation, dissolution or winding up, the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or Similar Rights</w:t>
      </w:r>
      <w:r>
        <w:rPr>
          <w:rFonts w:ascii="Times New Roman" w:cs="Times New Roman" w:eastAsia="Times New Roman" w:hAnsi="Times New Roman"/>
          <w:sz w:val="18"/>
          <w:szCs w:val="18"/>
          <w:color w:val="auto"/>
        </w:rPr>
        <w:t>. Holders of our common stock have no preemptive or conversion rights or other subscription rights, and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redemption or sinking fund provisions applicable to our common stock.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Assessment</w:t>
      </w:r>
      <w:r>
        <w:rPr>
          <w:rFonts w:ascii="Times New Roman" w:cs="Times New Roman" w:eastAsia="Times New Roman" w:hAnsi="Times New Roman"/>
          <w:sz w:val="18"/>
          <w:szCs w:val="18"/>
          <w:color w:val="auto"/>
        </w:rPr>
        <w:t>. All outstanding shares of our common stock are fully paid and nonassessable.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1"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w:t>
      </w:r>
      <w:r>
        <w:rPr>
          <w:rFonts w:ascii="Times New Roman" w:cs="Times New Roman" w:eastAsia="Times New Roman" w:hAnsi="Times New Roman"/>
          <w:sz w:val="18"/>
          <w:szCs w:val="18"/>
          <w:color w:val="auto"/>
        </w:rPr>
        <w:t>. Our amended and restated certificate of incorporation provides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r>
        <w:rPr>
          <w:rFonts w:ascii="Times New Roman" w:cs="Times New Roman" w:eastAsia="Times New Roman" w:hAnsi="Times New Roman"/>
          <w:sz w:val="17"/>
          <w:szCs w:val="17"/>
          <w:color w:val="auto"/>
        </w:rPr>
        <w:t>. Our amended and restated bylaws provide advance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of certificate of incorporation and bylaws provisions</w:t>
      </w:r>
      <w:r>
        <w:rPr>
          <w:rFonts w:ascii="Times New Roman" w:cs="Times New Roman" w:eastAsia="Times New Roman" w:hAnsi="Times New Roman"/>
          <w:sz w:val="18"/>
          <w:szCs w:val="18"/>
          <w:color w:val="auto"/>
        </w:rPr>
        <w:t>. Our amended and restated certificate of incorporation provides that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Authorized but unissued or undesignated capital stock</w:t>
      </w:r>
      <w:r>
        <w:rPr>
          <w:rFonts w:ascii="Times New Roman" w:cs="Times New Roman" w:eastAsia="Times New Roman" w:hAnsi="Times New Roman"/>
          <w:sz w:val="18"/>
          <w:szCs w:val="18"/>
          <w:color w:val="auto"/>
        </w:rPr>
        <w:t>. Our authorized capital stock consists of 1,200,000,000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Our amended and restated certificate of incorporation provides that our stockholders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8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Supermajority voting on board actions</w:t>
      </w:r>
      <w:r>
        <w:rPr>
          <w:rFonts w:ascii="Times New Roman" w:cs="Times New Roman" w:eastAsia="Times New Roman" w:hAnsi="Times New Roman"/>
          <w:sz w:val="18"/>
          <w:szCs w:val="18"/>
          <w:color w:val="auto"/>
        </w:rPr>
        <w:t>. For so long as investment funds and entities affiliated with either Warburg Pincus or GTCR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to designate at least three directors for election to our board of directors, the following actions may only be effected with the affirmative vote of 75% of our board of directors:</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mergers, other business combination transactions and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bylaws;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composition of the board of directors or the compensation of its committees, other than in accordance with the Stockholders’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chief executive officer or designation of a new chief executive officer;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ordinary course compensation arrangements, entering into, or modifying, any compensation arrangements with an executive officer or any of an executive officer’s affiliates or associates;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Company or subsidiaries’ capital stock, subject to certain limited exceptions;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certain indebtedness.</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not subject to the provisions of Section 203 of the DGCL. In general, Section 203 prohibits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have opted out of Section 203; however, our amended and restated certificate of incorporation contains similar provisions providing that we may not engage in certain “business combinations” with any “interested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for a three-year period following the time that the shareholder became an interested shareholder, unless:</w:t>
      </w:r>
    </w:p>
    <w:p>
      <w:pPr>
        <w:spacing w:after="0" w:line="131" w:lineRule="exact"/>
        <w:rPr>
          <w:sz w:val="20"/>
          <w:szCs w:val="20"/>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shareholder becoming an interested shareholder;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of Officers and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stock. The transfer agent and registrar’s address is 118 Fernwood Avenue, Edison, New Jersey 08837.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footnotes below, the address for each beneficial owner is c/o Sotera Health, 9100 South Hills Blvd, Suite 300 Broadview Heights, Ohio 44147.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funds and entities affiliated with Warburg</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Pincus</w:t>
            </w:r>
            <w:r>
              <w:rPr>
                <w:rFonts w:ascii="Times New Roman" w:cs="Times New Roman" w:eastAsia="Times New Roman" w:hAnsi="Times New Roman"/>
                <w:sz w:val="26"/>
                <w:szCs w:val="26"/>
                <w:color w:val="auto"/>
                <w:vertAlign w:val="superscript"/>
              </w:rPr>
              <w:t>(2)</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105,417,315</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37.27%</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Investment funds and entities affiliated with GTCR</w:t>
            </w:r>
            <w:r>
              <w:rPr>
                <w:rFonts w:ascii="Times New Roman" w:cs="Times New Roman" w:eastAsia="Times New Roman" w:hAnsi="Times New Roman"/>
                <w:sz w:val="25"/>
                <w:szCs w:val="25"/>
                <w:color w:val="auto"/>
                <w:vertAlign w:val="superscript"/>
              </w:rPr>
              <w:t>(3)</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70,278,209</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24.85%</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Selling Stockholders: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B. Petras, Jr.</w:t>
            </w:r>
            <w:r>
              <w:rPr>
                <w:rFonts w:ascii="Times New Roman" w:cs="Times New Roman" w:eastAsia="Times New Roman" w:hAnsi="Times New Roman"/>
                <w:sz w:val="25"/>
                <w:szCs w:val="25"/>
                <w:color w:val="auto"/>
                <w:vertAlign w:val="superscript"/>
              </w:rPr>
              <w:t>(4)</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8,587,855</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3.04%</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P. Rutz</w:t>
            </w:r>
            <w:r>
              <w:rPr>
                <w:rFonts w:ascii="Times New Roman" w:cs="Times New Roman" w:eastAsia="Times New Roman" w:hAnsi="Times New Roman"/>
                <w:sz w:val="25"/>
                <w:szCs w:val="25"/>
                <w:color w:val="auto"/>
                <w:vertAlign w:val="superscript"/>
              </w:rPr>
              <w:t>(5)</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709,336</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Ann R. Klee</w:t>
            </w:r>
            <w:r>
              <w:rPr>
                <w:rFonts w:ascii="Times New Roman" w:cs="Times New Roman" w:eastAsia="Times New Roman" w:hAnsi="Times New Roman"/>
                <w:sz w:val="25"/>
                <w:szCs w:val="25"/>
                <w:color w:val="auto"/>
                <w:vertAlign w:val="superscript"/>
              </w:rPr>
              <w:t>(6)</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76,773</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1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ind w:left="540" w:right="24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84,363,406 shares held of record by Bull Holdco L.P., a Delaware limited partnership (“Bull Holdco”) and (ii) 21,053,909 shares held of record by Bull Co-Invest L.P., a Delaware limited partnership (“Bull Co-Invest”).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sz w:val="20"/>
          <w:szCs w:val="20"/>
          <w:color w:val="auto"/>
        </w:rPr>
      </w:pPr>
    </w:p>
    <w:p>
      <w:pPr>
        <w:ind w:left="560" w:right="20"/>
        <w:spacing w:after="0" w:line="251" w:lineRule="auto"/>
        <w:rPr>
          <w:sz w:val="20"/>
          <w:szCs w:val="20"/>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11" w:lineRule="exact"/>
        <w:rPr>
          <w:sz w:val="20"/>
          <w:szCs w:val="20"/>
          <w:color w:val="auto"/>
        </w:rPr>
      </w:pPr>
    </w:p>
    <w:p>
      <w:pPr>
        <w:ind w:left="540" w:right="8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76,773 shares of common stock, of which 8,638 shares are restricted and remain subject to vesting.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and/or the selling stockholders may offer and sell the securities covered by this prospectus from time to time, in one or more or any combination of the following transactions:</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filed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securities at a stipulated price per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under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including in a block trade in which a broker-dealer will attempt to sell the offered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any time a particular offering of securities covered by this prospectus is made, a revised prospectus or prospectus supplement, if required, will set forth the amount of securities covered by this prospectus being offered and terms of the offering, including:</w:t>
      </w:r>
    </w:p>
    <w:p>
      <w:pPr>
        <w:spacing w:after="0" w:line="67" w:lineRule="exact"/>
        <w:rPr>
          <w:sz w:val="20"/>
          <w:szCs w:val="20"/>
          <w:color w:val="auto"/>
        </w:rPr>
      </w:pPr>
    </w:p>
    <w:p>
      <w:pPr>
        <w:ind w:left="1080" w:right="3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brokers or agents and the amounts of securities underwritten or purchased by each of them;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a fixed price offering, and the proceeds to us or any selling stockholders and, to the extent required, any discounts, commissions or concessions allowed or reallowed or paid to dealers.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w:t>
      </w:r>
    </w:p>
    <w:p>
      <w:pPr>
        <w:spacing w:after="0" w:line="187"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55"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27, 2024;</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9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13, 2023 (solely to the extent specifically incorporated by reference into our Annual Report on </w:t>
      </w:r>
      <w:hyperlink r:id="rId9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w:t>
      </w:r>
    </w:p>
    <w:p>
      <w:pPr>
        <w:spacing w:after="0" w:line="176"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76" w:lineRule="exact"/>
        <w:rPr>
          <w:rFonts w:ascii="Times New Roman" w:cs="Times New Roman" w:eastAsia="Times New Roman" w:hAnsi="Times New Roman"/>
          <w:sz w:val="18"/>
          <w:szCs w:val="18"/>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176" w:lineRule="exact"/>
        <w:rPr>
          <w:rFonts w:ascii="Times New Roman" w:cs="Times New Roman" w:eastAsia="Times New Roman" w:hAnsi="Times New Roman"/>
          <w:sz w:val="18"/>
          <w:szCs w:val="18"/>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94"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360"/>
          </w:cols>
          <w:pgMar w:left="320" w:top="455" w:right="12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8"/>
          <w:szCs w:val="28"/>
          <w:b w:val="1"/>
          <w:bCs w:val="1"/>
          <w:color w:val="auto"/>
        </w:rPr>
        <w:t>25,000,000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351155</wp:posOffset>
            </wp:positionV>
            <wp:extent cx="1251585" cy="428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12515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5"/>
          <w:szCs w:val="25"/>
          <w:b w:val="1"/>
          <w:bCs w:val="1"/>
          <w:color w:val="auto"/>
        </w:rPr>
        <w:t>September 4, 2024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5"/>
          <w:szCs w:val="25"/>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1627505</wp:posOffset>
            </wp:positionV>
            <wp:extent cx="6995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1687195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424(b)(7)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80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Proposed</w:t>
            </w: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26"/>
        </w:trPr>
        <w:tc>
          <w:tcPr>
            <w:tcW w:w="80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9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or Carry</w:t>
            </w:r>
          </w:p>
        </w:tc>
        <w:tc>
          <w:tcPr>
            <w:tcW w:w="9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Unit</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80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Number</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21"/>
        </w:trPr>
        <w:tc>
          <w:tcPr>
            <w:tcW w:w="80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7"/>
                <w:szCs w:val="17"/>
                <w:color w:val="auto"/>
              </w:rPr>
              <w:t>Newly Registered Securities</w:t>
            </w: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Fees To</w:t>
            </w:r>
          </w:p>
        </w:tc>
        <w:tc>
          <w:tcPr>
            <w:tcW w:w="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Common stock, par</w:t>
            </w:r>
          </w:p>
        </w:tc>
        <w:tc>
          <w:tcPr>
            <w:tcW w:w="9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Be 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value $0.01 per share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Rule 457(c)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25,000,000 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$15.38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$384,500,000 </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0.00014760 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$56,752.20 </w:t>
            </w:r>
          </w:p>
        </w:tc>
        <w:tc>
          <w:tcPr>
            <w:tcW w:w="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Fees</w:t>
            </w:r>
          </w:p>
        </w:tc>
        <w:tc>
          <w:tcPr>
            <w:tcW w:w="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Previously</w:t>
            </w:r>
          </w:p>
        </w:tc>
        <w:tc>
          <w:tcPr>
            <w:tcW w:w="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w:t>
            </w:r>
          </w:p>
        </w:tc>
        <w:tc>
          <w:tcPr>
            <w:tcW w:w="9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62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0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7"/>
                <w:szCs w:val="17"/>
                <w:color w:val="auto"/>
              </w:rPr>
              <w:t>Carry Forward Securities</w:t>
            </w: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8"/>
              </w:rPr>
              <w:t>Carry</w:t>
            </w:r>
          </w:p>
        </w:tc>
        <w:tc>
          <w:tcPr>
            <w:tcW w:w="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Securities</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 </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26"/>
        </w:trPr>
        <w:tc>
          <w:tcPr>
            <w:tcW w:w="80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center"/>
              <w:ind w:left="259"/>
              <w:spacing w:after="0"/>
              <w:rPr>
                <w:sz w:val="20"/>
                <w:szCs w:val="20"/>
                <w:color w:val="auto"/>
              </w:rPr>
            </w:pPr>
            <w:r>
              <w:rPr>
                <w:rFonts w:ascii="Times New Roman" w:cs="Times New Roman" w:eastAsia="Times New Roman" w:hAnsi="Times New Roman"/>
                <w:sz w:val="17"/>
                <w:szCs w:val="17"/>
                <w:color w:val="auto"/>
                <w:w w:val="99"/>
              </w:rPr>
              <w:t>Total Offering Amounts</w:t>
            </w:r>
          </w:p>
        </w:tc>
        <w:tc>
          <w:tcPr>
            <w:tcW w:w="9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$56,752.20 </w:t>
            </w:r>
          </w:p>
        </w:tc>
        <w:tc>
          <w:tcPr>
            <w:tcW w:w="6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center"/>
              <w:ind w:left="279"/>
              <w:spacing w:after="0"/>
              <w:rPr>
                <w:sz w:val="20"/>
                <w:szCs w:val="20"/>
                <w:color w:val="auto"/>
              </w:rPr>
            </w:pPr>
            <w:r>
              <w:rPr>
                <w:rFonts w:ascii="Times New Roman" w:cs="Times New Roman" w:eastAsia="Times New Roman" w:hAnsi="Times New Roman"/>
                <w:sz w:val="17"/>
                <w:szCs w:val="17"/>
                <w:color w:val="auto"/>
                <w:w w:val="99"/>
              </w:rPr>
              <w:t>Total Fees Previously Paid</w:t>
            </w:r>
          </w:p>
        </w:tc>
        <w:tc>
          <w:tcPr>
            <w:tcW w:w="9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$0 </w:t>
            </w:r>
          </w:p>
        </w:tc>
        <w:tc>
          <w:tcPr>
            <w:tcW w:w="6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center"/>
              <w:ind w:left="259"/>
              <w:spacing w:after="0"/>
              <w:rPr>
                <w:sz w:val="20"/>
                <w:szCs w:val="20"/>
                <w:color w:val="auto"/>
              </w:rPr>
            </w:pPr>
            <w:r>
              <w:rPr>
                <w:rFonts w:ascii="Times New Roman" w:cs="Times New Roman" w:eastAsia="Times New Roman" w:hAnsi="Times New Roman"/>
                <w:sz w:val="17"/>
                <w:szCs w:val="17"/>
                <w:color w:val="auto"/>
                <w:w w:val="98"/>
              </w:rPr>
              <w:t>Total Fee Offsets</w:t>
            </w:r>
          </w:p>
        </w:tc>
        <w:tc>
          <w:tcPr>
            <w:tcW w:w="9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$0 </w:t>
            </w:r>
          </w:p>
        </w:tc>
        <w:tc>
          <w:tcPr>
            <w:tcW w:w="6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Borders>
              <w:left w:val="single" w:sz="8" w:color="auto"/>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center"/>
              <w:ind w:left="279"/>
              <w:spacing w:after="0"/>
              <w:rPr>
                <w:sz w:val="20"/>
                <w:szCs w:val="20"/>
                <w:color w:val="auto"/>
              </w:rPr>
            </w:pPr>
            <w:r>
              <w:rPr>
                <w:rFonts w:ascii="Times New Roman" w:cs="Times New Roman" w:eastAsia="Times New Roman" w:hAnsi="Times New Roman"/>
                <w:sz w:val="17"/>
                <w:szCs w:val="17"/>
                <w:color w:val="auto"/>
              </w:rPr>
              <w:t>Net Fee Due</w:t>
            </w:r>
          </w:p>
        </w:tc>
        <w:tc>
          <w:tcPr>
            <w:tcW w:w="9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$56,752.20 </w:t>
            </w:r>
          </w:p>
        </w:tc>
        <w:tc>
          <w:tcPr>
            <w:tcW w:w="6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80" w:hanging="424"/>
        <w:spacing w:after="0" w:line="266"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under the securities act of 1933, as amended (the “Securities Act”), based upon the average of the high and low prices of the registrant’s common stock on September 4, 2024, as reported on The Nasdaq Stock Market LLC.</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4"/>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3"/>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3"/>
    </w:lvl>
  </w:abstractNum>
  <w:abstractNum w:abstractNumId="15">
    <w:nsid w:val="54E49EB4"/>
    <w:multiLevelType w:val="hybridMultilevel"/>
    <w:lvl w:ilvl="0">
      <w:lvlJc w:val="left"/>
      <w:lvlText w:val="(%1)"/>
      <w:numFmt w:val="lowerRoman"/>
      <w:start w:val="1"/>
    </w:lvl>
  </w:abstractNum>
  <w:abstractNum w:abstractNumId="16">
    <w:nsid w:val="71F32454"/>
    <w:multiLevelType w:val="hybridMultilevel"/>
    <w:lvl w:ilvl="0">
      <w:lvlJc w:val="left"/>
      <w:lvlText w:val="(%1)"/>
      <w:numFmt w:val="lowerRoman"/>
      <w:start w:val="3"/>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3"/>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jpe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jpe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57" Type="http://schemas.openxmlformats.org/officeDocument/2006/relationships/hyperlink" Target="http://www.sec.gov/ix?doc=/Archives/edgar/data/0001822479/000182247924000011/shc-20231231.htm" TargetMode="External"/><Relationship Id="rId58" Type="http://schemas.openxmlformats.org/officeDocument/2006/relationships/hyperlink" Target="http://www.sec.gov/ix?doc=/Archives/edgar/data/1822479/000182247924000020/shc-20240331.htm" TargetMode="External"/><Relationship Id="rId59" Type="http://schemas.openxmlformats.org/officeDocument/2006/relationships/hyperlink" Target="http://www.sec.gov/Archives/edgar/data/1822479/000182247924000041/shc-20240630.htm" TargetMode="External"/><Relationship Id="rId60" Type="http://schemas.openxmlformats.org/officeDocument/2006/relationships/hyperlink" Target="http://www.sec.gov/Archives/edgar/data/1822479/000119312524058025/d786395d8k.htm" TargetMode="External"/><Relationship Id="rId61" Type="http://schemas.openxmlformats.org/officeDocument/2006/relationships/hyperlink" Target="http://www.sec.gov/Archives/edgar/data/1822479/000182247924000027/shc-20240523.htm" TargetMode="External"/><Relationship Id="rId62" Type="http://schemas.openxmlformats.org/officeDocument/2006/relationships/hyperlink" Target="http://www.sec.gov/Archives/edgar/data/1822479/000182247924000029/shc-20240530.htm" TargetMode="External"/><Relationship Id="rId63" Type="http://schemas.openxmlformats.org/officeDocument/2006/relationships/hyperlink" Target="http://www.sec.gov/Archives/edgar/data/1822479/000182247924000036/shc-20240731.htm" TargetMode="External"/><Relationship Id="rId64" Type="http://schemas.openxmlformats.org/officeDocument/2006/relationships/hyperlink" Target="http://www.sec.gov/Archives/edgar/data/1822479/000119312524093193/d733616ddef14a.htm" TargetMode="External"/><Relationship Id="rId65" Type="http://schemas.openxmlformats.org/officeDocument/2006/relationships/hyperlink" Target="http://www.sec.gov/Archives/edgar/data/1822479/000119312524134226/d814267ddefr14a.htm" TargetMode="External"/><Relationship Id="rId66" Type="http://schemas.openxmlformats.org/officeDocument/2006/relationships/hyperlink" Target="http://www.sec.gov/ix?doc=/Archives/edgar/data/1822479/000182247924000011/shc-20231231.htm" TargetMode="External"/><Relationship Id="rId91" Type="http://schemas.openxmlformats.org/officeDocument/2006/relationships/hyperlink" Target="http://www.sec.gov/ix?doc=/Archives/edgar/data/1822479/000119312523099939/d425483ddef14a.htm" TargetMode="External"/><Relationship Id="rId92" Type="http://schemas.openxmlformats.org/officeDocument/2006/relationships/hyperlink" Target="http://www.sec.gov/ix?doc=/Archives/edgar/data/1822479/000182247923000015/shc-2022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2024-09-05T16:17:18Z</dcterms:created>
  <dcterms:modified xsi:type="dcterms:W3CDTF">2024-09-05T16:17:18Z</dcterms:modified>
</cp:coreProperties>
</file>