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GTCR INVESTMENT XI</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4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LLC</w:t>
              </w:r>
            </w:hyperlink>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11/20/2020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right="1417"/>
        <w:spacing w:after="0" w:line="269" w:lineRule="auto"/>
        <w:rPr>
          <w:sz w:val="20"/>
          <w:szCs w:val="20"/>
          <w:color w:val="auto"/>
        </w:rPr>
      </w:pPr>
      <w:r>
        <w:rPr>
          <w:rFonts w:ascii="Arial" w:cs="Arial" w:eastAsia="Arial" w:hAnsi="Arial"/>
          <w:sz w:val="20"/>
          <w:szCs w:val="20"/>
          <w:color w:val="0000FF"/>
        </w:rPr>
        <w:t>300 NORTH LASALLE STREET, SUITE 5600</w:t>
      </w:r>
    </w:p>
    <w:p>
      <w:pPr>
        <w:spacing w:after="0" w:line="349"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5"/>
                <w:szCs w:val="15"/>
                <w:color w:val="auto"/>
              </w:rPr>
            </w:pPr>
          </w:p>
        </w:tc>
      </w:tr>
      <w:tr>
        <w:trPr>
          <w:trHeight w:val="269"/>
        </w:trPr>
        <w:tc>
          <w:tcPr>
            <w:tcW w:w="1660" w:type="dxa"/>
            <w:vAlign w:val="bottom"/>
          </w:tcPr>
          <w:p>
            <w:pPr>
              <w:ind w:left="40"/>
              <w:spacing w:after="0"/>
              <w:rPr>
                <w:sz w:val="20"/>
                <w:szCs w:val="20"/>
                <w:color w:val="auto"/>
              </w:rPr>
            </w:pPr>
            <w:r>
              <w:rPr>
                <w:rFonts w:ascii="Arial" w:cs="Arial" w:eastAsia="Arial" w:hAnsi="Arial"/>
                <w:sz w:val="20"/>
                <w:szCs w:val="20"/>
                <w:color w:val="0000FF"/>
              </w:rPr>
              <w:t>CHICAGO  IL</w:t>
            </w:r>
          </w:p>
        </w:tc>
        <w:tc>
          <w:tcPr>
            <w:tcW w:w="920" w:type="dxa"/>
            <w:vAlign w:val="bottom"/>
          </w:tcPr>
          <w:p>
            <w:pPr>
              <w:jc w:val="right"/>
              <w:spacing w:after="0"/>
              <w:rPr>
                <w:sz w:val="20"/>
                <w:szCs w:val="20"/>
                <w:color w:val="auto"/>
              </w:rPr>
            </w:pPr>
            <w:r>
              <w:rPr>
                <w:rFonts w:ascii="Arial" w:cs="Arial" w:eastAsia="Arial" w:hAnsi="Arial"/>
                <w:sz w:val="20"/>
                <w:szCs w:val="20"/>
                <w:color w:val="0000FF"/>
              </w:rPr>
              <w:t>60654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8"/>
          </w:tcPr>
          <w:p>
            <w:pPr>
              <w:ind w:left="80"/>
              <w:spacing w:after="0"/>
              <w:rPr>
                <w:sz w:val="20"/>
                <w:szCs w:val="20"/>
                <w:color w:val="auto"/>
              </w:rPr>
            </w:pPr>
            <w:r>
              <w:rPr>
                <w:rFonts w:ascii="Arial" w:cs="Arial" w:eastAsia="Arial" w:hAnsi="Arial"/>
                <w:sz w:val="20"/>
                <w:szCs w:val="20"/>
                <w:color w:val="0000FF"/>
              </w:rPr>
              <w:t>Common Stock, $0.01 par value per share ("Common</w:t>
            </w:r>
          </w:p>
        </w:tc>
        <w:tc>
          <w:tcPr>
            <w:tcW w:w="1600" w:type="dxa"/>
            <w:vAlign w:val="bottom"/>
            <w:vMerge w:val="restart"/>
          </w:tcPr>
          <w:p>
            <w:pPr>
              <w:ind w:left="320"/>
              <w:spacing w:after="0"/>
              <w:rPr>
                <w:sz w:val="20"/>
                <w:szCs w:val="20"/>
                <w:color w:val="auto"/>
              </w:rPr>
            </w:pPr>
            <w:r>
              <w:rPr>
                <w:rFonts w:ascii="Arial" w:cs="Arial" w:eastAsia="Arial" w:hAnsi="Arial"/>
                <w:sz w:val="20"/>
                <w:szCs w:val="20"/>
                <w:color w:val="0000FF"/>
              </w:rPr>
              <w:t>79,286,597</w:t>
            </w:r>
            <w:r>
              <w:rPr>
                <w:rFonts w:ascii="Arial" w:cs="Arial" w:eastAsia="Arial" w:hAnsi="Arial"/>
                <w:sz w:val="25"/>
                <w:szCs w:val="25"/>
                <w:color w:val="008000"/>
                <w:vertAlign w:val="superscript"/>
              </w:rPr>
              <w:t>(1)</w:t>
            </w:r>
          </w:p>
        </w:tc>
        <w:tc>
          <w:tcPr>
            <w:tcW w:w="940" w:type="dxa"/>
            <w:vAlign w:val="bottom"/>
            <w:gridSpan w:val="2"/>
            <w:vMerge w:val="restart"/>
          </w:tcPr>
          <w:p>
            <w:pPr>
              <w:ind w:left="840"/>
              <w:spacing w:after="0"/>
              <w:rPr>
                <w:sz w:val="20"/>
                <w:szCs w:val="20"/>
                <w:color w:val="auto"/>
              </w:rPr>
            </w:pPr>
            <w:r>
              <w:rPr>
                <w:rFonts w:ascii="Arial" w:cs="Arial" w:eastAsia="Arial" w:hAnsi="Arial"/>
                <w:sz w:val="20"/>
                <w:szCs w:val="20"/>
                <w:color w:val="0000FF"/>
              </w:rPr>
              <w:t>I</w:t>
            </w:r>
          </w:p>
        </w:tc>
        <w:tc>
          <w:tcPr>
            <w:tcW w:w="3380" w:type="dxa"/>
            <w:vAlign w:val="bottom"/>
            <w:gridSpan w:val="4"/>
            <w:vMerge w:val="restart"/>
          </w:tcPr>
          <w:p>
            <w:pPr>
              <w:ind w:left="6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20"/>
                <w:szCs w:val="20"/>
                <w:color w:val="0000FF"/>
              </w:rPr>
              <w:t>Stock")</w:t>
            </w: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3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gridSpan w:val="2"/>
          </w:tcPr>
          <w:p>
            <w:pPr>
              <w:ind w:left="26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940" w:type="dxa"/>
            <w:vAlign w:val="bottom"/>
            <w:gridSpan w:val="2"/>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GTCR INVESTMENT XI LLC</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(Last)</w:t>
            </w:r>
          </w:p>
        </w:tc>
        <w:tc>
          <w:tcPr>
            <w:tcW w:w="1520" w:type="dxa"/>
            <w:vAlign w:val="bottom"/>
          </w:tcPr>
          <w:p>
            <w:pPr>
              <w:ind w:left="26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w w:val="97"/>
              </w:rPr>
              <w:t>300 NORTH LASALLE STREET, SUITE 5600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Arial" w:cs="Arial" w:eastAsia="Arial" w:hAnsi="Arial"/>
                <w:sz w:val="20"/>
                <w:szCs w:val="20"/>
                <w:color w:val="0000FF"/>
              </w:rPr>
              <w:t>CHICAGO</w:t>
            </w:r>
          </w:p>
        </w:tc>
        <w:tc>
          <w:tcPr>
            <w:tcW w:w="1520" w:type="dxa"/>
            <w:vAlign w:val="bottom"/>
          </w:tcPr>
          <w:p>
            <w:pPr>
              <w:ind w:left="260"/>
              <w:spacing w:after="0"/>
              <w:rPr>
                <w:sz w:val="20"/>
                <w:szCs w:val="20"/>
                <w:color w:val="auto"/>
              </w:rPr>
            </w:pPr>
            <w:r>
              <w:rPr>
                <w:rFonts w:ascii="Arial" w:cs="Arial" w:eastAsia="Arial" w:hAnsi="Arial"/>
                <w:sz w:val="20"/>
                <w:szCs w:val="20"/>
                <w:color w:val="0000FF"/>
              </w:rPr>
              <w:t>IL</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60654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520" w:type="dxa"/>
            <w:vAlign w:val="bottom"/>
          </w:tcPr>
          <w:p>
            <w:pPr>
              <w:ind w:left="26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GTCR FUND XI/A LP</w:t>
              </w:r>
            </w:hyperlink>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(Last)</w:t>
            </w:r>
          </w:p>
        </w:tc>
        <w:tc>
          <w:tcPr>
            <w:tcW w:w="1520" w:type="dxa"/>
            <w:vAlign w:val="bottom"/>
          </w:tcPr>
          <w:p>
            <w:pPr>
              <w:ind w:left="26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w w:val="97"/>
              </w:rPr>
              <w:t>300 NORTH LASALLE STREET, SUITE 5600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Arial" w:cs="Arial" w:eastAsia="Arial" w:hAnsi="Arial"/>
                <w:sz w:val="20"/>
                <w:szCs w:val="20"/>
                <w:color w:val="0000FF"/>
              </w:rPr>
              <w:t>CHICAGO</w:t>
            </w:r>
          </w:p>
        </w:tc>
        <w:tc>
          <w:tcPr>
            <w:tcW w:w="1520" w:type="dxa"/>
            <w:vAlign w:val="bottom"/>
          </w:tcPr>
          <w:p>
            <w:pPr>
              <w:ind w:left="260"/>
              <w:spacing w:after="0"/>
              <w:rPr>
                <w:sz w:val="20"/>
                <w:szCs w:val="20"/>
                <w:color w:val="auto"/>
              </w:rPr>
            </w:pPr>
            <w:r>
              <w:rPr>
                <w:rFonts w:ascii="Arial" w:cs="Arial" w:eastAsia="Arial" w:hAnsi="Arial"/>
                <w:sz w:val="20"/>
                <w:szCs w:val="20"/>
                <w:color w:val="0000FF"/>
              </w:rPr>
              <w:t>IL</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60654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520" w:type="dxa"/>
            <w:vAlign w:val="bottom"/>
          </w:tcPr>
          <w:p>
            <w:pPr>
              <w:ind w:left="26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-5087620</wp:posOffset>
            </wp:positionV>
            <wp:extent cx="694690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479415"/>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GTCR FUND XI/C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2773045" cy="537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73045" cy="5374640"/>
                    </a:xfrm>
                    <a:prstGeom prst="rect">
                      <a:avLst/>
                    </a:prstGeom>
                    <a:noFill/>
                  </pic:spPr>
                </pic:pic>
              </a:graphicData>
            </a:graphic>
          </wp:anchor>
        </w:drawing>
      </w:r>
    </w:p>
    <w:p>
      <w:pPr>
        <w:spacing w:after="0" w:line="358"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300 NORTH LASALLE STREET, SUITE 5600</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Arial" w:cs="Arial" w:eastAsia="Arial" w:hAnsi="Arial"/>
                <w:sz w:val="20"/>
                <w:szCs w:val="20"/>
                <w:color w:val="0000FF"/>
              </w:rPr>
              <w:t>CHICAGO</w:t>
            </w:r>
          </w:p>
        </w:tc>
        <w:tc>
          <w:tcPr>
            <w:tcW w:w="1560" w:type="dxa"/>
            <w:vAlign w:val="bottom"/>
          </w:tcPr>
          <w:p>
            <w:pPr>
              <w:ind w:left="260"/>
              <w:spacing w:after="0"/>
              <w:rPr>
                <w:sz w:val="20"/>
                <w:szCs w:val="20"/>
                <w:color w:val="auto"/>
              </w:rPr>
            </w:pPr>
            <w:r>
              <w:rPr>
                <w:rFonts w:ascii="Arial" w:cs="Arial" w:eastAsia="Arial" w:hAnsi="Arial"/>
                <w:sz w:val="20"/>
                <w:szCs w:val="20"/>
                <w:color w:val="0000FF"/>
              </w:rPr>
              <w:t>IL</w:t>
            </w:r>
          </w:p>
        </w:tc>
        <w:tc>
          <w:tcPr>
            <w:tcW w:w="1420" w:type="dxa"/>
            <w:vAlign w:val="bottom"/>
          </w:tcPr>
          <w:p>
            <w:pPr>
              <w:ind w:left="80"/>
              <w:spacing w:after="0"/>
              <w:rPr>
                <w:sz w:val="20"/>
                <w:szCs w:val="20"/>
                <w:color w:val="auto"/>
              </w:rPr>
            </w:pPr>
            <w:r>
              <w:rPr>
                <w:rFonts w:ascii="Arial" w:cs="Arial" w:eastAsia="Arial" w:hAnsi="Arial"/>
                <w:sz w:val="20"/>
                <w:szCs w:val="20"/>
                <w:color w:val="0000FF"/>
              </w:rPr>
              <w:t>60654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560" w:type="dxa"/>
            <w:vAlign w:val="bottom"/>
          </w:tcPr>
          <w:p>
            <w:pPr>
              <w:ind w:left="26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700" w:type="dxa"/>
            <w:vAlign w:val="bottom"/>
            <w:gridSpan w:val="2"/>
          </w:tcPr>
          <w:p>
            <w:pPr>
              <w:ind w:left="20"/>
              <w:spacing w:after="0"/>
              <w:rPr>
                <w:rFonts w:ascii="Arial" w:cs="Arial" w:eastAsia="Arial" w:hAnsi="Arial"/>
                <w:sz w:val="24"/>
                <w:szCs w:val="24"/>
                <w:u w:val="single" w:color="auto"/>
                <w:color w:val="0000EE"/>
                <w:w w:val="98"/>
              </w:rPr>
            </w:pPr>
            <w:hyperlink r:id="rId17">
              <w:r>
                <w:rPr>
                  <w:rFonts w:ascii="Arial" w:cs="Arial" w:eastAsia="Arial" w:hAnsi="Arial"/>
                  <w:sz w:val="24"/>
                  <w:szCs w:val="24"/>
                  <w:u w:val="single" w:color="auto"/>
                  <w:color w:val="0000EE"/>
                  <w:w w:val="98"/>
                </w:rPr>
                <w:t>GTCR CO-INVEST XI LP</w:t>
              </w:r>
            </w:hyperlink>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(Last)</w:t>
            </w:r>
          </w:p>
        </w:tc>
        <w:tc>
          <w:tcPr>
            <w:tcW w:w="1560" w:type="dxa"/>
            <w:vAlign w:val="bottom"/>
          </w:tcPr>
          <w:p>
            <w:pPr>
              <w:ind w:left="26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300 NORTH LASALLE STREET, SUITE 5600</w:t>
      </w: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Arial" w:cs="Arial" w:eastAsia="Arial" w:hAnsi="Arial"/>
                <w:sz w:val="20"/>
                <w:szCs w:val="20"/>
                <w:color w:val="0000FF"/>
              </w:rPr>
              <w:t>CHICAGO</w:t>
            </w:r>
          </w:p>
        </w:tc>
        <w:tc>
          <w:tcPr>
            <w:tcW w:w="1180" w:type="dxa"/>
            <w:vAlign w:val="bottom"/>
          </w:tcPr>
          <w:p>
            <w:pPr>
              <w:ind w:left="260"/>
              <w:spacing w:after="0"/>
              <w:rPr>
                <w:sz w:val="20"/>
                <w:szCs w:val="20"/>
                <w:color w:val="auto"/>
              </w:rPr>
            </w:pPr>
            <w:r>
              <w:rPr>
                <w:rFonts w:ascii="Arial" w:cs="Arial" w:eastAsia="Arial" w:hAnsi="Arial"/>
                <w:sz w:val="20"/>
                <w:szCs w:val="20"/>
                <w:color w:val="0000FF"/>
              </w:rPr>
              <w:t>IL</w:t>
            </w:r>
          </w:p>
        </w:tc>
        <w:tc>
          <w:tcPr>
            <w:tcW w:w="1800" w:type="dxa"/>
            <w:vAlign w:val="bottom"/>
          </w:tcPr>
          <w:p>
            <w:pPr>
              <w:ind w:left="460"/>
              <w:spacing w:after="0"/>
              <w:rPr>
                <w:sz w:val="20"/>
                <w:szCs w:val="20"/>
                <w:color w:val="auto"/>
              </w:rPr>
            </w:pPr>
            <w:r>
              <w:rPr>
                <w:rFonts w:ascii="Arial" w:cs="Arial" w:eastAsia="Arial" w:hAnsi="Arial"/>
                <w:sz w:val="20"/>
                <w:szCs w:val="20"/>
                <w:color w:val="0000FF"/>
              </w:rPr>
              <w:t>60654</w:t>
            </w:r>
          </w:p>
        </w:tc>
      </w:tr>
      <w:tr>
        <w:trPr>
          <w:trHeight w:val="177"/>
        </w:trPr>
        <w:tc>
          <w:tcPr>
            <w:tcW w:w="2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180" w:type="dxa"/>
            <w:vAlign w:val="bottom"/>
          </w:tcPr>
          <w:p>
            <w:pPr>
              <w:ind w:left="2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GTCR PARTNERS XI/A&amp;C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300 NORTH LASALLE STREET, SUITE 5600</w:t>
      </w:r>
    </w:p>
    <w:p>
      <w:pPr>
        <w:spacing w:after="0" w:line="39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40" w:type="dxa"/>
            <w:vAlign w:val="bottom"/>
          </w:tcPr>
          <w:p>
            <w:pPr>
              <w:ind w:left="20"/>
              <w:spacing w:after="0"/>
              <w:rPr>
                <w:sz w:val="20"/>
                <w:szCs w:val="20"/>
                <w:color w:val="auto"/>
              </w:rPr>
            </w:pPr>
            <w:r>
              <w:rPr>
                <w:rFonts w:ascii="Arial" w:cs="Arial" w:eastAsia="Arial" w:hAnsi="Arial"/>
                <w:sz w:val="20"/>
                <w:szCs w:val="20"/>
                <w:color w:val="0000FF"/>
              </w:rPr>
              <w:t>CHICAGO</w:t>
            </w:r>
          </w:p>
        </w:tc>
        <w:tc>
          <w:tcPr>
            <w:tcW w:w="1180" w:type="dxa"/>
            <w:vAlign w:val="bottom"/>
          </w:tcPr>
          <w:p>
            <w:pPr>
              <w:ind w:left="260"/>
              <w:spacing w:after="0"/>
              <w:rPr>
                <w:sz w:val="20"/>
                <w:szCs w:val="20"/>
                <w:color w:val="auto"/>
              </w:rPr>
            </w:pPr>
            <w:r>
              <w:rPr>
                <w:rFonts w:ascii="Arial" w:cs="Arial" w:eastAsia="Arial" w:hAnsi="Arial"/>
                <w:sz w:val="20"/>
                <w:szCs w:val="20"/>
                <w:color w:val="0000FF"/>
              </w:rPr>
              <w:t>IL</w:t>
            </w:r>
          </w:p>
        </w:tc>
        <w:tc>
          <w:tcPr>
            <w:tcW w:w="1800" w:type="dxa"/>
            <w:vAlign w:val="bottom"/>
          </w:tcPr>
          <w:p>
            <w:pPr>
              <w:ind w:left="460"/>
              <w:spacing w:after="0"/>
              <w:rPr>
                <w:sz w:val="20"/>
                <w:szCs w:val="20"/>
                <w:color w:val="auto"/>
              </w:rPr>
            </w:pPr>
            <w:r>
              <w:rPr>
                <w:rFonts w:ascii="Arial" w:cs="Arial" w:eastAsia="Arial" w:hAnsi="Arial"/>
                <w:sz w:val="20"/>
                <w:szCs w:val="20"/>
                <w:color w:val="0000FF"/>
              </w:rPr>
              <w:t>60654</w:t>
            </w:r>
          </w:p>
        </w:tc>
      </w:tr>
      <w:tr>
        <w:trPr>
          <w:trHeight w:val="177"/>
        </w:trPr>
        <w:tc>
          <w:tcPr>
            <w:tcW w:w="2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5"/>
                <w:szCs w:val="15"/>
                <w:color w:val="auto"/>
              </w:rPr>
              <w:t>(City)</w:t>
            </w:r>
          </w:p>
        </w:tc>
        <w:tc>
          <w:tcPr>
            <w:tcW w:w="1180" w:type="dxa"/>
            <w:vAlign w:val="bottom"/>
          </w:tcPr>
          <w:p>
            <w:pPr>
              <w:ind w:left="2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79,286,597 shares of Common Stock received as a liquidating distribution from Sotera Health Topco Parent, L.P. ("Topco Parent").</w:t>
      </w:r>
    </w:p>
    <w:p>
      <w:pPr>
        <w:spacing w:after="0" w:line="52" w:lineRule="exact"/>
        <w:rPr>
          <w:rFonts w:ascii="Arial" w:cs="Arial" w:eastAsia="Arial" w:hAnsi="Arial"/>
          <w:sz w:val="15"/>
          <w:szCs w:val="15"/>
          <w:color w:val="008000"/>
        </w:rPr>
      </w:pPr>
    </w:p>
    <w:p>
      <w:pPr>
        <w:ind w:left="20" w:firstLine="5"/>
        <w:spacing w:after="0" w:line="254"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62,928,028 shares of Common Stock held directly by GTCR Fund XI/A LP, a Delaware limited partnership ("Fund XI/A"), 15,854,227 shares of Common Stock held directly by GTCR Fund XI/C LP, a Delaware limited partnership ("Fund XI/C"), and 504,342 shares of Common Stock held directly by GTCR Co-Invest XI LP, a Delaware limited partnership ("Co-Invest XI", and together, with Fund XI/A and Fund XI/C, the "GTCR XI Funds"). GTCR Partners XI/A&amp;C LP ("Partners XI/A&amp;C") is the general partner of each of Fund XI/A and Fund XI/C. GTCR Investment XI LLC ("Investment XI"), is the general partner of Co-Invest XI and Partners XI/A&amp;C. Investment XI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of Common Stock.</w:t>
      </w:r>
    </w:p>
    <w:p>
      <w:pPr>
        <w:spacing w:after="0" w:line="28" w:lineRule="exact"/>
        <w:rPr>
          <w:rFonts w:ascii="Arial" w:cs="Arial" w:eastAsia="Arial" w:hAnsi="Arial"/>
          <w:sz w:val="14"/>
          <w:szCs w:val="14"/>
          <w:color w:val="008000"/>
        </w:rPr>
      </w:pPr>
    </w:p>
    <w:p>
      <w:pPr>
        <w:ind w:left="20" w:right="4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(continued from footnote 2) Each of GTCR Partners XI/A&amp;C, GTCR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p>
      <w:pPr>
        <w:spacing w:after="0" w:line="35" w:lineRule="exact"/>
        <w:rPr>
          <w:rFonts w:ascii="Arial" w:cs="Arial" w:eastAsia="Arial" w:hAnsi="Arial"/>
          <w:sz w:val="15"/>
          <w:szCs w:val="15"/>
          <w:color w:val="008000"/>
        </w:rPr>
      </w:pPr>
    </w:p>
    <w:p>
      <w:pPr>
        <w:ind w:left="20" w:right="20" w:firstLine="5"/>
        <w:spacing w:after="0" w:line="283"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5"/>
          <w:szCs w:val="15"/>
          <w:color w:val="008000"/>
        </w:rPr>
        <w:t>Exhibit 24.1 - Power of Attorney</w:t>
      </w:r>
    </w:p>
    <w:p>
      <w:pPr>
        <w:sectPr>
          <w:pgSz w:w="11900" w:h="16838" w:orient="portrait"/>
          <w:cols w:equalWidth="0" w:num="1">
            <w:col w:w="10840"/>
          </w:cols>
          <w:pgMar w:left="500" w:top="115" w:right="559" w:bottom="0" w:gutter="0" w:footer="0" w:header="0"/>
        </w:sectPr>
      </w:pPr>
    </w:p>
    <w:p>
      <w:pPr>
        <w:spacing w:after="0" w:line="84"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Jeffrey Wright,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03187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Principal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23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899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2414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452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24142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FUND XI/A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9819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9819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Jeffrey Wright,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03187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Principal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234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8999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24142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4523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2414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FUND XI/C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9121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9121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Jeffrey Wright,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03187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03187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Principal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234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8999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24142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CO-INVEST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9060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99060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8520" w:space="220"/>
            <w:col w:w="2100"/>
          </w:cols>
          <w:pgMar w:left="500" w:top="115" w:right="559" w:bottom="0" w:gutter="0" w:footer="0" w:header="0"/>
          <w:type w:val="continuous"/>
        </w:sectPr>
      </w:pPr>
    </w:p>
    <w:tbl>
      <w:tblPr>
        <w:tblLayout w:type="fixed"/>
        <w:tblInd w:w="6560" w:type="dxa"/>
        <w:tblCellMar>
          <w:top w:w="0" w:type="dxa"/>
          <w:left w:w="0" w:type="dxa"/>
          <w:bottom w:w="0" w:type="dxa"/>
          <w:right w:w="0" w:type="dxa"/>
        </w:tblCellMar>
      </w:tblPr>
      <w:tr>
        <w:trPr>
          <w:trHeight w:val="230"/>
        </w:trPr>
        <w:tc>
          <w:tcPr>
            <w:tcW w:w="162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/s/ Jeffrey Wright, as</w:t>
            </w:r>
          </w:p>
        </w:tc>
        <w:tc>
          <w:tcPr>
            <w:tcW w:w="5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5"/>
              </w:rPr>
              <w:t>11/20/2020</w:t>
            </w:r>
          </w:p>
        </w:tc>
      </w:tr>
    </w:tbl>
    <w:p>
      <w:pPr>
        <w:sectPr>
          <w:pgSz w:w="11900" w:h="16838" w:orient="portrait"/>
          <w:cols w:equalWidth="0" w:num="1">
            <w:col w:w="10840"/>
          </w:cols>
          <w:pgMar w:left="500" w:top="115"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20"/>
          <w:szCs w:val="20"/>
          <w:color w:val="0000FF"/>
        </w:rPr>
        <w:t>Principal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4234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999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142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414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PARTNERS XI/A&amp;C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476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54760" cy="952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Jeffrey Wright, as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90"/>
              </w:rPr>
              <w:t>Principal of GTCR</w:t>
            </w: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11/20/2020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2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7"/>
              </w:rPr>
              <w:t>INVESTMENT XI LLC</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30" w:right="559" w:bottom="1440" w:gutter="0" w:footer="0" w:header="0"/>
        </w:sectPr>
      </w:pPr>
    </w:p>
    <w:bookmarkStart w:id="3" w:name="page4"/>
    <w:bookmarkEnd w:id="3"/>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November 19,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SECTION 16 REPORTING OBLIGATIONS</w:t>
      </w:r>
    </w:p>
    <w:p>
      <w:pPr>
        <w:spacing w:after="0" w:line="220" w:lineRule="exact"/>
        <w:rPr>
          <w:sz w:val="20"/>
          <w:szCs w:val="20"/>
          <w:color w:val="auto"/>
        </w:rPr>
      </w:pPr>
    </w:p>
    <w:p>
      <w:pPr>
        <w:jc w:val="both"/>
        <w:ind w:firstLine="720"/>
        <w:spacing w:after="0" w:line="281" w:lineRule="auto"/>
        <w:rPr>
          <w:sz w:val="20"/>
          <w:szCs w:val="20"/>
          <w:color w:val="auto"/>
        </w:rPr>
      </w:pPr>
      <w:r>
        <w:rPr>
          <w:rFonts w:ascii="Arial" w:cs="Arial" w:eastAsia="Arial" w:hAnsi="Arial"/>
          <w:sz w:val="18"/>
          <w:szCs w:val="18"/>
          <w:color w:val="auto"/>
        </w:rPr>
        <w:t>KNOW ALL BY THESE PRESENTS, that the undersigned hereby constitutes and appoints each of David Donnini, Sean Cunningham, Constantine Mihas and Jeffrey Wright, signing singly, the undersigned’s true and lawful attorney-in-fact to: (i) execute for and on behalf of the undersigned, in the undersigned’s capacity as an officer and/or director and/or owner of greater than 10% of the outstanding shares of common stock of Sotera Health Company, a Delaware corporation (the “Company”), Forms 3, 4 and 5 (including any amendments, supplements or exhibits thereto) in accordance with Section 16(a) of the Securities Exchange Act of 1934 and the rules thereunder; (ii) do and perform any and all acts for and on behalf of the undersigned which may be necessary or desirable to complete and execute any such Form 3, 4 or 5 (including any amendments, supplements or exhibits thereto) and timely file such form with the United States Securities and Exchange Commission (the “SEC”) and any stock exchange or similar authority, including the New York Stock Exchange, and including without limitation the filing of a Form ID or any other documents necessary or appropriate to enable the undersigned to file the Form 3, 4 and 5 electronically with the SEC; (iii)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ratifies any such release of information; and (iv)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3" w:lineRule="exact"/>
        <w:rPr>
          <w:sz w:val="20"/>
          <w:szCs w:val="20"/>
          <w:color w:val="auto"/>
        </w:rPr>
      </w:pPr>
    </w:p>
    <w:p>
      <w:pPr>
        <w:jc w:val="both"/>
        <w:ind w:right="20" w:firstLine="720"/>
        <w:spacing w:after="0" w:line="297" w:lineRule="auto"/>
        <w:rPr>
          <w:sz w:val="20"/>
          <w:szCs w:val="20"/>
          <w:color w:val="auto"/>
        </w:rPr>
      </w:pPr>
      <w:r>
        <w:rPr>
          <w:rFonts w:ascii="Arial" w:cs="Arial" w:eastAsia="Arial" w:hAnsi="Arial"/>
          <w:sz w:val="18"/>
          <w:szCs w:val="18"/>
          <w:color w:val="auto"/>
        </w:rPr>
        <w:t>This Power of Attorney shall remain in full force and effect until the earlier of (i) the date on which the undersigned is no longer required to file Forms 3, 4 or 5 with respect to the undersigned’s holdings of and transactions in securities issued by the Company; and (ii) the revocation of this Power of Attorney by the undersigned in a signed writing delivered to each of such attorneys-in-fact. This Power of Attorney may be filed with the Commission as a conforming statement of the authority granted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588645</wp:posOffset>
            </wp:positionV>
            <wp:extent cx="694690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date first written above.</w:t>
      </w:r>
    </w:p>
    <w:p>
      <w:pPr>
        <w:sectPr>
          <w:pgSz w:w="11900" w:h="16838" w:orient="portrait"/>
          <w:cols w:equalWidth="0" w:num="1">
            <w:col w:w="9880"/>
          </w:cols>
          <w:pgMar w:left="1200" w:top="949" w:right="819" w:bottom="1440" w:gutter="0" w:footer="0" w:header="0"/>
        </w:sectPr>
      </w:pPr>
    </w:p>
    <w:p>
      <w:pPr>
        <w:spacing w:after="0" w:line="24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Signed and acknowledged:</w:t>
      </w:r>
    </w:p>
    <w:p>
      <w:pPr>
        <w:spacing w:after="0" w:line="246"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GTCR CO-INVEST XI LP</w:t>
      </w:r>
    </w:p>
    <w:p>
      <w:pPr>
        <w:spacing w:after="0" w:line="254"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GTCR Investment XI LLC</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74"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Constantine S. Mihas</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 Constantine S. Mihas</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Title: Principal</w:t>
      </w:r>
    </w:p>
    <w:p>
      <w:pPr>
        <w:spacing w:after="0" w:line="23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GTCR FUND XI/A LP</w:t>
      </w:r>
    </w:p>
    <w:p>
      <w:pPr>
        <w:spacing w:after="0" w:line="254"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By: GTCR Partners XI/A&amp;C LP</w:t>
      </w:r>
    </w:p>
    <w:p>
      <w:pPr>
        <w:spacing w:after="0" w:line="38"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Its: General Partner</w:t>
      </w:r>
    </w:p>
    <w:p>
      <w:pPr>
        <w:spacing w:after="0" w:line="234"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GTCR Investment XI LLC</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74"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Constantine S. Mihas</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 Constantine S. Mihas</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Title: Principal</w:t>
      </w:r>
    </w:p>
    <w:p>
      <w:pPr>
        <w:spacing w:after="0" w:line="230"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GTCR FUND XI/C LP</w:t>
      </w:r>
    </w:p>
    <w:p>
      <w:pPr>
        <w:spacing w:after="0" w:line="254"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By: GTCR Partners XI/A&amp;C LP</w:t>
      </w:r>
    </w:p>
    <w:p>
      <w:pPr>
        <w:spacing w:after="0" w:line="38"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Its: General Partner</w:t>
      </w:r>
    </w:p>
    <w:p>
      <w:pPr>
        <w:spacing w:after="0" w:line="234"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By: GTCR Investment XI LLC</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74"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Constantine S. Mihas</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Name: Constantine S. Mihas</w:t>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768985</wp:posOffset>
            </wp:positionV>
            <wp:extent cx="694690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9880"/>
          </w:cols>
          <w:pgMar w:left="1200" w:top="949" w:right="819" w:bottom="1440" w:gutter="0" w:footer="0" w:header="0"/>
          <w:type w:val="continuous"/>
        </w:sectPr>
      </w:pPr>
    </w:p>
    <w:bookmarkStart w:id="5" w:name="page6"/>
    <w:bookmarkEnd w:id="5"/>
    <w:p>
      <w:pPr>
        <w:spacing w:after="0" w:line="30"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GTCR PARTNERS XI/A&amp;C LP</w:t>
      </w:r>
    </w:p>
    <w:p>
      <w:pPr>
        <w:spacing w:after="0" w:line="2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By: GTCR Investment XI LLC</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7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Constantine S. Mihas</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Constantine S. Mihas</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Principal</w:t>
      </w:r>
    </w:p>
    <w:p>
      <w:pPr>
        <w:spacing w:after="0" w:line="200" w:lineRule="exact"/>
        <w:rPr>
          <w:sz w:val="20"/>
          <w:szCs w:val="20"/>
          <w:color w:val="auto"/>
        </w:rPr>
      </w:pPr>
    </w:p>
    <w:p>
      <w:pPr>
        <w:spacing w:after="0" w:line="270"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GTCR INVESTMENT XI LLC</w:t>
      </w:r>
    </w:p>
    <w:p>
      <w:pPr>
        <w:spacing w:after="0" w:line="200" w:lineRule="exact"/>
        <w:rPr>
          <w:sz w:val="20"/>
          <w:szCs w:val="20"/>
          <w:color w:val="auto"/>
        </w:rPr>
      </w:pPr>
    </w:p>
    <w:p>
      <w:pPr>
        <w:spacing w:after="0" w:line="29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Constantine S. Mihas</w:t>
      </w:r>
    </w:p>
    <w:p>
      <w:pPr>
        <w:spacing w:after="0" w:line="26"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Constantine S. Mihas</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616585</wp:posOffset>
            </wp:positionV>
            <wp:extent cx="694690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0" Type="http://schemas.openxmlformats.org/officeDocument/2006/relationships/hyperlink" Target="http://www.sec.gov/cgi-bin/browse-edgar?action=getcompany&amp;CIK=0001827977" TargetMode="External"/><Relationship Id="rId11" Type="http://schemas.openxmlformats.org/officeDocument/2006/relationships/hyperlink" Target="http://www.sec.gov/cgi-bin/browse-edgar?action=getcompany&amp;CIK=0001822479" TargetMode="External"/><Relationship Id="rId13" Type="http://schemas.openxmlformats.org/officeDocument/2006/relationships/hyperlink" Target="http://www.sec.gov/cgi-bin/browse-edgar?action=getcompany&amp;CIK=0001591434" TargetMode="External"/><Relationship Id="rId15" Type="http://schemas.openxmlformats.org/officeDocument/2006/relationships/hyperlink" Target="http://www.sec.gov/cgi-bin/browse-edgar?action=getcompany&amp;CIK=0001591436" TargetMode="External"/><Relationship Id="rId17" Type="http://schemas.openxmlformats.org/officeDocument/2006/relationships/hyperlink" Target="http://www.sec.gov/cgi-bin/browse-edgar?action=getcompany&amp;CIK=0001591432" TargetMode="External"/><Relationship Id="rId18" Type="http://schemas.openxmlformats.org/officeDocument/2006/relationships/hyperlink" Target="http://www.sec.gov/cgi-bin/browse-edgar?action=getcompany&amp;CIK=0001828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2020-11-20T19:17:39Z</dcterms:created>
  <dcterms:modified xsi:type="dcterms:W3CDTF">2020-11-20T19:17:39Z</dcterms:modified>
</cp:coreProperties>
</file>