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240" w:type="dxa"/>
            <w:vAlign w:val="bottom"/>
          </w:tcPr>
          <w:p>
            <w:pPr>
              <w:spacing w:after="0"/>
              <w:rPr>
                <w:sz w:val="21"/>
                <w:szCs w:val="21"/>
                <w:color w:val="auto"/>
              </w:rPr>
            </w:pPr>
          </w:p>
        </w:tc>
        <w:tc>
          <w:tcPr>
            <w:tcW w:w="5520" w:type="dxa"/>
            <w:vAlign w:val="bottom"/>
          </w:tcPr>
          <w:p>
            <w:pPr>
              <w:jc w:val="center"/>
              <w:ind w:left="3152"/>
              <w:spacing w:after="0"/>
              <w:rPr>
                <w:sz w:val="20"/>
                <w:szCs w:val="20"/>
                <w:color w:val="auto"/>
              </w:rPr>
            </w:pPr>
            <w:r>
              <w:rPr>
                <w:rFonts w:ascii="Times New Roman" w:cs="Times New Roman" w:eastAsia="Times New Roman" w:hAnsi="Times New Roman"/>
                <w:sz w:val="20"/>
                <w:szCs w:val="20"/>
                <w:b w:val="1"/>
                <w:bCs w:val="1"/>
                <w:color w:val="auto"/>
                <w:w w:val="97"/>
              </w:rPr>
              <w:t>UNITED STATES</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87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SECURITIES AND EXCHANGE COMMISSION</w:t>
            </w:r>
          </w:p>
        </w:tc>
        <w:tc>
          <w:tcPr>
            <w:tcW w:w="0" w:type="dxa"/>
            <w:vAlign w:val="bottom"/>
          </w:tcPr>
          <w:p>
            <w:pPr>
              <w:spacing w:after="0"/>
              <w:rPr>
                <w:sz w:val="1"/>
                <w:szCs w:val="1"/>
                <w:color w:val="auto"/>
              </w:rPr>
            </w:pPr>
          </w:p>
        </w:tc>
      </w:tr>
      <w:tr>
        <w:trPr>
          <w:trHeight w:val="262"/>
        </w:trPr>
        <w:tc>
          <w:tcPr>
            <w:tcW w:w="1240" w:type="dxa"/>
            <w:vAlign w:val="bottom"/>
          </w:tcPr>
          <w:p>
            <w:pPr>
              <w:spacing w:after="0"/>
              <w:rPr>
                <w:sz w:val="22"/>
                <w:szCs w:val="22"/>
                <w:color w:val="auto"/>
              </w:rPr>
            </w:pPr>
          </w:p>
        </w:tc>
        <w:tc>
          <w:tcPr>
            <w:tcW w:w="5520" w:type="dxa"/>
            <w:vAlign w:val="bottom"/>
          </w:tcPr>
          <w:p>
            <w:pPr>
              <w:jc w:val="center"/>
              <w:ind w:left="3152"/>
              <w:spacing w:after="0"/>
              <w:rPr>
                <w:sz w:val="20"/>
                <w:szCs w:val="20"/>
                <w:color w:val="auto"/>
              </w:rPr>
            </w:pPr>
            <w:r>
              <w:rPr>
                <w:rFonts w:ascii="Times New Roman" w:cs="Times New Roman" w:eastAsia="Times New Roman" w:hAnsi="Times New Roman"/>
                <w:sz w:val="20"/>
                <w:szCs w:val="20"/>
                <w:b w:val="1"/>
                <w:bCs w:val="1"/>
                <w:color w:val="auto"/>
                <w:w w:val="98"/>
              </w:rPr>
              <w:t>Washington, D.C. 20549</w:t>
            </w: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1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(Mark One)</w:t>
            </w:r>
          </w:p>
        </w:tc>
        <w:tc>
          <w:tcPr>
            <w:tcW w:w="5520" w:type="dxa"/>
            <w:vAlign w:val="bottom"/>
          </w:tcPr>
          <w:p>
            <w:pPr>
              <w:jc w:val="center"/>
              <w:ind w:left="3152"/>
              <w:spacing w:after="0"/>
              <w:rPr>
                <w:sz w:val="20"/>
                <w:szCs w:val="20"/>
                <w:color w:val="auto"/>
              </w:rPr>
            </w:pPr>
            <w:r>
              <w:rPr>
                <w:rFonts w:ascii="Times New Roman" w:cs="Times New Roman" w:eastAsia="Times New Roman" w:hAnsi="Times New Roman"/>
                <w:sz w:val="20"/>
                <w:szCs w:val="20"/>
                <w:b w:val="1"/>
                <w:bCs w:val="1"/>
                <w:color w:val="auto"/>
                <w:w w:val="99"/>
              </w:rPr>
              <w:t>FORM 10-Q</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240" w:type="dxa"/>
            <w:vAlign w:val="bottom"/>
            <w:vMerge w:val="continue"/>
          </w:tcPr>
          <w:p>
            <w:pPr>
              <w:spacing w:after="0"/>
              <w:rPr>
                <w:sz w:val="17"/>
                <w:szCs w:val="17"/>
                <w:color w:val="auto"/>
              </w:rPr>
            </w:pPr>
          </w:p>
        </w:tc>
        <w:tc>
          <w:tcPr>
            <w:tcW w:w="55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12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872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393"/>
        </w:trPr>
        <w:tc>
          <w:tcPr>
            <w:tcW w:w="1240" w:type="dxa"/>
            <w:vAlign w:val="bottom"/>
          </w:tcPr>
          <w:p>
            <w:pPr>
              <w:spacing w:after="0"/>
              <w:rPr>
                <w:sz w:val="24"/>
                <w:szCs w:val="24"/>
                <w:color w:val="auto"/>
              </w:rPr>
            </w:pPr>
          </w:p>
        </w:tc>
        <w:tc>
          <w:tcPr>
            <w:tcW w:w="8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4"/>
                <w:szCs w:val="24"/>
                <w:color w:val="auto"/>
              </w:rPr>
            </w:pPr>
          </w:p>
        </w:tc>
        <w:tc>
          <w:tcPr>
            <w:tcW w:w="5520" w:type="dxa"/>
            <w:vAlign w:val="bottom"/>
          </w:tcPr>
          <w:p>
            <w:pPr>
              <w:jc w:val="center"/>
              <w:ind w:left="3152"/>
              <w:spacing w:after="0"/>
              <w:rPr>
                <w:sz w:val="20"/>
                <w:szCs w:val="20"/>
                <w:color w:val="auto"/>
              </w:rPr>
            </w:pPr>
            <w:r>
              <w:rPr>
                <w:rFonts w:ascii="Times New Roman" w:cs="Times New Roman" w:eastAsia="Times New Roman" w:hAnsi="Times New Roman"/>
                <w:sz w:val="16"/>
                <w:szCs w:val="16"/>
                <w:b w:val="1"/>
                <w:bCs w:val="1"/>
                <w:color w:val="auto"/>
              </w:rPr>
              <w:t>or</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872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379"/>
        </w:trPr>
        <w:tc>
          <w:tcPr>
            <w:tcW w:w="1240" w:type="dxa"/>
            <w:vAlign w:val="bottom"/>
          </w:tcPr>
          <w:p>
            <w:pPr>
              <w:spacing w:after="0"/>
              <w:rPr>
                <w:sz w:val="24"/>
                <w:szCs w:val="24"/>
                <w:color w:val="auto"/>
              </w:rPr>
            </w:pPr>
          </w:p>
        </w:tc>
        <w:tc>
          <w:tcPr>
            <w:tcW w:w="5520" w:type="dxa"/>
            <w:vAlign w:val="bottom"/>
          </w:tcPr>
          <w:p>
            <w:pPr>
              <w:ind w:left="29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311"/>
        </w:trPr>
        <w:tc>
          <w:tcPr>
            <w:tcW w:w="1240" w:type="dxa"/>
            <w:vAlign w:val="bottom"/>
          </w:tcPr>
          <w:p>
            <w:pPr>
              <w:spacing w:after="0"/>
              <w:rPr>
                <w:sz w:val="24"/>
                <w:szCs w:val="24"/>
                <w:color w:val="auto"/>
              </w:rPr>
            </w:pPr>
          </w:p>
        </w:tc>
        <w:tc>
          <w:tcPr>
            <w:tcW w:w="8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001-39729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63500</wp:posOffset>
            </wp:positionV>
            <wp:extent cx="127698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98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SOTERA HEALTH COMPANY</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840" w:type="dxa"/>
            <w:vAlign w:val="bottom"/>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940" w:type="dxa"/>
            <w:vAlign w:val="bottom"/>
          </w:tcPr>
          <w:p>
            <w:pPr>
              <w:spacing w:after="0"/>
              <w:rPr>
                <w:sz w:val="18"/>
                <w:szCs w:val="18"/>
                <w:color w:val="auto"/>
              </w:rPr>
            </w:pPr>
          </w:p>
        </w:tc>
        <w:tc>
          <w:tcPr>
            <w:tcW w:w="4440" w:type="dxa"/>
            <w:vAlign w:val="bottom"/>
          </w:tcPr>
          <w:p>
            <w:pPr>
              <w:jc w:val="right"/>
              <w:ind w:right="2299"/>
              <w:spacing w:after="0"/>
              <w:rPr>
                <w:sz w:val="20"/>
                <w:szCs w:val="20"/>
                <w:color w:val="auto"/>
              </w:rPr>
            </w:pPr>
            <w:r>
              <w:rPr>
                <w:rFonts w:ascii="Times New Roman" w:cs="Times New Roman" w:eastAsia="Times New Roman" w:hAnsi="Times New Roman"/>
                <w:sz w:val="16"/>
                <w:szCs w:val="16"/>
                <w:b w:val="1"/>
                <w:bCs w:val="1"/>
                <w:color w:val="auto"/>
              </w:rPr>
              <w:t>47-3531161</w:t>
            </w:r>
          </w:p>
        </w:tc>
      </w:tr>
      <w:tr>
        <w:trPr>
          <w:trHeight w:val="243"/>
        </w:trPr>
        <w:tc>
          <w:tcPr>
            <w:tcW w:w="484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1940" w:type="dxa"/>
            <w:vAlign w:val="bottom"/>
          </w:tcPr>
          <w:p>
            <w:pPr>
              <w:spacing w:after="0"/>
              <w:rPr>
                <w:sz w:val="21"/>
                <w:szCs w:val="21"/>
                <w:color w:val="auto"/>
              </w:rPr>
            </w:pPr>
          </w:p>
        </w:tc>
        <w:tc>
          <w:tcPr>
            <w:tcW w:w="4440" w:type="dxa"/>
            <w:vAlign w:val="bottom"/>
          </w:tcPr>
          <w:p>
            <w:pPr>
              <w:jc w:val="center"/>
              <w:ind w:right="10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65"/>
        </w:trPr>
        <w:tc>
          <w:tcPr>
            <w:tcW w:w="4840" w:type="dxa"/>
            <w:vAlign w:val="bottom"/>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9100 South Hills Blvd, Suite 300</w:t>
            </w:r>
          </w:p>
        </w:tc>
        <w:tc>
          <w:tcPr>
            <w:tcW w:w="194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43"/>
        </w:trPr>
        <w:tc>
          <w:tcPr>
            <w:tcW w:w="4840" w:type="dxa"/>
            <w:vAlign w:val="bottom"/>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Broadview Heights, Ohio</w:t>
            </w:r>
          </w:p>
        </w:tc>
        <w:tc>
          <w:tcPr>
            <w:tcW w:w="1940" w:type="dxa"/>
            <w:vAlign w:val="bottom"/>
          </w:tcPr>
          <w:p>
            <w:pPr>
              <w:spacing w:after="0"/>
              <w:rPr>
                <w:sz w:val="21"/>
                <w:szCs w:val="21"/>
                <w:color w:val="auto"/>
              </w:rPr>
            </w:pPr>
          </w:p>
        </w:tc>
        <w:tc>
          <w:tcPr>
            <w:tcW w:w="4440" w:type="dxa"/>
            <w:vAlign w:val="bottom"/>
          </w:tcPr>
          <w:p>
            <w:pPr>
              <w:jc w:val="right"/>
              <w:ind w:right="2479"/>
              <w:spacing w:after="0"/>
              <w:rPr>
                <w:sz w:val="20"/>
                <w:szCs w:val="20"/>
                <w:color w:val="auto"/>
              </w:rPr>
            </w:pPr>
            <w:r>
              <w:rPr>
                <w:rFonts w:ascii="Times New Roman" w:cs="Times New Roman" w:eastAsia="Times New Roman" w:hAnsi="Times New Roman"/>
                <w:sz w:val="16"/>
                <w:szCs w:val="16"/>
                <w:b w:val="1"/>
                <w:bCs w:val="1"/>
                <w:color w:val="auto"/>
              </w:rPr>
              <w:t>44147</w:t>
            </w:r>
          </w:p>
        </w:tc>
      </w:tr>
      <w:tr>
        <w:trPr>
          <w:trHeight w:val="243"/>
        </w:trPr>
        <w:tc>
          <w:tcPr>
            <w:tcW w:w="484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940" w:type="dxa"/>
            <w:vAlign w:val="bottom"/>
          </w:tcPr>
          <w:p>
            <w:pPr>
              <w:spacing w:after="0"/>
              <w:rPr>
                <w:sz w:val="21"/>
                <w:szCs w:val="21"/>
                <w:color w:val="auto"/>
              </w:rPr>
            </w:pPr>
          </w:p>
        </w:tc>
        <w:tc>
          <w:tcPr>
            <w:tcW w:w="4440" w:type="dxa"/>
            <w:vAlign w:val="bottom"/>
          </w:tcPr>
          <w:p>
            <w:pPr>
              <w:jc w:val="center"/>
              <w:ind w:right="959"/>
              <w:spacing w:after="0"/>
              <w:rPr>
                <w:sz w:val="20"/>
                <w:szCs w:val="20"/>
                <w:color w:val="auto"/>
              </w:rPr>
            </w:pPr>
            <w:r>
              <w:rPr>
                <w:rFonts w:ascii="Times New Roman" w:cs="Times New Roman" w:eastAsia="Times New Roman" w:hAnsi="Times New Roman"/>
                <w:sz w:val="16"/>
                <w:szCs w:val="16"/>
                <w:color w:val="auto"/>
              </w:rPr>
              <w:t>(Zip Code)</w:t>
            </w:r>
          </w:p>
        </w:tc>
      </w:tr>
      <w:tr>
        <w:trPr>
          <w:trHeight w:val="364"/>
        </w:trPr>
        <w:tc>
          <w:tcPr>
            <w:tcW w:w="4840" w:type="dxa"/>
            <w:vAlign w:val="bottom"/>
          </w:tcPr>
          <w:p>
            <w:pPr>
              <w:spacing w:after="0"/>
              <w:rPr>
                <w:sz w:val="24"/>
                <w:szCs w:val="24"/>
                <w:color w:val="auto"/>
              </w:rPr>
            </w:pPr>
          </w:p>
        </w:tc>
        <w:tc>
          <w:tcPr>
            <w:tcW w:w="19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(440)  262-1410</w:t>
            </w:r>
          </w:p>
        </w:tc>
        <w:tc>
          <w:tcPr>
            <w:tcW w:w="4440" w:type="dxa"/>
            <w:vAlign w:val="bottom"/>
          </w:tcPr>
          <w:p>
            <w:pPr>
              <w:spacing w:after="0"/>
              <w:rPr>
                <w:sz w:val="24"/>
                <w:szCs w:val="24"/>
                <w:color w:val="auto"/>
              </w:rPr>
            </w:pPr>
          </w:p>
        </w:tc>
      </w:tr>
      <w:tr>
        <w:trPr>
          <w:trHeight w:val="243"/>
        </w:trPr>
        <w:tc>
          <w:tcPr>
            <w:tcW w:w="11220" w:type="dxa"/>
            <w:vAlign w:val="bottom"/>
            <w:gridSpan w:val="3"/>
          </w:tcPr>
          <w:p>
            <w:pPr>
              <w:ind w:left="396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419"/>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4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64"/>
        </w:trPr>
        <w:tc>
          <w:tcPr>
            <w:tcW w:w="48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4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4"/>
        </w:trPr>
        <w:tc>
          <w:tcPr>
            <w:tcW w:w="484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94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7"/>
              </w:rPr>
              <w:t>SHC</w:t>
            </w:r>
          </w:p>
        </w:tc>
        <w:tc>
          <w:tcPr>
            <w:tcW w:w="44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276"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w:t>
      </w:r>
    </w:p>
    <w:p>
      <w:pPr>
        <w:spacing w:after="0" w:line="182"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42" w:lineRule="exact"/>
        <w:rPr>
          <w:sz w:val="24"/>
          <w:szCs w:val="24"/>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1860" w:type="dxa"/>
        <w:tblCellMar>
          <w:top w:w="0" w:type="dxa"/>
          <w:left w:w="0" w:type="dxa"/>
          <w:bottom w:w="0" w:type="dxa"/>
          <w:right w:w="0" w:type="dxa"/>
        </w:tblCellMar>
      </w:tblPr>
      <w:tr>
        <w:trPr>
          <w:trHeight w:val="243"/>
        </w:trPr>
        <w:tc>
          <w:tcPr>
            <w:tcW w:w="2460" w:type="dxa"/>
            <w:vAlign w:val="bottom"/>
          </w:tcPr>
          <w:p>
            <w:pPr>
              <w:jc w:val="center"/>
              <w:ind w:right="919"/>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460" w:type="dxa"/>
            <w:vAlign w:val="bottom"/>
          </w:tcPr>
          <w:p>
            <w:pPr>
              <w:jc w:val="center"/>
              <w:ind w:right="919"/>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50"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October 27, 2026, there were 285,630,846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TABLE OF CONTENTS -</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30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7980" w:type="dxa"/>
            <w:vAlign w:val="bottom"/>
            <w:gridSpan w:val="3"/>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980" w:type="dxa"/>
            <w:vAlign w:val="bottom"/>
            <w:gridSpan w:val="3"/>
          </w:tcPr>
          <w:p>
            <w:pPr>
              <w:spacing w:after="0"/>
              <w:rPr>
                <w:sz w:val="17"/>
                <w:szCs w:val="17"/>
                <w:color w:val="auto"/>
              </w:rPr>
            </w:pPr>
          </w:p>
        </w:tc>
        <w:tc>
          <w:tcPr>
            <w:tcW w:w="20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5</w:t>
            </w: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0000FF"/>
            </w:tcBorders>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140" w:type="dxa"/>
            <w:vAlign w:val="bottom"/>
            <w:tcBorders>
              <w:top w:val="single" w:sz="8" w:color="0000FF"/>
            </w:tcBorders>
          </w:tcPr>
          <w:p>
            <w:pPr>
              <w:spacing w:after="0"/>
              <w:rPr>
                <w:sz w:val="4"/>
                <w:szCs w:val="4"/>
                <w:color w:val="auto"/>
              </w:rPr>
            </w:pPr>
          </w:p>
        </w:tc>
        <w:tc>
          <w:tcPr>
            <w:tcW w:w="210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1840" w:type="dxa"/>
            <w:vAlign w:val="bottom"/>
            <w:tcBorders>
              <w:bottom w:val="single" w:sz="8" w:color="0000FF"/>
            </w:tcBorders>
            <w:gridSpan w:val="7"/>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8420" w:type="dxa"/>
            <w:vAlign w:val="bottom"/>
            <w:tcBorders>
              <w:bottom w:val="single" w:sz="8" w:color="CCEEFF"/>
            </w:tcBorders>
            <w:gridSpan w:val="5"/>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102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1400" w:type="dxa"/>
            <w:vAlign w:val="bottom"/>
            <w:tcBorders>
              <w:bottom w:val="single" w:sz="8" w:color="0000FF"/>
            </w:tcBorders>
            <w:gridSpan w:val="5"/>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886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Item 1A. Risk Factors.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1380" w:type="dxa"/>
            <w:vAlign w:val="bottom"/>
            <w:tcBorders>
              <w:bottom w:val="single" w:sz="8" w:color="0000FF"/>
            </w:tcBorders>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880" w:type="dxa"/>
            <w:vAlign w:val="bottom"/>
            <w:tcBorders>
              <w:bottom w:val="single" w:sz="8" w:color="CCEEFF"/>
            </w:tcBorders>
            <w:gridSpan w:val="8"/>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FF"/>
              </w:rPr>
              <w:t>Item 6.</w:t>
            </w:r>
          </w:p>
        </w:tc>
        <w:tc>
          <w:tcPr>
            <w:tcW w:w="1026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1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shd w:val="clear" w:color="auto" w:fill="CCEEFF"/>
          </w:tcPr>
          <w:p>
            <w:pPr>
              <w:spacing w:after="0"/>
              <w:rPr>
                <w:sz w:val="21"/>
                <w:szCs w:val="21"/>
                <w:color w:val="auto"/>
              </w:rPr>
            </w:pPr>
          </w:p>
        </w:tc>
      </w:tr>
      <w:tr>
        <w:trPr>
          <w:trHeight w:val="1019"/>
        </w:trPr>
        <w:tc>
          <w:tcPr>
            <w:tcW w:w="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214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37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187" w:lineRule="exact"/>
        <w:rPr>
          <w:sz w:val="20"/>
          <w:szCs w:val="20"/>
          <w:color w:val="auto"/>
        </w:rPr>
      </w:pPr>
    </w:p>
    <w:p>
      <w:pPr>
        <w:ind w:left="980" w:right="120" w:hanging="324"/>
        <w:spacing w:after="0" w:line="257"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availability or supply of, or increases in the price of, ethylene oxide (“EO”), Cobalt-60 (“Co-60”) or our other direct materials, services and supplies, including as a result of geopolitical instability and/or sanctions against Russia by the United States, Canada, the United Kingdom and/or the European Union, or sanctions by Russia against those countries;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changes in environmental, health and safety regulations;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storage, transportation and disposal of potentially hazardous materials such as EO and Co-60;</w:t>
      </w:r>
    </w:p>
    <w:p>
      <w:pPr>
        <w:spacing w:after="0" w:line="9" w:lineRule="exact"/>
        <w:rPr>
          <w:rFonts w:ascii="Times New Roman" w:cs="Times New Roman" w:eastAsia="Times New Roman" w:hAnsi="Times New Roman"/>
          <w:sz w:val="18"/>
          <w:szCs w:val="18"/>
          <w:color w:val="auto"/>
        </w:rPr>
      </w:pPr>
    </w:p>
    <w:p>
      <w:pPr>
        <w:jc w:val="both"/>
        <w:ind w:left="980" w:right="36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litigation related to the use, emissions and releases of EO from our current and former EO sterilization facilities and the possibility that additional claims will be made in the future;</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services and potential product liability claims, recalls, penalties and reputational harm;</w:t>
      </w:r>
    </w:p>
    <w:p>
      <w:pPr>
        <w:spacing w:after="0" w:line="9"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extensive regulatory requirements to which we are subject, the related costs, and any failures to receive or maintain, or delays in receiving, required clearances or approvals;</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9" w:lineRule="exact"/>
        <w:rPr>
          <w:rFonts w:ascii="Times New Roman" w:cs="Times New Roman" w:eastAsia="Times New Roman" w:hAnsi="Times New Roman"/>
          <w:sz w:val="18"/>
          <w:szCs w:val="18"/>
          <w:color w:val="auto"/>
        </w:rPr>
      </w:pPr>
    </w:p>
    <w:p>
      <w:pPr>
        <w:ind w:left="980" w:right="60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changes, including inflationary trends and the impact of tariffs, that impact our long-term supply contracts with variable price clauses and increase our cost of revenues;</w:t>
      </w:r>
    </w:p>
    <w:p>
      <w:pPr>
        <w:ind w:left="980" w:right="80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including supply chain disruptions, federal government shutdowns, and other risks associated with our operations;</w:t>
      </w:r>
    </w:p>
    <w:p>
      <w:pPr>
        <w:ind w:left="980" w:right="48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including global and regional economic and political instability and compliance with various applicable laws and potentially inconsistent laws and regulations in multiple jurisdictions;</w:t>
      </w:r>
    </w:p>
    <w:p>
      <w:pPr>
        <w:ind w:left="980" w:right="10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build new facilities in a timely and cost-effective manner and renew leases for our leased facilities;</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health events or environmental events;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unauthorized data disclosures, and our dependence on information technology systems;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introduction of artificial intelligence technology;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pursue strategic transactions, find suitable acquisition targets, or integrate strategic acquisitions into our business successfully;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rights to maintain our competitive position and the risk of claims from third parties that we have infringed or misappropriated, or are infringing or misappropriating, their intellectual property rights;</w:t>
      </w:r>
    </w:p>
    <w:p>
      <w:pPr>
        <w:ind w:left="980" w:right="64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rapidly evolving data privacy and security laws and regulations in various jurisdictions and any ineffective compliance efforts with such laws and regulations;</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profitability in future periods;</w:t>
      </w:r>
    </w:p>
    <w:p>
      <w:pPr>
        <w:spacing w:after="0" w:line="9"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 as well as other long-lived assets and intangible assets with definite lives;</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unionization efforts and labor regulations in countries in which we operate;</w:t>
      </w:r>
    </w:p>
    <w:p>
      <w:pPr>
        <w:spacing w:after="0" w:line="9" w:lineRule="exact"/>
        <w:rPr>
          <w:rFonts w:ascii="Times New Roman" w:cs="Times New Roman" w:eastAsia="Times New Roman" w:hAnsi="Times New Roman"/>
          <w:sz w:val="18"/>
          <w:szCs w:val="18"/>
          <w:color w:val="auto"/>
        </w:rPr>
      </w:pPr>
    </w:p>
    <w:p>
      <w:pPr>
        <w:ind w:left="980" w:right="42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or the interpretation and application of U.S. tax legislation or other changes in U.S. or non-U.S. taxation of our operations; and</w:t>
      </w:r>
    </w:p>
    <w:p>
      <w:pPr>
        <w:ind w:left="980" w:right="140" w:hanging="324"/>
        <w:spacing w:after="0" w:line="253"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degree of leverage and how this leverage could adversely affect our ability to raise additional capital, limit our ability to react to challenges facing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2025 (the “2025 Form 10-K”).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Quarterly Report on Form 10-Q refer to Sotera Health Company, a Delaware corporation, and, where appropriate, its subsidiaries on a consolidated basis.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9"/>
                <w:szCs w:val="19"/>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412,384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344,621</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cash short-term</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 of allowance for uncollectible accounts of $1,764 and $2,968, respectively</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152,771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139,329</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 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49,629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54,375</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77,180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65,250</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receivable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701,028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613,410</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1,198,761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1,130,564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29,242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33,393</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Post-retirement assets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57,919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53,817</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40,686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264,837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288,227</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1,091,217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1,103,232</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3,387,402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3,263,190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79,566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77,963</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99,489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124,736</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17,999</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13,933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13,973</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5,755</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5,693</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223,688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249,584</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2,123,216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2,126,724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obligations, less current portion</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103,546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93,835</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obligations, less current portion</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26,386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29,901</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 retirement obligations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54,648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53,496</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lease income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16,073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17,057</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Post-retirement obligations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7,724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8,123</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7,360</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93,342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71,075</w:t>
            </w:r>
          </w:p>
        </w:tc>
        <w:tc>
          <w:tcPr>
            <w:tcW w:w="0" w:type="dxa"/>
            <w:vAlign w:val="bottom"/>
          </w:tcPr>
          <w:p>
            <w:pPr>
              <w:spacing w:after="0"/>
              <w:rPr>
                <w:sz w:val="1"/>
                <w:szCs w:val="1"/>
                <w:color w:val="auto"/>
              </w:rPr>
            </w:pPr>
          </w:p>
        </w:tc>
      </w:tr>
      <w:tr>
        <w:trPr>
          <w:trHeight w:val="18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2,654,159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2,657,155</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See Note 13, “Commitments and Contingencies”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Common stock, with $0.01 par value, 1,200,000 shares authorized; 286,037 shares issued at September 30, 2026 and December 31, 2025</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Preferred stock, with $0.01 par value, 120,000 shares authorized; no shares issued at September 30, 2026 and December 31, 2025</w:t>
            </w:r>
          </w:p>
        </w:tc>
        <w:tc>
          <w:tcPr>
            <w:tcW w:w="10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Treasury stock, at cost (454 and 1,666 shares at September 30, 2026 and December 31, 2025, respectively)</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(6,302)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1,274,946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1,262,119</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Retained deficit</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(393,470)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(532,093)</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(144,791)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(109,838)</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733,243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606,035</w:t>
            </w:r>
          </w:p>
        </w:tc>
        <w:tc>
          <w:tcPr>
            <w:tcW w:w="0" w:type="dxa"/>
            <w:vAlign w:val="bottom"/>
          </w:tcPr>
          <w:p>
            <w:pPr>
              <w:spacing w:after="0"/>
              <w:rPr>
                <w:sz w:val="1"/>
                <w:szCs w:val="1"/>
                <w:color w:val="auto"/>
              </w:rPr>
            </w:pPr>
          </w:p>
        </w:tc>
      </w:tr>
      <w:tr>
        <w:trPr>
          <w:trHeight w:val="21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3,387,402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3,263,190</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6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62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Service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277,092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255,529</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797,025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736,713</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Product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47,794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55,783</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129,281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123,463</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revenues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324,886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311,312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926,306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860,176</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Service</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127,098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114,337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372,766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335,259</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Product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16,999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19,414</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47,719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45,303</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 of revenues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144,097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133,751</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420,485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380,562</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180,789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177,561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505,821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479,614</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64,140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63,294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200,507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195,248</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27,715</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Illinois EO litigation settlements</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64,943</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103,272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120,674</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refinancing of debt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gain, net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(3,114)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(6,928)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(6,530)</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83,732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72,935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204,396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77,009</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25,341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24,535</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65,773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33,907</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58,391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48,400</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138,623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43,102</w:t>
            </w: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Pension and post-retirement benefits (net of taxes of $(7), $(4), $(77), and $23,</w:t>
            </w:r>
          </w:p>
        </w:tc>
        <w:tc>
          <w:tcPr>
            <w:tcW w:w="10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respectively)</w:t>
            </w: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33"/>
        </w:trPr>
        <w:tc>
          <w:tcPr>
            <w:tcW w:w="62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Interest rate derivatives (net of taxes of $338, $(10), $1,301 and $(662), respectively)</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(17,178)</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(38,521)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84,599</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57,055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31,181</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103,670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125,846</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285,997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284,067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285,557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283,855</w:t>
            </w:r>
          </w:p>
        </w:tc>
        <w:tc>
          <w:tcPr>
            <w:tcW w:w="0" w:type="dxa"/>
            <w:vAlign w:val="bottom"/>
          </w:tcPr>
          <w:p>
            <w:pPr>
              <w:spacing w:after="0"/>
              <w:rPr>
                <w:sz w:val="1"/>
                <w:szCs w:val="1"/>
                <w:color w:val="auto"/>
              </w:rPr>
            </w:pPr>
          </w:p>
        </w:tc>
      </w:tr>
      <w:tr>
        <w:trPr>
          <w:trHeight w:val="223"/>
        </w:trPr>
        <w:tc>
          <w:tcPr>
            <w:tcW w:w="6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289,217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288,271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286,019</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138,623</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43,102</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80,039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67,934</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16,691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36,246</w:t>
            </w: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refinancing of debt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25,209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(16,913)</w:t>
            </w: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29,342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23,310</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1,935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foreign exchange (gain) loss, net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8,378</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on derivatives not designated as hedging instruments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(4,043)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w:t>
            </w: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(16,145)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w:t>
            </w: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2,785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(11,018)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(18,948)</w:t>
            </w: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Accrued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8,122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13,279</w:t>
            </w: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Illinois EO litigation settlement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(34,000)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34,000</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Income taxes payable / receivable, net</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(3,915)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(9,544)</w:t>
            </w:r>
          </w:p>
        </w:tc>
      </w:tr>
      <w:tr>
        <w:trPr>
          <w:trHeight w:val="193"/>
        </w:trPr>
        <w:tc>
          <w:tcPr>
            <w:tcW w:w="8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9"/>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long-term assets</w:t>
            </w: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(2,911)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8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228,479</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184,091</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(145,450)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(87,319)</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5,275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w:t>
            </w:r>
          </w:p>
        </w:tc>
      </w:tr>
      <w:tr>
        <w:trPr>
          <w:trHeight w:val="18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(140,175)</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(84,445)</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long-term borrowings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(7,097)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(82,547)</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of debt issuance costs and debt discount</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w:t>
            </w: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 on equity awards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(9,359)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w:t>
            </w:r>
          </w:p>
        </w:tc>
      </w:tr>
      <w:tr>
        <w:trPr>
          <w:trHeight w:val="18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(16,978)</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(92,359)</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14,874</w:t>
            </w:r>
          </w:p>
        </w:tc>
      </w:tr>
      <w:tr>
        <w:trPr>
          <w:trHeight w:val="18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 including restricted cash</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65,937</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22,161</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including restricted cash, at beginning of period</w:t>
            </w: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346,456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278,865</w:t>
            </w:r>
          </w:p>
        </w:tc>
      </w:tr>
      <w:tr>
        <w:trPr>
          <w:trHeight w:val="21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including restricted cash, at end of period</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412,393</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301,026</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paid during the period for interest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106,179</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129,600</w:t>
            </w:r>
          </w:p>
        </w:tc>
      </w:tr>
      <w:tr>
        <w:trPr>
          <w:trHeight w:val="37"/>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during the period for income taxes, net of tax refunds received</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39,795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47,607</w:t>
            </w: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property, plant and equipment included in accounts payable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30,620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17,215</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18"/>
                <w:szCs w:val="18"/>
                <w:color w:val="auto"/>
              </w:rPr>
            </w:pPr>
          </w:p>
        </w:tc>
        <w:tc>
          <w:tcPr>
            <w:tcW w:w="214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376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00" w:type="dxa"/>
            <w:vAlign w:val="bottom"/>
          </w:tcPr>
          <w:p>
            <w:pPr>
              <w:spacing w:after="0"/>
              <w:rPr>
                <w:sz w:val="6"/>
                <w:szCs w:val="6"/>
                <w:color w:val="auto"/>
              </w:rPr>
            </w:pPr>
          </w:p>
        </w:tc>
        <w:tc>
          <w:tcPr>
            <w:tcW w:w="780" w:type="dxa"/>
            <w:vAlign w:val="bottom"/>
            <w:vMerge w:val="restart"/>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45"/>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3760" w:type="dxa"/>
            <w:vAlign w:val="bottom"/>
          </w:tcPr>
          <w:p>
            <w:pPr>
              <w:spacing w:after="0"/>
              <w:rPr>
                <w:sz w:val="10"/>
                <w:szCs w:val="10"/>
                <w:color w:val="auto"/>
              </w:rPr>
            </w:pP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0"/>
                <w:szCs w:val="10"/>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10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Retained Deficit</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200" w:type="dxa"/>
            <w:vAlign w:val="bottom"/>
          </w:tcPr>
          <w:p>
            <w:pPr>
              <w:spacing w:after="0"/>
              <w:rPr>
                <w:sz w:val="13"/>
                <w:szCs w:val="13"/>
                <w:color w:val="auto"/>
              </w:rPr>
            </w:pPr>
          </w:p>
        </w:tc>
        <w:tc>
          <w:tcPr>
            <w:tcW w:w="780" w:type="dxa"/>
            <w:vAlign w:val="bottom"/>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22"/>
        </w:trPr>
        <w:tc>
          <w:tcPr>
            <w:tcW w:w="3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285,362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(9,288)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1,267,392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(451,861)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(143,455)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665,648</w:t>
            </w:r>
          </w:p>
        </w:tc>
        <w:tc>
          <w:tcPr>
            <w:tcW w:w="0" w:type="dxa"/>
            <w:vAlign w:val="bottom"/>
          </w:tcPr>
          <w:p>
            <w:pPr>
              <w:spacing w:after="0"/>
              <w:rPr>
                <w:sz w:val="1"/>
                <w:szCs w:val="1"/>
                <w:color w:val="auto"/>
              </w:rPr>
            </w:pPr>
          </w:p>
        </w:tc>
      </w:tr>
      <w:tr>
        <w:trPr>
          <w:trHeight w:val="19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10,540</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(2,299)</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984</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58,391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58,391</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285,583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(6,302)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1,274,946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(393,470)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(144,791)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733,243</w:t>
            </w: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4"/>
        </w:trPr>
        <w:tc>
          <w:tcPr>
            <w:tcW w:w="3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3760" w:type="dxa"/>
            <w:vAlign w:val="bottom"/>
          </w:tcPr>
          <w:p>
            <w:pPr>
              <w:spacing w:after="0"/>
              <w:rPr>
                <w:sz w:val="21"/>
                <w:szCs w:val="21"/>
                <w:color w:val="auto"/>
              </w:rPr>
            </w:pPr>
          </w:p>
        </w:tc>
        <w:tc>
          <w:tcPr>
            <w:tcW w:w="214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376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00" w:type="dxa"/>
            <w:vAlign w:val="bottom"/>
          </w:tcPr>
          <w:p>
            <w:pPr>
              <w:spacing w:after="0"/>
              <w:rPr>
                <w:sz w:val="6"/>
                <w:szCs w:val="6"/>
                <w:color w:val="auto"/>
              </w:rPr>
            </w:pPr>
          </w:p>
        </w:tc>
        <w:tc>
          <w:tcPr>
            <w:tcW w:w="780" w:type="dxa"/>
            <w:vAlign w:val="bottom"/>
            <w:vMerge w:val="restart"/>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32"/>
        </w:trPr>
        <w:tc>
          <w:tcPr>
            <w:tcW w:w="3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760" w:type="dxa"/>
            <w:vAlign w:val="bottom"/>
          </w:tcPr>
          <w:p>
            <w:pPr>
              <w:spacing w:after="0"/>
              <w:rPr>
                <w:sz w:val="11"/>
                <w:szCs w:val="11"/>
                <w:color w:val="auto"/>
              </w:rPr>
            </w:pP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0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Retained Deficit</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200" w:type="dxa"/>
            <w:vAlign w:val="bottom"/>
          </w:tcPr>
          <w:p>
            <w:pPr>
              <w:spacing w:after="0"/>
              <w:rPr>
                <w:sz w:val="12"/>
                <w:szCs w:val="12"/>
                <w:color w:val="auto"/>
              </w:rPr>
            </w:pPr>
          </w:p>
        </w:tc>
        <w:tc>
          <w:tcPr>
            <w:tcW w:w="780" w:type="dxa"/>
            <w:vAlign w:val="bottom"/>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36"/>
        </w:trPr>
        <w:tc>
          <w:tcPr>
            <w:tcW w:w="37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284,371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(17,013)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1,262,119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(532,093)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(109,838)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606,035</w:t>
            </w:r>
          </w:p>
        </w:tc>
        <w:tc>
          <w:tcPr>
            <w:tcW w:w="0" w:type="dxa"/>
            <w:vAlign w:val="bottom"/>
          </w:tcPr>
          <w:p>
            <w:pPr>
              <w:spacing w:after="0"/>
              <w:rPr>
                <w:sz w:val="1"/>
                <w:szCs w:val="1"/>
                <w:color w:val="auto"/>
              </w:rPr>
            </w:pPr>
          </w:p>
        </w:tc>
      </w:tr>
      <w:tr>
        <w:trPr>
          <w:trHeight w:val="19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23,538</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(223)</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(38,521)</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3,791</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138,623</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285,583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(6,302)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1,274,946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(393,470)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(144,791)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733,243</w:t>
            </w: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11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Consolidated Statements of Equity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760" w:type="dxa"/>
            <w:vAlign w:val="bottom"/>
          </w:tcPr>
          <w:p>
            <w:pPr>
              <w:spacing w:after="0"/>
              <w:rPr>
                <w:sz w:val="21"/>
                <w:szCs w:val="21"/>
                <w:color w:val="auto"/>
              </w:rPr>
            </w:pPr>
          </w:p>
        </w:tc>
        <w:tc>
          <w:tcPr>
            <w:tcW w:w="214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
        </w:trPr>
        <w:tc>
          <w:tcPr>
            <w:tcW w:w="376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60" w:type="dxa"/>
            <w:vAlign w:val="bottom"/>
          </w:tcPr>
          <w:p>
            <w:pPr>
              <w:spacing w:after="0"/>
              <w:rPr>
                <w:sz w:val="6"/>
                <w:szCs w:val="6"/>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00" w:type="dxa"/>
            <w:vAlign w:val="bottom"/>
          </w:tcPr>
          <w:p>
            <w:pPr>
              <w:spacing w:after="0"/>
              <w:rPr>
                <w:sz w:val="6"/>
                <w:szCs w:val="6"/>
                <w:color w:val="auto"/>
              </w:rPr>
            </w:pPr>
          </w:p>
        </w:tc>
        <w:tc>
          <w:tcPr>
            <w:tcW w:w="780" w:type="dxa"/>
            <w:vAlign w:val="bottom"/>
            <w:vMerge w:val="restart"/>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45"/>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3760" w:type="dxa"/>
            <w:vAlign w:val="bottom"/>
          </w:tcPr>
          <w:p>
            <w:pPr>
              <w:spacing w:after="0"/>
              <w:rPr>
                <w:sz w:val="10"/>
                <w:szCs w:val="10"/>
                <w:color w:val="auto"/>
              </w:rPr>
            </w:pP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0"/>
                <w:szCs w:val="10"/>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10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Retained Deficit</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200" w:type="dxa"/>
            <w:vAlign w:val="bottom"/>
          </w:tcPr>
          <w:p>
            <w:pPr>
              <w:spacing w:after="0"/>
              <w:rPr>
                <w:sz w:val="13"/>
                <w:szCs w:val="13"/>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2"/>
        </w:trPr>
        <w:tc>
          <w:tcPr>
            <w:tcW w:w="3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284,047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1,251,089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(615,340)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(108,288)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511,283</w:t>
            </w:r>
          </w:p>
        </w:tc>
        <w:tc>
          <w:tcPr>
            <w:tcW w:w="0" w:type="dxa"/>
            <w:vAlign w:val="bottom"/>
          </w:tcPr>
          <w:p>
            <w:pPr>
              <w:spacing w:after="0"/>
              <w:rPr>
                <w:sz w:val="1"/>
                <w:szCs w:val="1"/>
                <w:color w:val="auto"/>
              </w:rPr>
            </w:pPr>
          </w:p>
        </w:tc>
      </w:tr>
      <w:tr>
        <w:trPr>
          <w:trHeight w:val="19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8,007</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(17,178)</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48,400</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284,090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1,258,715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(566,940)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(125,507)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550,471</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21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1"/>
                <w:szCs w:val="21"/>
                <w:color w:val="auto"/>
              </w:rPr>
            </w:pPr>
          </w:p>
        </w:tc>
        <w:tc>
          <w:tcPr>
            <w:tcW w:w="214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376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00" w:type="dxa"/>
            <w:vAlign w:val="bottom"/>
          </w:tcPr>
          <w:p>
            <w:pPr>
              <w:spacing w:after="0"/>
              <w:rPr>
                <w:sz w:val="6"/>
                <w:szCs w:val="6"/>
                <w:color w:val="auto"/>
              </w:rPr>
            </w:pPr>
          </w:p>
        </w:tc>
        <w:tc>
          <w:tcPr>
            <w:tcW w:w="780" w:type="dxa"/>
            <w:vAlign w:val="bottom"/>
            <w:vMerge w:val="restart"/>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32"/>
        </w:trPr>
        <w:tc>
          <w:tcPr>
            <w:tcW w:w="3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760" w:type="dxa"/>
            <w:vAlign w:val="bottom"/>
          </w:tcPr>
          <w:p>
            <w:pPr>
              <w:spacing w:after="0"/>
              <w:rPr>
                <w:sz w:val="11"/>
                <w:szCs w:val="11"/>
                <w:color w:val="auto"/>
              </w:rPr>
            </w:pP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0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Retained Deficit</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2"/>
                <w:szCs w:val="12"/>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200" w:type="dxa"/>
            <w:vAlign w:val="bottom"/>
          </w:tcPr>
          <w:p>
            <w:pPr>
              <w:spacing w:after="0"/>
              <w:rPr>
                <w:sz w:val="12"/>
                <w:szCs w:val="12"/>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36"/>
        </w:trPr>
        <w:tc>
          <w:tcPr>
            <w:tcW w:w="37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283,466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1,243,778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(610,042)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(208,251)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404,911</w:t>
            </w:r>
          </w:p>
        </w:tc>
        <w:tc>
          <w:tcPr>
            <w:tcW w:w="0" w:type="dxa"/>
            <w:vAlign w:val="bottom"/>
          </w:tcPr>
          <w:p>
            <w:pPr>
              <w:spacing w:after="0"/>
              <w:rPr>
                <w:sz w:val="1"/>
                <w:szCs w:val="1"/>
                <w:color w:val="auto"/>
              </w:rPr>
            </w:pPr>
          </w:p>
        </w:tc>
      </w:tr>
      <w:tr>
        <w:trPr>
          <w:trHeight w:val="19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19,714</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Pension and post-retirement plan adjustments,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84,599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84,599</w:t>
            </w:r>
          </w:p>
        </w:tc>
        <w:tc>
          <w:tcPr>
            <w:tcW w:w="0" w:type="dxa"/>
            <w:vAlign w:val="bottom"/>
          </w:tcPr>
          <w:p>
            <w:pPr>
              <w:spacing w:after="0"/>
              <w:rPr>
                <w:sz w:val="1"/>
                <w:szCs w:val="1"/>
                <w:color w:val="auto"/>
              </w:rPr>
            </w:pPr>
          </w:p>
        </w:tc>
      </w:tr>
      <w:tr>
        <w:trPr>
          <w:trHeight w:val="19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43,102</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284,090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1,258,715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(566,940)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(125,507)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550,471</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1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Sotera Health Company (also referred to herein as the “Company,” “we,” “our,” “us” or “its”) is a leading global provider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mission-critical end-to-end sterilization solutions, lab testing and advisory services for the healthcare industry with operations primarily in the Americas, Europe and Asia.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and report in three segments: Sterigenics, Nordion and Nelson Labs. We describe our reportable segments in Note 15, “Segment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178"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In preparing our consolidated financial statements in conformity with U.S. Generally Accepted Accounting Principles (“GAAP”),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estimates and assumptions that affect the amounts reported and the accompanying notes. We regularly evaluate the estimates and assumptions used and revise them as new information becomes available. Actual results may vary from those estimates.</w:t>
      </w:r>
    </w:p>
    <w:p>
      <w:pPr>
        <w:spacing w:after="0" w:line="13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Interim Financial Statements </w:t>
      </w:r>
      <w:r>
        <w:rPr>
          <w:rFonts w:ascii="Times New Roman" w:cs="Times New Roman" w:eastAsia="Times New Roman" w:hAnsi="Times New Roman"/>
          <w:sz w:val="18"/>
          <w:szCs w:val="18"/>
          <w:color w:val="auto"/>
        </w:rPr>
        <w:t>– The accompanying consolidated financial statements include the assets, liabilities, operating results, and cash flows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wholly owned subsidiaries. These financial statements are prepared in accordance with GAAP for interim financial information and the instructions to the Quarterly Report on Form 10-Q and Rule 10-01 of Regulation S-X. Accordingly, they do not include all of the information and footnotes required by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in our 2025 Form 10-K.</w:t>
      </w:r>
    </w:p>
    <w:p>
      <w:pPr>
        <w:spacing w:after="0" w:line="28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Standards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Issued But Not Yet Adopted</w:t>
      </w:r>
    </w:p>
    <w:p>
      <w:pPr>
        <w:spacing w:after="0" w:line="189" w:lineRule="exact"/>
        <w:rPr>
          <w:sz w:val="20"/>
          <w:szCs w:val="20"/>
          <w:color w:val="auto"/>
        </w:rPr>
      </w:pPr>
    </w:p>
    <w:p>
      <w:pPr>
        <w:ind w:right="480"/>
        <w:spacing w:after="0" w:line="274" w:lineRule="auto"/>
        <w:rPr>
          <w:sz w:val="20"/>
          <w:szCs w:val="20"/>
          <w:color w:val="auto"/>
        </w:rPr>
      </w:pPr>
      <w:r>
        <w:rPr>
          <w:rFonts w:ascii="Times New Roman" w:cs="Times New Roman" w:eastAsia="Times New Roman" w:hAnsi="Times New Roman"/>
          <w:sz w:val="17"/>
          <w:szCs w:val="17"/>
          <w:color w:val="auto"/>
        </w:rPr>
        <w:t>In November 2024, the Financial Accounting Standards Board (“FASB”) issued Accounting Standards Update (“ASU”) 2024-03: Income Statement-Reporting Comprehensive Income-Expense Disaggregation Disclosures (Subtopic 220-40): Disaggregation of Income Statement Expenses. The amendments in this ASU require entities to disaggregate certain expense captions into specified categories in disclosures within the footnotes to the financial statements. In January 2025, the FASB issued ASU 2025-01, which revises the effective date of ASU 2024-03 and clarifies that entities are required to adopt the guidance in annual reporting periods beginning after December 15, 2026, and interim periods within annual reporting periods beginning after December 15, 2027. The Company expects that this ASU will increase disclosures in the annual and interim periods when adopted.</w:t>
      </w:r>
    </w:p>
    <w:p>
      <w:pPr>
        <w:spacing w:after="0" w:line="27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shows disaggregated net revenues from contracts with external customers by timing of revenue and by segment for the three and nine months ended September 30, 2026 and 2025:</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420" w:type="dxa"/>
            <w:vAlign w:val="bottom"/>
          </w:tcPr>
          <w:p>
            <w:pPr>
              <w:spacing w:after="0"/>
              <w:rPr>
                <w:sz w:val="13"/>
                <w:szCs w:val="13"/>
                <w:color w:val="auto"/>
              </w:rPr>
            </w:pPr>
          </w:p>
        </w:tc>
      </w:tr>
      <w:tr>
        <w:trPr>
          <w:trHeight w:val="48"/>
        </w:trPr>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186"/>
        </w:trPr>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5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6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14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Consolidated</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209,305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261,418</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 time</w:t>
            </w:r>
          </w:p>
        </w:tc>
        <w:tc>
          <w:tcPr>
            <w:tcW w:w="2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60,557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63,468</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209,305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55,024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60,557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324,886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254,153</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 time</w:t>
            </w:r>
          </w:p>
        </w:tc>
        <w:tc>
          <w:tcPr>
            <w:tcW w:w="2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57,159</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36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440" w:type="dxa"/>
            <w:vAlign w:val="bottom"/>
          </w:tcPr>
          <w:p>
            <w:pPr>
              <w:spacing w:after="0"/>
              <w:rPr>
                <w:sz w:val="13"/>
                <w:szCs w:val="13"/>
                <w:color w:val="auto"/>
              </w:rPr>
            </w:pPr>
          </w:p>
        </w:tc>
      </w:tr>
      <w:tr>
        <w:trPr>
          <w:trHeight w:val="48"/>
        </w:trPr>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186"/>
        </w:trPr>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5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6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14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Consolidated</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607,011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747,370</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173,113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178,936</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607,011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146,182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173,113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926,306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80" w:type="dxa"/>
            <w:vAlign w:val="bottom"/>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692,347</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165,015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167,829</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557,368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When we receive consideration from a customer prior to transferring goods or services under the terms of a sales contract, we record deferred revenue, which represents a contract liability. Deferred revenue totaled $15.1 million and $18.0 million at September 30, 2026 and December 31, 2025, respectively. We recognize deferred revenue after we have transferred control of the goods or services to the customer and all revenue recognition criteria are met.</w:t>
      </w:r>
    </w:p>
    <w:p>
      <w:pPr>
        <w:spacing w:after="0" w:line="26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6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62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41,929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49,872</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49,629</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54,375</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77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6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7760" w:type="dxa"/>
            <w:vAlign w:val="bottom"/>
            <w:tcBorders>
              <w:bottom w:val="single" w:sz="8" w:color="CCEEFF"/>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6,146</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business insurance</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4,624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contract assets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43,251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deposits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maintenance contracts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receivable</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licensing</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supplies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8,862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77,180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goodwill during the nine months ended September 30, 2026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8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220" w:type="dxa"/>
            <w:vAlign w:val="bottom"/>
          </w:tcPr>
          <w:p>
            <w:pPr>
              <w:spacing w:after="0"/>
              <w:rPr>
                <w:sz w:val="13"/>
                <w:szCs w:val="13"/>
                <w:color w:val="auto"/>
              </w:rPr>
            </w:pPr>
          </w:p>
        </w:tc>
        <w:tc>
          <w:tcPr>
            <w:tcW w:w="12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Goodwill at December 31, 2025</w:t>
            </w: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658,919</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176,542</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1,103,232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due to foreign currency exchange rates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 at September 30, 2026</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657,368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258,533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175,316</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1,091,217</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intangible assets consisted of the following:</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2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24"/>
                <w:szCs w:val="24"/>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165,561</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91,663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Proprietary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36,470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Land-use rights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162,876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94,452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377,153</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211,624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560" w:type="dxa"/>
            <w:vAlign w:val="bottom"/>
            <w:tcBorders>
              <w:right w:val="single" w:sz="8" w:color="CCEEFF"/>
            </w:tcBorders>
            <w:shd w:val="clear" w:color="auto" w:fill="CCEEFF"/>
          </w:tcPr>
          <w:p>
            <w:pPr>
              <w:spacing w:after="0"/>
              <w:rPr>
                <w:sz w:val="22"/>
                <w:szCs w:val="22"/>
                <w:color w:val="auto"/>
              </w:rPr>
            </w:pPr>
          </w:p>
        </w:tc>
        <w:tc>
          <w:tcPr>
            <w:tcW w:w="3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Regulatory licenses and other</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73,421</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Trade names / trademarks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25,887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99,308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476,461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24"/>
                <w:szCs w:val="24"/>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167,313</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Proprietary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Land-use rights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168,740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385,989</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560" w:type="dxa"/>
            <w:vAlign w:val="bottom"/>
            <w:tcBorders>
              <w:right w:val="single" w:sz="8" w:color="CCEEFF"/>
            </w:tcBorders>
            <w:shd w:val="clear" w:color="auto" w:fill="CCEEFF"/>
          </w:tcPr>
          <w:p>
            <w:pPr>
              <w:spacing w:after="0"/>
              <w:rPr>
                <w:sz w:val="22"/>
                <w:szCs w:val="22"/>
                <w:color w:val="auto"/>
              </w:rPr>
            </w:pPr>
          </w:p>
        </w:tc>
        <w:tc>
          <w:tcPr>
            <w:tcW w:w="3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Regulatory licenses and other</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76,064</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Trade names / trademarks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488,071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right="20" w:hanging="332"/>
        <w:spacing w:after="0" w:line="239" w:lineRule="auto"/>
        <w:tabs>
          <w:tab w:leader="none" w:pos="335"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certain transportation certifications, a class 1B nuclear license and other intangible assets related to obtaining such licensure. These assets are considered indefinite-lived as the decision for renewal by the Canadian Nuclear Safety Commission (“CNSC”) is primarily based on a licensee’s previous assessments, reported incidents, and annual compliance and inspection results. New applications for a license can take a significant amount of time and cost; whereas an existing</w:t>
      </w:r>
    </w:p>
    <w:p>
      <w:pPr>
        <w:sectPr>
          <w:pgSz w:w="11900" w:h="16838" w:orient="portrait"/>
          <w:cols w:equalWidth="0" w:num="1">
            <w:col w:w="11240"/>
          </w:cols>
          <w:pgMar w:left="320" w:top="130" w:right="339" w:bottom="69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69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licensee with a historical record of compliance and current operating conditions is generally expected to obtain renewal, as Nordion has demonstrated over its 75-year history. In September 2025, the CNSC renewed Nordion’s Class 1B nuclear license for a 25-year term.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include the impact of foreign currency translation. Fully amortized amounts are written off.</w:t>
      </w:r>
    </w:p>
    <w:p>
      <w:pPr>
        <w:spacing w:after="0" w:line="198"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Amortization expense for finite-lived intangible assets was $5.5 million and $5.7 million for the three months ended September 30, 2026 and 2025, respectively. $3.0 million and $3.1 million were included in “Amortization of intangible assets” in the Consolidated Statements of Operations and Comprehensive Income for the three months ended September 30, 2026 and 2025, respectively, whereas the remainder was included in “Cost of revenues.”</w:t>
      </w:r>
    </w:p>
    <w:p>
      <w:pPr>
        <w:spacing w:after="0" w:line="11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Amortization expense for finite-lived intangible assets was $16.7 million and $36.2 million for the nine months ended September 30, 2026 and 2025, respectively. $9.1 million and $27.7 million were included in “Amortization of intangible assets” in the Consolidated Statements of Operations and Comprehensive Income for the nine months ended September 30, 2026 and 2025, respectively, whereas the remainder was included in “Cost of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aggregate amortization expense for finite-lived intangible assets for each of the next five years and thereafter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284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remainder of 2026</w:t>
            </w:r>
          </w:p>
        </w:tc>
        <w:tc>
          <w:tcPr>
            <w:tcW w:w="3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5,422</w:t>
            </w:r>
          </w:p>
        </w:tc>
        <w:tc>
          <w:tcPr>
            <w:tcW w:w="0" w:type="dxa"/>
            <w:vAlign w:val="bottom"/>
          </w:tcPr>
          <w:p>
            <w:pPr>
              <w:spacing w:after="0"/>
              <w:rPr>
                <w:sz w:val="1"/>
                <w:szCs w:val="1"/>
                <w:color w:val="auto"/>
              </w:rPr>
            </w:pP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20,076</w:t>
            </w:r>
          </w:p>
        </w:tc>
        <w:tc>
          <w:tcPr>
            <w:tcW w:w="0" w:type="dxa"/>
            <w:vAlign w:val="bottom"/>
          </w:tcPr>
          <w:p>
            <w:pPr>
              <w:spacing w:after="0"/>
              <w:rPr>
                <w:sz w:val="1"/>
                <w:szCs w:val="1"/>
                <w:color w:val="auto"/>
              </w:rPr>
            </w:pP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79,476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165,529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tc>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420" w:type="dxa"/>
            <w:vAlign w:val="bottom"/>
            <w:gridSpan w:val="3"/>
            <w:vMerge w:val="continue"/>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20"/>
                <w:szCs w:val="20"/>
                <w:color w:val="auto"/>
              </w:rPr>
            </w:pPr>
          </w:p>
        </w:tc>
        <w:tc>
          <w:tcPr>
            <w:tcW w:w="14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4400" w:type="dxa"/>
            <w:vAlign w:val="bottom"/>
            <w:tcBorders>
              <w:bottom w:val="single" w:sz="8" w:color="CCEEFF"/>
            </w:tcBorders>
            <w:gridSpan w:val="2"/>
          </w:tcPr>
          <w:p>
            <w:pPr>
              <w:spacing w:after="0"/>
              <w:rPr>
                <w:sz w:val="3"/>
                <w:szCs w:val="3"/>
                <w:color w:val="auto"/>
              </w:rPr>
            </w:pPr>
          </w:p>
        </w:tc>
        <w:tc>
          <w:tcPr>
            <w:tcW w:w="3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3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 for Illinois EO litigation settlements</w:t>
            </w: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3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utilities</w:t>
            </w: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accrual</w:t>
            </w:r>
          </w:p>
        </w:tc>
        <w:tc>
          <w:tcPr>
            <w:tcW w:w="3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6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36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99,489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2840" w:type="dxa"/>
            <w:vAlign w:val="bottom"/>
            <w:tcBorders>
              <w:bottom w:val="single" w:sz="8" w:color="9A9A9A"/>
            </w:tcBorders>
          </w:tcPr>
          <w:p>
            <w:pPr>
              <w:spacing w:after="0"/>
              <w:rPr>
                <w:sz w:val="12"/>
                <w:szCs w:val="12"/>
                <w:color w:val="auto"/>
              </w:rPr>
            </w:pPr>
          </w:p>
        </w:tc>
        <w:tc>
          <w:tcPr>
            <w:tcW w:w="36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22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260" w:type="dxa"/>
            <w:vAlign w:val="bottom"/>
          </w:tcPr>
          <w:p>
            <w:pPr>
              <w:spacing w:after="0"/>
              <w:rPr>
                <w:sz w:val="16"/>
                <w:szCs w:val="16"/>
                <w:color w:val="auto"/>
              </w:rPr>
            </w:pPr>
          </w:p>
        </w:tc>
        <w:tc>
          <w:tcPr>
            <w:tcW w:w="13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Notes due 2031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747,304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due 2031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1,412,375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1,389,845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2,162,375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2,137,149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14,159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13,933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2,148,216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2,123,216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47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260" w:type="dxa"/>
            <w:vAlign w:val="bottom"/>
          </w:tcPr>
          <w:p>
            <w:pPr>
              <w:spacing w:after="0"/>
              <w:rPr>
                <w:sz w:val="16"/>
                <w:szCs w:val="16"/>
                <w:color w:val="auto"/>
              </w:rPr>
            </w:pPr>
          </w:p>
        </w:tc>
        <w:tc>
          <w:tcPr>
            <w:tcW w:w="13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470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Notes due 2031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due 2031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1,419,472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1,393,826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2,169,472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2,155,242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the debt agreements summarized below, at September 30, 2026, we and Sotera Health Holdings, LLC (“SHH”), our wholly owned subsidiary, had debt payment obligations under (a) a term loan in the amount of $1,412.4 million, (b) a revolving credit facility, which supported operationally-related letters of credit but was otherwise undrawn, and which provides us with capacity of up to $600.0 million for future potential borrowings, and (c) $750.0 million of senior secured notes. Our debt agreements also include covenants and conditions as described in Note 9, “Long-Term Debt,” to our consolidated financial statements included in our 2025 Form 10-K, and rights to request additional debt, as summarized below.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Facilities and Indenture</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13, 2019, SHH entered into senior secured first lien credit facilities (the “Senior Secured Credit Facilities”), consisting of both prepayable senior secured first lien term loans (the “Term Loans”) and a senior secured first lien revolving credit facility (the “Revolving Credit Facility”) pursuant to a first lien credit agreement (as amended through Amendment No. 7 (as defined below), the “Credit Agreement”). The Senior Secured Credit Facilities also provide SHH the right at any time and under certain conditions to request incremental term loans or incremental revolving credit commitments based on a formula defined in the Senior Secured Credit Facilities.</w:t>
      </w:r>
    </w:p>
    <w:p>
      <w:pPr>
        <w:spacing w:after="0" w:line="156"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On May 20, 2026, SHH, the Company, certain subsidiaries of the Company, each 2026 Refinancing Term Lender (as defined in the Credit Agreement) and JPMorgan Chase Bank, N.A., as first lien Administrative Agent entered into Amendment No. 7 (“Amendment No. 7”) to the Credit Agreement. Among other changes, Amendment No. 7 provides for refinancing lenders to provide repriced Term Loans to SHH in an aggregate principal amount of $1,415.9 million. Amendment No. 7 reduced the interest rate spread by 0.25% across Term Loans under the facility. The Term Loans under the credit facility shall have an applicable interest rate margin equal to Adjusted Term SOFR Rate (as defined in the Credit Agreement) plus 2.25%, with a 0.00% floor (with optionality for SHH to elect Alternate Base Rate plus 1.25% or Adjusted Daily Simple SOFR plus 2.25% (each as defined in the Credit Agreement)). The Term Loans are also subject to a “soft call” premium of 1.00% for certain repricing transactions with respect to the Term Loans that occur within the six-month period after the effective date of Amendment No. 7. The Term Loans amortize at a rate of 1.00% per annum and mature on May 30, 2031.</w:t>
      </w:r>
    </w:p>
    <w:p>
      <w:pPr>
        <w:spacing w:after="0" w:line="13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rates on borrowings under the Term Loans for the three months ended September 30, 2026 and 2025 were 5.94% and 7.22%, respectively, and 6.06% and 7.50% for the nine months ended September 30, 2026 and 2025, respectively.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On May 30, 2024, SHH, the Company, certain subsidiaries of the Company, and Wilmington Trust, National Association, as trustee, paying agent, registrar, transfer agent and notes collateral agent, entered into an Indenture (the “Indenture”) governing SHH’s $750.0 million aggregate principal amount of</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7.375% senior secured notes due 2031 (the “Secured Notes”), issued in May 2024. The Secured Notes pay interest semiannually in arrears on June 1 and December 1 of each year, which began on December 1, 2024, at a rate of 7.375% per year, and will mature on June 1, 2031.</w:t>
      </w:r>
    </w:p>
    <w:p>
      <w:pPr>
        <w:spacing w:after="0" w:line="1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September 30, 2026, the Company had $8.2 million of letters of credit issued against the Revolving Credit Facility, resulting in total availability under the Revolving Credit Facility of $591.8 million.</w:t>
      </w:r>
    </w:p>
    <w:p>
      <w:pPr>
        <w:spacing w:after="0" w:line="280"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 Our effective tax rates were 30.3% and 32.2% for the three and nine months ended September 30, 2026, respectively. For the three and nine months ended September 30, 2025, our effective tax rates were 33.6% and 44.0%, respectively.</w:t>
      </w:r>
    </w:p>
    <w:p>
      <w:pPr>
        <w:spacing w:after="0" w:line="14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Income tax expense for the three and nine months ended September 30, 2026 differed from the statutory rate primarily due to the foreign rate differential, current year permanent differences, including foreign withholding taxes and other non-deductible items, and U.S. state income taxes (net of federal tax benefit).</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Income tax expense for the three and nine months ended September 30, 2025 differed from the statutory rate primarily due to recognition of the cumulative tax effects of the change in U.S. income tax laws under the One Big Beautiful Bill Act (the "OBBBA") in the period of enactment associated with the accounting for the valuation allowance attributable to the limitation on the deductibility of interest expense. This was offset by the tax effects for a change in our indefinite reinvestment assertion with respect to a portion of our foreign earnings, the impact of the foreign rate differential and current year permanent differences.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sponsors various post-employment benefit plans including, in certain countries outside the United States, defined benefit and defined contribution pension plans, retirement compensation arrangements, and plans that provide extended health care coverage to retired employees, the majority of which relate to Nordion. The interest cost, expected return on plan assets and amortization of net actuarial gain are recorded in “Other income, net” and the service cost component is included in the same financial statement line item as the applicable employee’s wages in the Consolidated Statements of Operations and Comprehensive Income.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defined benefit pension plan disclosure relates to Nordion. Certain immaterial foreign defined benefit pension plans have been excluded from the table below. The components of net periodic pension benefit for the defined benefit plans for the three and nine months ended September 30, 2026 and 2025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496"/>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periodic benefit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(5,300)</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3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 plans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w:t>
      </w:r>
    </w:p>
    <w:p>
      <w:pPr>
        <w:spacing w:after="0" w:line="14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All non-pension post-employment benefit plans are unfunded. The components of net periodic pension cost for the other benefit plans for the three and nine months ended September 30, 2026 and 2025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vMerge w:val="continue"/>
          </w:tcPr>
          <w:p>
            <w:pPr>
              <w:spacing w:after="0"/>
              <w:rPr>
                <w:sz w:val="13"/>
                <w:szCs w:val="13"/>
                <w:color w:val="auto"/>
              </w:rPr>
            </w:pPr>
          </w:p>
        </w:tc>
        <w:tc>
          <w:tcPr>
            <w:tcW w:w="1000" w:type="dxa"/>
            <w:vAlign w:val="bottom"/>
          </w:tcPr>
          <w:p>
            <w:pPr>
              <w:jc w:val="right"/>
              <w:ind w:right="59"/>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496"/>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10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periodic cost</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 (Loss)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Amounts in accumulated other comprehensive income (loss) are presented net of the related tax. Foreign currency translation is not adjusted for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accumulated other comprehensive income (loss) balances, net of applicable tax,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Defined</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80" w:type="dxa"/>
            <w:vAlign w:val="bottom"/>
          </w:tcPr>
          <w:p>
            <w:pPr>
              <w:spacing w:after="0"/>
              <w:rPr>
                <w:sz w:val="17"/>
                <w:szCs w:val="17"/>
                <w:color w:val="auto"/>
              </w:rPr>
            </w:pPr>
          </w:p>
        </w:tc>
        <w:tc>
          <w:tcPr>
            <w:tcW w:w="112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6"/>
                <w:szCs w:val="16"/>
                <w:color w:val="auto"/>
              </w:rPr>
            </w:pPr>
          </w:p>
        </w:tc>
        <w:tc>
          <w:tcPr>
            <w:tcW w:w="11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0" w:type="dxa"/>
            <w:vAlign w:val="bottom"/>
          </w:tcPr>
          <w:p>
            <w:pPr>
              <w:spacing w:after="0"/>
              <w:rPr>
                <w:sz w:val="14"/>
                <w:szCs w:val="14"/>
                <w:color w:val="auto"/>
              </w:rPr>
            </w:pPr>
          </w:p>
        </w:tc>
        <w:tc>
          <w:tcPr>
            <w:tcW w:w="138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6"/>
                <w:szCs w:val="16"/>
                <w:b w:val="1"/>
                <w:bCs w:val="1"/>
                <w:color w:val="auto"/>
              </w:rPr>
              <w:t>Plans</w:t>
            </w:r>
          </w:p>
        </w:tc>
        <w:tc>
          <w:tcPr>
            <w:tcW w:w="180" w:type="dxa"/>
            <w:vAlign w:val="bottom"/>
          </w:tcPr>
          <w:p>
            <w:pPr>
              <w:spacing w:after="0"/>
              <w:rPr>
                <w:sz w:val="14"/>
                <w:szCs w:val="14"/>
                <w:color w:val="auto"/>
              </w:rPr>
            </w:pPr>
          </w:p>
        </w:tc>
        <w:tc>
          <w:tcPr>
            <w:tcW w:w="12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4"/>
                <w:szCs w:val="14"/>
                <w:color w:val="auto"/>
              </w:rPr>
            </w:pPr>
          </w:p>
        </w:tc>
        <w:tc>
          <w:tcPr>
            <w:tcW w:w="1120" w:type="dxa"/>
            <w:vAlign w:val="bottom"/>
          </w:tcPr>
          <w:p>
            <w:pPr>
              <w:jc w:val="center"/>
              <w:ind w:right="92"/>
              <w:spacing w:after="0" w:line="145"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July 1, 2026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3,349</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(147,773)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(143,455)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2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(2,299)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1,017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23"/>
                <w:szCs w:val="23"/>
                <w:color w:val="auto"/>
                <w:vertAlign w:val="subscript"/>
              </w:rPr>
              <w:t>(a)</w:t>
            </w:r>
          </w:p>
        </w:tc>
        <w:tc>
          <w:tcPr>
            <w:tcW w:w="180" w:type="dxa"/>
            <w:vAlign w:val="bottom"/>
            <w:shd w:val="clear" w:color="auto" w:fill="CCEEFF"/>
          </w:tcPr>
          <w:p>
            <w:pPr>
              <w:spacing w:after="0"/>
              <w:rPr>
                <w:sz w:val="19"/>
                <w:szCs w:val="19"/>
                <w:color w:val="auto"/>
              </w:rPr>
            </w:pPr>
          </w:p>
        </w:tc>
        <w:tc>
          <w:tcPr>
            <w:tcW w:w="12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vMerge w:val="continue"/>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(b)</w:t>
            </w:r>
          </w:p>
        </w:tc>
        <w:tc>
          <w:tcPr>
            <w:tcW w:w="1040" w:type="dxa"/>
            <w:vAlign w:val="bottom"/>
            <w:tcBorders>
              <w:bottom w:val="single" w:sz="8" w:color="CCEEFF"/>
            </w:tcBorders>
            <w:vMerge w:val="continue"/>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(2,299)</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984</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September 30, 2026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3,328</w:t>
            </w: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(150,072)</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1,953</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(144,791)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62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2026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3,551</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(111,551)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(1,838)</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(109,838)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2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(38,521)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3,857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(34,787)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(100) </w:t>
            </w:r>
            <w:r>
              <w:rPr>
                <w:rFonts w:ascii="Times New Roman" w:cs="Times New Roman" w:eastAsia="Times New Roman" w:hAnsi="Times New Roman"/>
                <w:sz w:val="23"/>
                <w:szCs w:val="23"/>
                <w:color w:val="auto"/>
                <w:vertAlign w:val="subscript"/>
              </w:rPr>
              <w:t>(a)</w:t>
            </w:r>
          </w:p>
        </w:tc>
        <w:tc>
          <w:tcPr>
            <w:tcW w:w="180" w:type="dxa"/>
            <w:vAlign w:val="bottom"/>
            <w:shd w:val="clear" w:color="auto" w:fill="CCEEFF"/>
          </w:tcPr>
          <w:p>
            <w:pPr>
              <w:spacing w:after="0"/>
              <w:rPr>
                <w:sz w:val="19"/>
                <w:szCs w:val="19"/>
                <w:color w:val="auto"/>
              </w:rPr>
            </w:pPr>
          </w:p>
        </w:tc>
        <w:tc>
          <w:tcPr>
            <w:tcW w:w="12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vMerge w:val="continue"/>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(b)</w:t>
            </w:r>
          </w:p>
        </w:tc>
        <w:tc>
          <w:tcPr>
            <w:tcW w:w="1040" w:type="dxa"/>
            <w:vAlign w:val="bottom"/>
            <w:tcBorders>
              <w:bottom w:val="single" w:sz="8" w:color="CCEEFF"/>
            </w:tcBorders>
            <w:vMerge w:val="continue"/>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(38,521)</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3,791</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September 30, 2026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3,328</w:t>
            </w: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(150,072)</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1,953</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(144,791)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36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Defined</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16"/>
                <w:szCs w:val="16"/>
                <w:color w:val="auto"/>
              </w:rPr>
            </w:pPr>
          </w:p>
        </w:tc>
        <w:tc>
          <w:tcPr>
            <w:tcW w:w="112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7"/>
                <w:szCs w:val="17"/>
                <w:color w:val="auto"/>
              </w:rPr>
            </w:pPr>
          </w:p>
        </w:tc>
        <w:tc>
          <w:tcPr>
            <w:tcW w:w="112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Rate</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0" w:type="dxa"/>
            <w:vAlign w:val="bottom"/>
          </w:tcPr>
          <w:p>
            <w:pPr>
              <w:spacing w:after="0"/>
              <w:rPr>
                <w:sz w:val="14"/>
                <w:szCs w:val="14"/>
                <w:color w:val="auto"/>
              </w:rPr>
            </w:pPr>
          </w:p>
        </w:tc>
        <w:tc>
          <w:tcPr>
            <w:tcW w:w="140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6"/>
                <w:szCs w:val="16"/>
                <w:b w:val="1"/>
                <w:bCs w:val="1"/>
                <w:color w:val="auto"/>
              </w:rPr>
              <w:t>Plans</w:t>
            </w:r>
          </w:p>
        </w:tc>
        <w:tc>
          <w:tcPr>
            <w:tcW w:w="200" w:type="dxa"/>
            <w:vAlign w:val="bottom"/>
          </w:tcPr>
          <w:p>
            <w:pPr>
              <w:spacing w:after="0"/>
              <w:rPr>
                <w:sz w:val="14"/>
                <w:szCs w:val="14"/>
                <w:color w:val="auto"/>
              </w:rPr>
            </w:pPr>
          </w:p>
        </w:tc>
        <w:tc>
          <w:tcPr>
            <w:tcW w:w="12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4"/>
                <w:szCs w:val="14"/>
                <w:color w:val="auto"/>
              </w:rPr>
            </w:pPr>
          </w:p>
        </w:tc>
        <w:tc>
          <w:tcPr>
            <w:tcW w:w="1120" w:type="dxa"/>
            <w:vAlign w:val="bottom"/>
          </w:tcPr>
          <w:p>
            <w:pPr>
              <w:jc w:val="center"/>
              <w:ind w:right="92"/>
              <w:spacing w:after="0" w:line="145"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July 1, 2025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1"/>
                <w:szCs w:val="11"/>
                <w:color w:val="auto"/>
              </w:rPr>
              <w:t>(a)</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(b)</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(12)</w:t>
            </w:r>
          </w:p>
        </w:tc>
        <w:tc>
          <w:tcPr>
            <w:tcW w:w="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(17,178)</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September 30,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(125,067)</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6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2025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(209,666)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(208,251)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1"/>
                <w:szCs w:val="11"/>
                <w:color w:val="auto"/>
              </w:rPr>
              <w:t>(a)</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6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(b)</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84,599</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82,744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September 30,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(125,067)</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00" w:right="240" w:hanging="492"/>
        <w:spacing w:after="0" w:line="282" w:lineRule="auto"/>
        <w:tabs>
          <w:tab w:leader="none" w:pos="49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defined benefit pension plans, amounts reclassified from accumulated other comprehensive income (loss) are recorded to “Other income, net” within the Consolidated Statements of Operations and Comprehensive Income.</w:t>
      </w:r>
    </w:p>
    <w:p>
      <w:pPr>
        <w:spacing w:after="0" w:line="53" w:lineRule="exact"/>
        <w:rPr>
          <w:rFonts w:ascii="Times New Roman" w:cs="Times New Roman" w:eastAsia="Times New Roman" w:hAnsi="Times New Roman"/>
          <w:sz w:val="18"/>
          <w:szCs w:val="18"/>
          <w:color w:val="auto"/>
        </w:rPr>
      </w:pPr>
    </w:p>
    <w:p>
      <w:pPr>
        <w:ind w:left="500" w:right="500" w:hanging="492"/>
        <w:spacing w:after="0" w:line="282" w:lineRule="auto"/>
        <w:tabs>
          <w:tab w:leader="none" w:pos="4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interest rate derivatives, amounts reclassified from accumulated other comprehensive income (loss) are recorded to “Interest expense, net” within the Consolidated Statements of Operations and Comprehensive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2025 and prior years, in periods in which the Company had net income, earnings per share was calculated using the two-class method. This method was required as unvested pre-IPO restricted stock awards had the right to receive non-forfeitable dividends or dividend equivalents if the Company were to declare dividends on its common stock. Pursuant to the two-class method, earnings for each period were allocated on a pro-rata basis to common stockholders and unvested pre-IPO restricted stock awards. Diluted earnings per share was computed using the more dilutive of the (a) two-class method and (b) treasury stock method, as applicable, to the potentially dilutive instruments.</w:t>
      </w:r>
    </w:p>
    <w:p>
      <w:pPr>
        <w:spacing w:after="0" w:line="1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periods in which the Company had a net loss, the two-class method was not applicable because the unvested pre-IPO restricted stock awards did not participate in losses.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Beginning in 2026, earnings per share is calculated using the treasury stock method. As all pre-IPO restricted stock awards were fully vested in the third quarter of 2025, the use of the two-class method is no longer required. Diluted earnings per share represents the weighted average number of common shares outstanding plus the dilutive effect of potential common shares calculated using the treasury stock method.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basic and diluted earnings per common share are calculated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 and share amounts (except per share amounts)</w:t>
            </w: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434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58,391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48,400</w:t>
            </w:r>
          </w:p>
        </w:tc>
        <w:tc>
          <w:tcPr>
            <w:tcW w:w="18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138,623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4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Allocation to participating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attributable to Sotera Health Company common shareholders</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58,391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48,400</w:t>
            </w:r>
          </w:p>
        </w:tc>
        <w:tc>
          <w:tcPr>
            <w:tcW w:w="180" w:type="dxa"/>
            <w:vAlign w:val="bottom"/>
          </w:tcPr>
          <w:p>
            <w:pPr>
              <w:spacing w:after="0"/>
              <w:rPr>
                <w:sz w:val="20"/>
                <w:szCs w:val="20"/>
                <w:color w:val="auto"/>
              </w:rPr>
            </w:pPr>
          </w:p>
        </w:tc>
        <w:tc>
          <w:tcPr>
            <w:tcW w:w="26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138,623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285,997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284,067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285,557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Borders>
              <w:bottom w:val="single" w:sz="8" w:color="CCEEFF"/>
            </w:tcBorders>
            <w:shd w:val="clear" w:color="auto" w:fill="CCEEFF"/>
          </w:tcPr>
          <w:p>
            <w:pPr>
              <w:spacing w:after="0"/>
              <w:rPr>
                <w:sz w:val="24"/>
                <w:szCs w:val="24"/>
                <w:color w:val="auto"/>
              </w:rPr>
            </w:pPr>
          </w:p>
        </w:tc>
        <w:tc>
          <w:tcPr>
            <w:tcW w:w="64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potential common shares</w:t>
            </w: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289,217</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286,745</w:t>
            </w:r>
          </w:p>
        </w:tc>
        <w:tc>
          <w:tcPr>
            <w:tcW w:w="1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288,271</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per common share attributable to Sotera Health Company common</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vMerge w:val="restart"/>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shareholders - basic</w:t>
            </w:r>
          </w:p>
        </w:tc>
        <w:tc>
          <w:tcPr>
            <w:tcW w:w="2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per common share attributable to Sotera Health Company common</w:t>
            </w:r>
          </w:p>
        </w:tc>
        <w:tc>
          <w:tcPr>
            <w:tcW w:w="26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shareholders - diluted</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earnings per share does not consider the following potential common shares as the effect would be anti-dilutive: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share amounts</w:t>
            </w:r>
          </w:p>
        </w:tc>
        <w:tc>
          <w:tcPr>
            <w:tcW w:w="10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00" w:type="dxa"/>
            <w:vAlign w:val="bottom"/>
            <w:gridSpan w:val="2"/>
            <w:vMerge w:val="continue"/>
          </w:tcPr>
          <w:p>
            <w:pPr>
              <w:spacing w:after="0"/>
              <w:rPr>
                <w:sz w:val="13"/>
                <w:szCs w:val="13"/>
                <w:color w:val="auto"/>
              </w:rPr>
            </w:pPr>
          </w:p>
        </w:tc>
        <w:tc>
          <w:tcPr>
            <w:tcW w:w="106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780" w:type="dxa"/>
            <w:vAlign w:val="bottom"/>
          </w:tcPr>
          <w:p>
            <w:pPr>
              <w:jc w:val="right"/>
              <w:ind w:right="5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gridSpan w:val="3"/>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760" w:type="dxa"/>
            <w:vAlign w:val="bottom"/>
          </w:tcPr>
          <w:p>
            <w:pPr>
              <w:jc w:val="right"/>
              <w:ind w:right="5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760" w:type="dxa"/>
            <w:vAlign w:val="bottom"/>
            <w:tcBorders>
              <w:top w:val="single" w:sz="8" w:color="auto"/>
              <w:bottom w:val="single" w:sz="8" w:color="CCEEFF"/>
            </w:tcBorders>
          </w:tcPr>
          <w:p>
            <w:pPr>
              <w:spacing w:after="0"/>
              <w:rPr>
                <w:sz w:val="4"/>
                <w:szCs w:val="4"/>
                <w:color w:val="auto"/>
              </w:rPr>
            </w:pPr>
          </w:p>
        </w:tc>
        <w:tc>
          <w:tcPr>
            <w:tcW w:w="264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b w:val="1"/>
                <w:bCs w:val="1"/>
                <w:color w:val="auto"/>
              </w:rPr>
              <w:t>2,956</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b w:val="1"/>
                <w:bCs w:val="1"/>
                <w:color w:val="auto"/>
              </w:rPr>
              <w:t>3,973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1060" w:type="dxa"/>
            <w:vAlign w:val="bottom"/>
          </w:tcPr>
          <w:p>
            <w:pPr>
              <w:spacing w:after="0"/>
              <w:rPr>
                <w:sz w:val="21"/>
                <w:szCs w:val="21"/>
                <w:color w:val="auto"/>
              </w:rPr>
            </w:pPr>
          </w:p>
        </w:tc>
        <w:tc>
          <w:tcPr>
            <w:tcW w:w="1780" w:type="dxa"/>
            <w:vAlign w:val="bottom"/>
          </w:tcPr>
          <w:p>
            <w:pPr>
              <w:jc w:val="right"/>
              <w:ind w:right="1195"/>
              <w:spacing w:after="0"/>
              <w:rPr>
                <w:sz w:val="20"/>
                <w:szCs w:val="20"/>
                <w:color w:val="auto"/>
              </w:rPr>
            </w:pPr>
            <w:r>
              <w:rPr>
                <w:rFonts w:ascii="Times New Roman" w:cs="Times New Roman" w:eastAsia="Times New Roman" w:hAnsi="Times New Roman"/>
                <w:sz w:val="18"/>
                <w:szCs w:val="18"/>
                <w:b w:val="1"/>
                <w:bCs w:val="1"/>
                <w:color w:val="auto"/>
              </w:rPr>
              <w:t>11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60" w:type="dxa"/>
            <w:vAlign w:val="bottom"/>
          </w:tcPr>
          <w:p>
            <w:pPr>
              <w:jc w:val="right"/>
              <w:ind w:right="1175"/>
              <w:spacing w:after="0"/>
              <w:rPr>
                <w:sz w:val="20"/>
                <w:szCs w:val="20"/>
                <w:color w:val="auto"/>
              </w:rPr>
            </w:pPr>
            <w:r>
              <w:rPr>
                <w:rFonts w:ascii="Times New Roman" w:cs="Times New Roman" w:eastAsia="Times New Roman" w:hAnsi="Times New Roman"/>
                <w:sz w:val="18"/>
                <w:szCs w:val="18"/>
                <w:b w:val="1"/>
                <w:bCs w:val="1"/>
                <w:color w:val="auto"/>
              </w:rPr>
              <w:t>150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anti-dilutive securities</w:t>
            </w:r>
          </w:p>
        </w:tc>
        <w:tc>
          <w:tcPr>
            <w:tcW w:w="106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b w:val="1"/>
                <w:bCs w:val="1"/>
                <w:color w:val="auto"/>
              </w:rPr>
              <w:t>2,967</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b w:val="1"/>
                <w:bCs w:val="1"/>
                <w:color w:val="auto"/>
              </w:rPr>
              <w:t>4,123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may be or are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 We assess these regulatory and legal actions to determine if a contingent liability should be recorded. In making these determinations, we may, depending on the nature of the matter, consult with internal and external legal counsel and technical experts.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establish reserves for specific liabilities in connection with regulatory and legal actions that we determine to be both probable and reasonably estimable. The outcomes of regulatory and legal actions can be difficult to predict and are often resolved over long periods of time, making our probability and estimability determinations highly judgmental. Probability determinations require the analysis of various possible outcomes, assessments of potential damages and the impact of multiple factors beyond our control, including potential actions by others, interpretations of the law, and changes and developments in relevant facts, circumstances, regulations and other laws. If a potentially material loss contingency is not probable, but is reasonably possible, or is probable but cannot be estimated, then the nature of the contingent liability is disclosed, together with an estimate of the range of possible loss if the range is determinable and material. In certain of the matters described below, we are not able to estimate potential liability because of the uncertainties related to the outcome(s) and/or the amount(s) or range(s) of loss. The ultimate resolution of pending regulatory and legal matters in future periods, including the matters described below,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regarding those matters set forth below is as of September 30, 2026, except as otherwise indicated.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Ethylene Oxide Tort Litigation</w:t>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Sterigenics U.S., LLC (“Sterigenics”) and other medical supply sterilization companies have been subjected to tort lawsuits alleging various injuries caused by low-level environmental exposure to EO used at or emitted or released from sterilization facilities. Those lawsuits, as detailed further below, are individual claims, as opposed to class 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October 29, 2026, subsidiaries of the Company and other parties are defendants in lawsuits pending in Los Angeles County Superior Court in which the plaintiffs assert approximately 170 claims for personal injury or wrongful death allegedly resulting from use, emissions and releases of EO from Sterigenics’ Vernon facilities (the “Vernon Cases”). The Vernon Cases have been assigned to one judge, with initial trials scheduled for January and April 2027. Eight individual claims have been selected as the “First Plaintiff Group” and are being prioritized for discovery.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Georgia</w:t>
      </w:r>
    </w:p>
    <w:p>
      <w:pPr>
        <w:spacing w:after="0" w:line="18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Subsidiaries of the Company and other parties are defendants in lawsuits in Georgia in which plaintiffs allege personal injuries, wrongful death and property devaluation resulting from use, emissions and releases of EO from or at Sterigenics’ Atlanta facility.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October 29, 2026, approximately 550 personal injury and wrongful death claims filed in the State Court of Cobb County (the “Georgia Trial Court”) are assigned to a single judge (the “Georgia Personal Injury Cases”). The Georgia Personal Injury Cases are governed in the Georgia Trial Court by case management orders pursuant to which general causation issues in a pool of eight cases were to be adjudicated in Phase 1 and specific causation issues in those pool cases were to be adjudicated in Phase 2; the remaining Georgia Personal Injury Cases, including 15 cases that include both personal injury and property claims and one personal injury lawsuit that is pending before a different judge, are stayed.</w:t>
      </w:r>
    </w:p>
    <w:p>
      <w:pPr>
        <w:spacing w:after="0" w:line="1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November 22, 2024, the Georgia Trial Court issued a Phase 1 ruling on general causation issues granting in part and denying in part defendants’ motions to exclude certain Phase 1 expert testimony and defendants’ motions for summary judgment on Phase 1 issues (the “First General Causation Ruling”). Plaintiffs and defendants appealed the First General Causation Ruling to the Court of Appeals of Georgia (the “Phase 1 General Causation Appeals”). While the Phase 1 General Causation Appeals were pending, three of the pool cases, selected by plaintiffs’ counsel, proceeded to Phase 2 (the “Phase 2 Cases”). On October 17, 2025, the Georgia Trial Court issued its Phase 2 rulings on specific causation issues granting Sterigenics’ motions to exclude three of plaintiffs’ specific causation expert witnesses and granting Sterigenics’ motions for summary judgment in all three Phase 2 Cases (the “Specific Causation Ruling”). On October 28, 2025, the Georgia Trial Court entered an order also adopting its Specific Causation Ruling with respect to our subsidiary Sotera Health LLC. Plaintiffs in the Phase 2 Cases appealed the Specific Causation Ruling to the Court of Appeals of Georgia (the “Phase 2 Specific Causation Appeals”).</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31, 2025, the Court of Appeals of Georgia ruled on the Phase 1 General Causation Appeals, finding that, as Sterigenics contended on appeal, the First General Causation Ruling failed to apply the proper standard for determining the admissibility of expert testimony on general causation, vacating the First General Causation Ruling and remanding the pool cases to the Georgia Trial Court with instructions to apply the proper standard in ruling on general causation issues. The Court of Appeals also instructed the Georgia Trial Court to consider whether plaintiffs can prove general causation through epidemiological evidence and background risks of the diseases at issue. On March 30, 2026, the Georgia Trial Court granted defendants’ motions to exclude plaintiffs’ general causation experts and entered summary judgment for defendants in the five remanded pool cases (the “Second General Causation Ruling and Judgment”). Plaintiffs in the five remanded pool cases appealed the Second General Causation Ruling and Judgment to the Court of Appeals of Georgia (the “Second Phase 1 General Causation Appeals”). Proceedings in the Georgia Trial Court are stayed pending resolution of the Second Phase 1 General Causation Appeals and the Phase 2 Specific Causation Appeals.</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Subsidiaries of the Company and other parties are also defendants in a lawsuit filed in May 2020 in which employees of a sterilization customer of Sterigenics allege they were injured while working at the customer’s distribution facility by exposure to residual EO allegedly emanating from products of the customer that had been sterilized by Sterigenics. The case is proceeding in the Superior Court of Cobb County on plaintiffs’ Fifth Amended Complaint. Pursuant to the customer’s contract with Sterigenics, the customer is indemnifying Sterigenics against this lawsuit.</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October 29, 2026, approximately 305 lawsuits have been filed in the Georgia Trial Court against subsidiaries of the Company and other parties in which plaintiffs allege property devaluation resulting from use, emissions and releases of EO from or at Sterigenics’ Atlanta facility. These cases have been consolidated for pretrial purposes (the “Consolidated Property Cases”). Proceedings in a pool of nine of the Consolidated Property Cases are governed by case management orders pursuant to which the parties completed discovery and defendants filed motions to exclude certain plaintiffs’ expert testimony and motions for summary judgment, which remain pending. The remaining cases are stayed.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Illinois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Lawsuits against subsidiaries of the Company and other parties have been filed in the Circuit Court of Cook County, Illinois, by plaintiffs alleging personal injury or wrongful death resulting from use, emissions and releases of EO from Sterigenics’ former Willowbrook facility (the “Illinois Cases”). As of October 29, 2026, subsidiaries of the Company and other parties are defendants in approximately 25 Illinois Cases that are in various stages of pleadings, motions practice and fact discovery.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Mexico</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June 24, 2026, the Company and certain subsidiaries agreed with the State of New Mexico to settle the lawsuit filed by the New Mexico Attorney General in the Third Judicial District Court, Doña Ana County, New Mexico (the “Trial Court”) in December 2020. The settlement, which was entered into without any admission of liability or wrongdoing by any defendant, fully and finally resolved all claims asserted, or that could have been asserted, in the litigation for an amount that was not material to the Company. On July 7, 2026, the Trial Court entered a Consent Order Dissolving Preliminary Injunction and an Order of Dismissal With Prejudice.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 EO lawsuits have been threatened relating to Sterigenics’ current and former EO sterilization facilities in the United States and may be filed in the future. These threats of additional EO lawsuits are comparable to threats that have similarly been made against other companies within our industry. Based on our view of the strength of the science and related evidence that emissions of EO from Sterigenics’ operations have not caused and could not have caused the harms alleged in such lawsuits, we believe that losses in the remaining or future EO cases through trials and any appeals that may prove necessary are not probable. Although the Company is vigorously defending against the EO tort claims, future settlements of EO tort claims are reasonably possible. The previously disclosed settlements of certain cases related to our facilities in Willowbrook and Atlanta were driven by dynamics unique to the claims that were settled and thus should not give rise to presumptions that the Company will settle additional EO tort claims and/or that any such settlements will be for comparable amounts.</w:t>
      </w:r>
    </w:p>
    <w:p>
      <w:pPr>
        <w:spacing w:after="0" w:line="16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Potential trial and settlement outcomes can vary widely based on a host of factors. EO tort lawsuits will be presided over by different judges, tried by different counsel presenting different evidence and decided by different juries. The substantive and procedural laws of jurisdictions vary and can meaningfully impact the litigation process and outcome of a case. Each plaintiff’s claim involves unique facts and evidence, including the circumstances of the plaintiff’s alleged exposure, the type and severity of the plaintiff’s disease, the plaintiff’s medical history and course of treatment, the location of and other factors related to the plaintiff’s real property, and other circumstances. The outcomes of trials before juries are rarely certain and a judgment rendered or settlement reached in one case is not necessarily representative of potential outcomes of other seemingly comparable cases. As a result, it is not possible to estimate a reasonably possible loss or range of loss with respect to any future EO tort lawsuit, trial or settlement. We are vigorously defending the EO tort lawsuits.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Financial Instruments and Financial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use derivatives for trading or speculative purposes and are not a party to leveraged derivatives.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in Hedge Relationships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loss” on our Consolidated Balance Sheets.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March 2025, we entered into an interest rate swap agreement with a notional amount of $400.0 million. The interest rate swap was effective on August 31, 2025 and expires on August 31, 2027. We receive interest at the one-month Term SOFR rate and pay a fixed interest rate under the terms of the swap agreement. In March 2023, we entered into an interest rate swap agreement with a notional amount of $400.0 million. The interest rate swap was effective on August 23, 2023 and expired on August 23, 2025. We received interest at the one-month Term SOFR rate and paid a fixed interest rate under the terms of the swap agreement.</w:t>
      </w:r>
    </w:p>
    <w:p>
      <w:pPr>
        <w:spacing w:after="0" w:line="1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designated both interest rate swaps as cash flow hedges designed to hedge the variability of cash flows attributable to changes in the SOFR benchmark interest rate of our Term Loans (or any successor thereto).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in Hedge Relationships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also enters into foreign currency forward contracts to manage foreign currency exchange rate risk of our intercompany loans in certain of our international subsidiaries and non-functional currency assets and liabilities. The foreign currency forward contracts expire on a monthly basis. These foreign currency derivatives are not designated in hedge relationships.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notional and fair values of our derivative instruments: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U.S. dollars; notional in millions, fair value in thousands)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4"/>
          </w:tcPr>
          <w:p>
            <w:pPr>
              <w:ind w:left="660"/>
              <w:spacing w:after="0" w:line="15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3"/>
          </w:tcPr>
          <w:p>
            <w:pPr>
              <w:jc w:val="right"/>
              <w:ind w:right="713"/>
              <w:spacing w:after="0" w:line="155" w:lineRule="exact"/>
              <w:rPr>
                <w:sz w:val="20"/>
                <w:szCs w:val="20"/>
                <w:color w:val="auto"/>
              </w:rPr>
            </w:pPr>
            <w:r>
              <w:rPr>
                <w:rFonts w:ascii="Times New Roman" w:cs="Times New Roman" w:eastAsia="Times New Roman" w:hAnsi="Times New Roman"/>
                <w:sz w:val="16"/>
                <w:szCs w:val="16"/>
                <w:b w:val="1"/>
                <w:bCs w:val="1"/>
                <w:color w:val="auto"/>
              </w:rPr>
              <w:t>Fair Value</w:t>
            </w:r>
          </w:p>
        </w:tc>
      </w:tr>
      <w:tr>
        <w:trPr>
          <w:trHeight w:val="48"/>
        </w:trPr>
        <w:tc>
          <w:tcPr>
            <w:tcW w:w="20" w:type="dxa"/>
            <w:vAlign w:val="bottom"/>
          </w:tcPr>
          <w:p>
            <w:pPr>
              <w:spacing w:after="0"/>
              <w:rPr>
                <w:sz w:val="4"/>
                <w:szCs w:val="4"/>
                <w:color w:val="auto"/>
              </w:rPr>
            </w:pPr>
          </w:p>
        </w:tc>
        <w:tc>
          <w:tcPr>
            <w:tcW w:w="3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94"/>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00" w:type="dxa"/>
            <w:vAlign w:val="bottom"/>
          </w:tcPr>
          <w:p>
            <w:pPr>
              <w:spacing w:after="0"/>
              <w:rPr>
                <w:sz w:val="16"/>
                <w:szCs w:val="16"/>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Derivative</w:t>
            </w:r>
          </w:p>
        </w:tc>
      </w:tr>
      <w:tr>
        <w:trPr>
          <w:trHeight w:val="212"/>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Pr>
          <w:p>
            <w:pPr>
              <w:spacing w:after="0"/>
              <w:rPr>
                <w:sz w:val="18"/>
                <w:szCs w:val="18"/>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33"/>
        </w:trPr>
        <w:tc>
          <w:tcPr>
            <w:tcW w:w="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3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2,746</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37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Embedded derivatives</w:t>
            </w: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233.8</w:t>
            </w:r>
          </w:p>
        </w:tc>
        <w:tc>
          <w:tcPr>
            <w:tcW w:w="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(a)</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2,033</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5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(a)</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1,162</w:t>
            </w: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r>
      <w:tr>
        <w:trPr>
          <w:trHeight w:val="263"/>
        </w:trPr>
        <w:tc>
          <w:tcPr>
            <w:tcW w:w="20" w:type="dxa"/>
            <w:vAlign w:val="bottom"/>
          </w:tcPr>
          <w:p>
            <w:pPr>
              <w:spacing w:after="0"/>
              <w:rPr>
                <w:sz w:val="22"/>
                <w:szCs w:val="22"/>
                <w:color w:val="auto"/>
              </w:rPr>
            </w:pPr>
          </w:p>
        </w:tc>
        <w:tc>
          <w:tcPr>
            <w:tcW w:w="37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644.2</w:t>
            </w:r>
          </w:p>
        </w:tc>
        <w:tc>
          <w:tcPr>
            <w:tcW w:w="4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4,794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5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1,162</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w:t>
            </w: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Represents the total notional amounts for certain of the Company’s supply and sales contracts accounted for as embedded derivatives.</w:t>
      </w:r>
    </w:p>
    <w:p>
      <w:pPr>
        <w:spacing w:after="0" w:line="19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Embedded derivative assets/liabilities and foreign currency forward contracts are included in “Prepaid expenses and other current assets” and “Accrued liabilities” on our Consolidated Balance Sheets depending upon their position at period end. Interest rate swaps are included in “Other assets” and “Noncurrent liabilities” on the Consolidated Balance Sheets depending upon their position at period end.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of our derivative instruments for the periods presented, and the line item they are recorded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6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gridSpan w:val="2"/>
            <w:vMerge w:val="continue"/>
          </w:tcPr>
          <w:p>
            <w:pPr>
              <w:spacing w:after="0"/>
              <w:rPr>
                <w:sz w:val="13"/>
                <w:szCs w:val="13"/>
                <w:color w:val="auto"/>
              </w:rPr>
            </w:pPr>
          </w:p>
        </w:tc>
        <w:tc>
          <w:tcPr>
            <w:tcW w:w="1420" w:type="dxa"/>
            <w:vAlign w:val="bottom"/>
          </w:tcPr>
          <w:p>
            <w:pPr>
              <w:jc w:val="right"/>
              <w:ind w:right="616"/>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020" w:type="dxa"/>
            <w:vAlign w:val="bottom"/>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c>
          <w:tcPr>
            <w:tcW w:w="1440" w:type="dxa"/>
            <w:vAlign w:val="bottom"/>
          </w:tcPr>
          <w:p>
            <w:pPr>
              <w:jc w:val="right"/>
              <w:ind w:right="616"/>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020" w:type="dxa"/>
            <w:vAlign w:val="bottom"/>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45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interest rate derivatives recorded in interest expense, net</w:t>
            </w:r>
            <w:r>
              <w:rPr>
                <w:rFonts w:ascii="Times New Roman" w:cs="Times New Roman" w:eastAsia="Times New Roman" w:hAnsi="Times New Roman"/>
                <w:sz w:val="23"/>
                <w:szCs w:val="23"/>
                <w:color w:val="auto"/>
                <w:vertAlign w:val="superscript"/>
              </w:rPr>
              <w:t>(a)</w:t>
            </w:r>
          </w:p>
        </w:tc>
        <w:tc>
          <w:tcPr>
            <w:tcW w:w="14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(44)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(89)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loss on embedded derivatives recorded in other income, net</w:t>
            </w: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(992)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80" w:type="dxa"/>
            <w:vAlign w:val="bottom"/>
          </w:tcPr>
          <w:p>
            <w:pPr>
              <w:spacing w:after="0"/>
              <w:rPr>
                <w:sz w:val="21"/>
                <w:szCs w:val="21"/>
                <w:color w:val="auto"/>
              </w:rPr>
            </w:pPr>
          </w:p>
        </w:tc>
        <w:tc>
          <w:tcPr>
            <w:tcW w:w="1440" w:type="dxa"/>
            <w:vAlign w:val="bottom"/>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(310)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 (gain) on foreign currency forward contracts recorded in foreign</w:t>
            </w:r>
          </w:p>
        </w:tc>
        <w:tc>
          <w:tcPr>
            <w:tcW w:w="1420" w:type="dxa"/>
            <w:vAlign w:val="bottom"/>
            <w:vMerge w:val="restart"/>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111</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(504)</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1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exchange gain, net</w:t>
            </w:r>
          </w:p>
        </w:tc>
        <w:tc>
          <w:tcPr>
            <w:tcW w:w="1420" w:type="dxa"/>
            <w:vAlign w:val="bottom"/>
            <w:tcBorders>
              <w:bottom w:val="single" w:sz="8" w:color="CCEEFF"/>
            </w:tcBorders>
            <w:vMerge w:val="continue"/>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vMerge w:val="continue"/>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loss on foreign currency forward contracts recorded in foreign</w:t>
            </w:r>
          </w:p>
        </w:tc>
        <w:tc>
          <w:tcPr>
            <w:tcW w:w="1420" w:type="dxa"/>
            <w:vAlign w:val="bottom"/>
            <w:vMerge w:val="restart"/>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(53)</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(14)</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exchange gain, net</w:t>
            </w:r>
          </w:p>
        </w:tc>
        <w:tc>
          <w:tcPr>
            <w:tcW w:w="142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nine months ended September 30, 2026 and 2025, amounts represent settlement payments on interest rate swaps.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financial assets, including cash and cash equivalents, are exposed to credit risk.</w:t>
      </w:r>
    </w:p>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also exposed, in our normal course of business, to credit risk from our customers. As of September 30, 2026 and December 31, 2025, accounts receivable was net of an allowance for uncollectible accounts of $1.8 million and $3.0 million, respectively.</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13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the fair value of our financial assets and liabilities: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560" w:type="dxa"/>
            <w:vAlign w:val="bottom"/>
            <w:tcBorders>
              <w:top w:val="single" w:sz="8" w:color="auto"/>
            </w:tcBorders>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60"/>
        </w:trPr>
        <w:tc>
          <w:tcPr>
            <w:tcW w:w="52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560" w:type="dxa"/>
            <w:vAlign w:val="bottom"/>
            <w:tcBorders>
              <w:right w:val="single" w:sz="8" w:color="auto"/>
            </w:tcBorders>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r>
              <w:rPr>
                <w:rFonts w:ascii="Times New Roman" w:cs="Times New Roman" w:eastAsia="Times New Roman" w:hAnsi="Times New Roman"/>
                <w:sz w:val="23"/>
                <w:szCs w:val="23"/>
                <w:color w:val="auto"/>
                <w:vertAlign w:val="superscript"/>
              </w:rPr>
              <w:t>(a)</w:t>
            </w: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522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 swap asset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2,746</w:t>
            </w:r>
          </w:p>
        </w:tc>
        <w:tc>
          <w:tcPr>
            <w:tcW w:w="0" w:type="dxa"/>
            <w:vAlign w:val="bottom"/>
          </w:tcPr>
          <w:p>
            <w:pPr>
              <w:spacing w:after="0"/>
              <w:rPr>
                <w:sz w:val="1"/>
                <w:szCs w:val="1"/>
                <w:color w:val="auto"/>
              </w:rPr>
            </w:pPr>
          </w:p>
        </w:tc>
      </w:tr>
      <w:tr>
        <w:trPr>
          <w:trHeight w:val="38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r>
              <w:rPr>
                <w:rFonts w:ascii="Times New Roman" w:cs="Times New Roman" w:eastAsia="Times New Roman" w:hAnsi="Times New Roman"/>
                <w:sz w:val="23"/>
                <w:szCs w:val="23"/>
                <w:color w:val="auto"/>
                <w:vertAlign w:val="superscript"/>
              </w:rPr>
              <w:t>(b)</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70"/>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 liabilities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70"/>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Embedded derivative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2,033</w:t>
            </w:r>
          </w:p>
        </w:tc>
        <w:tc>
          <w:tcPr>
            <w:tcW w:w="0" w:type="dxa"/>
            <w:vAlign w:val="bottom"/>
          </w:tcPr>
          <w:p>
            <w:pPr>
              <w:spacing w:after="0"/>
              <w:rPr>
                <w:sz w:val="1"/>
                <w:szCs w:val="1"/>
                <w:color w:val="auto"/>
              </w:rPr>
            </w:pPr>
          </w:p>
        </w:tc>
      </w:tr>
      <w:tr>
        <w:trPr>
          <w:trHeight w:val="270"/>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2,390</w:t>
            </w:r>
          </w:p>
        </w:tc>
        <w:tc>
          <w:tcPr>
            <w:tcW w:w="0" w:type="dxa"/>
            <w:vAlign w:val="bottom"/>
          </w:tcPr>
          <w:p>
            <w:pPr>
              <w:spacing w:after="0"/>
              <w:rPr>
                <w:sz w:val="1"/>
                <w:szCs w:val="1"/>
                <w:color w:val="auto"/>
              </w:rPr>
            </w:pPr>
          </w:p>
        </w:tc>
      </w:tr>
      <w:tr>
        <w:trPr>
          <w:trHeight w:val="302"/>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r>
              <w:rPr>
                <w:rFonts w:ascii="Times New Roman" w:cs="Times New Roman" w:eastAsia="Times New Roman" w:hAnsi="Times New Roman"/>
                <w:sz w:val="23"/>
                <w:szCs w:val="23"/>
                <w:color w:val="auto"/>
                <w:vertAlign w:val="superscript"/>
              </w:rPr>
              <w:t>(c)</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Term Loan, due 2031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13,933</w:t>
            </w:r>
          </w:p>
        </w:tc>
        <w:tc>
          <w:tcPr>
            <w:tcW w:w="0" w:type="dxa"/>
            <w:vAlign w:val="bottom"/>
          </w:tcPr>
          <w:p>
            <w:pPr>
              <w:spacing w:after="0"/>
              <w:rPr>
                <w:sz w:val="1"/>
                <w:szCs w:val="1"/>
                <w:color w:val="auto"/>
              </w:rPr>
            </w:pPr>
          </w:p>
        </w:tc>
      </w:tr>
      <w:tr>
        <w:trPr>
          <w:trHeight w:val="38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(c)</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Secured Notes, due 2031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747,304</w:t>
            </w:r>
          </w:p>
        </w:tc>
        <w:tc>
          <w:tcPr>
            <w:tcW w:w="0" w:type="dxa"/>
            <w:vAlign w:val="bottom"/>
          </w:tcPr>
          <w:p>
            <w:pPr>
              <w:spacing w:after="0"/>
              <w:rPr>
                <w:sz w:val="1"/>
                <w:szCs w:val="1"/>
                <w:color w:val="auto"/>
              </w:rPr>
            </w:pPr>
          </w:p>
        </w:tc>
      </w:tr>
      <w:tr>
        <w:trPr>
          <w:trHeight w:val="270"/>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Term Loan, due 2031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1,375,912</w:t>
            </w:r>
          </w:p>
        </w:tc>
        <w:tc>
          <w:tcPr>
            <w:tcW w:w="0" w:type="dxa"/>
            <w:vAlign w:val="bottom"/>
          </w:tcPr>
          <w:p>
            <w:pPr>
              <w:spacing w:after="0"/>
              <w:rPr>
                <w:sz w:val="1"/>
                <w:szCs w:val="1"/>
                <w:color w:val="auto"/>
              </w:rPr>
            </w:pPr>
          </w:p>
        </w:tc>
      </w:tr>
      <w:tr>
        <w:trPr>
          <w:trHeight w:val="39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Obligations (with current portion)</w:t>
            </w:r>
            <w:r>
              <w:rPr>
                <w:rFonts w:ascii="Times New Roman" w:cs="Times New Roman" w:eastAsia="Times New Roman" w:hAnsi="Times New Roman"/>
                <w:sz w:val="23"/>
                <w:szCs w:val="23"/>
                <w:color w:val="auto"/>
                <w:vertAlign w:val="superscript"/>
              </w:rPr>
              <w:t>(d)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107,111</w:t>
            </w:r>
          </w:p>
        </w:tc>
        <w:tc>
          <w:tcPr>
            <w:tcW w:w="0" w:type="dxa"/>
            <w:vAlign w:val="bottom"/>
          </w:tcPr>
          <w:p>
            <w:pPr>
              <w:spacing w:after="0"/>
              <w:rPr>
                <w:sz w:val="1"/>
                <w:szCs w:val="1"/>
                <w:color w:val="auto"/>
              </w:rPr>
            </w:pPr>
          </w:p>
        </w:tc>
      </w:tr>
      <w:tr>
        <w:trPr>
          <w:trHeight w:val="48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560" w:type="dxa"/>
            <w:vAlign w:val="bottom"/>
            <w:tcBorders>
              <w:top w:val="single" w:sz="8" w:color="auto"/>
            </w:tcBorders>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60"/>
        </w:trPr>
        <w:tc>
          <w:tcPr>
            <w:tcW w:w="52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560" w:type="dxa"/>
            <w:vAlign w:val="bottom"/>
            <w:tcBorders>
              <w:right w:val="single" w:sz="8" w:color="auto"/>
            </w:tcBorders>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r>
              <w:rPr>
                <w:rFonts w:ascii="Times New Roman" w:cs="Times New Roman" w:eastAsia="Times New Roman" w:hAnsi="Times New Roman"/>
                <w:sz w:val="23"/>
                <w:szCs w:val="23"/>
                <w:color w:val="auto"/>
                <w:vertAlign w:val="superscript"/>
              </w:rPr>
              <w:t>(a)</w:t>
            </w: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0"/>
        </w:trPr>
        <w:tc>
          <w:tcPr>
            <w:tcW w:w="522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387"/>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r>
              <w:rPr>
                <w:rFonts w:ascii="Times New Roman" w:cs="Times New Roman" w:eastAsia="Times New Roman" w:hAnsi="Times New Roman"/>
                <w:sz w:val="23"/>
                <w:szCs w:val="23"/>
                <w:color w:val="auto"/>
                <w:vertAlign w:val="superscript"/>
              </w:rPr>
              <w:t>(b)</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Embedded derivative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70"/>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30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r>
              <w:rPr>
                <w:rFonts w:ascii="Times New Roman" w:cs="Times New Roman" w:eastAsia="Times New Roman" w:hAnsi="Times New Roman"/>
                <w:sz w:val="23"/>
                <w:szCs w:val="23"/>
                <w:color w:val="auto"/>
                <w:vertAlign w:val="superscript"/>
              </w:rPr>
              <w:t>(c)</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Term Loan, due 2031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0" w:type="dxa"/>
            <w:vAlign w:val="bottom"/>
          </w:tcPr>
          <w:p>
            <w:pPr>
              <w:spacing w:after="0"/>
              <w:rPr>
                <w:sz w:val="1"/>
                <w:szCs w:val="1"/>
                <w:color w:val="auto"/>
              </w:rPr>
            </w:pPr>
          </w:p>
        </w:tc>
      </w:tr>
      <w:tr>
        <w:trPr>
          <w:trHeight w:val="387"/>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(c)</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Secured Notes, due 2031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746,871</w:t>
            </w:r>
          </w:p>
        </w:tc>
        <w:tc>
          <w:tcPr>
            <w:tcW w:w="0" w:type="dxa"/>
            <w:vAlign w:val="bottom"/>
          </w:tcPr>
          <w:p>
            <w:pPr>
              <w:spacing w:after="0"/>
              <w:rPr>
                <w:sz w:val="1"/>
                <w:szCs w:val="1"/>
                <w:color w:val="auto"/>
              </w:rPr>
            </w:pPr>
          </w:p>
        </w:tc>
      </w:tr>
      <w:tr>
        <w:trPr>
          <w:trHeight w:val="270"/>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Term Loan, due 2031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1,379,853</w:t>
            </w:r>
          </w:p>
        </w:tc>
        <w:tc>
          <w:tcPr>
            <w:tcW w:w="0" w:type="dxa"/>
            <w:vAlign w:val="bottom"/>
          </w:tcPr>
          <w:p>
            <w:pPr>
              <w:spacing w:after="0"/>
              <w:rPr>
                <w:sz w:val="1"/>
                <w:szCs w:val="1"/>
                <w:color w:val="auto"/>
              </w:rPr>
            </w:pPr>
          </w:p>
        </w:tc>
      </w:tr>
      <w:tr>
        <w:trPr>
          <w:trHeight w:val="39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Obligations (with current portion)</w:t>
            </w:r>
            <w:r>
              <w:rPr>
                <w:rFonts w:ascii="Times New Roman" w:cs="Times New Roman" w:eastAsia="Times New Roman" w:hAnsi="Times New Roman"/>
                <w:sz w:val="23"/>
                <w:szCs w:val="23"/>
                <w:color w:val="auto"/>
                <w:vertAlign w:val="superscript"/>
              </w:rPr>
              <w:t>(d)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-4758055</wp:posOffset>
            </wp:positionV>
            <wp:extent cx="713232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-4363720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-4020820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-3677920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-3283585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-2940685</wp:posOffset>
            </wp:positionV>
            <wp:extent cx="7132320"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-5152390</wp:posOffset>
            </wp:positionV>
            <wp:extent cx="7132320"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-2100580</wp:posOffset>
            </wp:positionV>
            <wp:extent cx="7132320"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-1706245</wp:posOffset>
            </wp:positionV>
            <wp:extent cx="7132320"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-1311910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-969010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41910</wp:posOffset>
            </wp:positionV>
            <wp:extent cx="28460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84" w:lineRule="exact"/>
        <w:rPr>
          <w:sz w:val="20"/>
          <w:szCs w:val="20"/>
          <w:color w:val="auto"/>
        </w:rPr>
      </w:pPr>
    </w:p>
    <w:p>
      <w:pPr>
        <w:ind w:left="500"/>
        <w:spacing w:after="0"/>
        <w:tabs>
          <w:tab w:leader="none" w:pos="2000" w:val="left"/>
          <w:tab w:leader="none" w:pos="352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2,746</w:t>
            </w:r>
          </w:p>
        </w:tc>
        <w:tc>
          <w:tcPr>
            <w:tcW w:w="80" w:type="dxa"/>
            <w:vAlign w:val="bottom"/>
          </w:tcPr>
          <w:p>
            <w:pPr>
              <w:spacing w:after="0"/>
              <w:rPr>
                <w:sz w:val="20"/>
                <w:szCs w:val="20"/>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621"/>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tcPr>
          <w:p>
            <w:pPr>
              <w:spacing w:after="0"/>
              <w:rPr>
                <w:sz w:val="24"/>
                <w:szCs w:val="24"/>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3"/>
                <w:szCs w:val="23"/>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2,033</w:t>
            </w:r>
          </w:p>
        </w:tc>
        <w:tc>
          <w:tcPr>
            <w:tcW w:w="80" w:type="dxa"/>
            <w:vAlign w:val="bottom"/>
          </w:tcPr>
          <w:p>
            <w:pPr>
              <w:spacing w:after="0"/>
              <w:rPr>
                <w:sz w:val="23"/>
                <w:szCs w:val="23"/>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2,390</w:t>
            </w:r>
          </w:p>
        </w:tc>
        <w:tc>
          <w:tcPr>
            <w:tcW w:w="80" w:type="dxa"/>
            <w:vAlign w:val="bottom"/>
          </w:tcPr>
          <w:p>
            <w:pPr>
              <w:spacing w:after="0"/>
              <w:rPr>
                <w:sz w:val="23"/>
                <w:szCs w:val="23"/>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40"/>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14,159</w:t>
            </w:r>
          </w:p>
        </w:tc>
        <w:tc>
          <w:tcPr>
            <w:tcW w:w="80" w:type="dxa"/>
            <w:vAlign w:val="bottom"/>
          </w:tcPr>
          <w:p>
            <w:pPr>
              <w:spacing w:after="0"/>
              <w:rPr>
                <w:sz w:val="24"/>
                <w:szCs w:val="24"/>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21"/>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753,750</w:t>
            </w:r>
          </w:p>
        </w:tc>
        <w:tc>
          <w:tcPr>
            <w:tcW w:w="80" w:type="dxa"/>
            <w:vAlign w:val="bottom"/>
          </w:tcPr>
          <w:p>
            <w:pPr>
              <w:spacing w:after="0"/>
              <w:rPr>
                <w:sz w:val="24"/>
                <w:szCs w:val="24"/>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1,405,720</w:t>
            </w:r>
          </w:p>
        </w:tc>
        <w:tc>
          <w:tcPr>
            <w:tcW w:w="80" w:type="dxa"/>
            <w:vAlign w:val="bottom"/>
          </w:tcPr>
          <w:p>
            <w:pPr>
              <w:spacing w:after="0"/>
              <w:rPr>
                <w:sz w:val="23"/>
                <w:szCs w:val="23"/>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51"/>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107,111</w:t>
            </w:r>
          </w:p>
        </w:tc>
        <w:tc>
          <w:tcPr>
            <w:tcW w:w="80" w:type="dxa"/>
            <w:vAlign w:val="bottom"/>
          </w:tcPr>
          <w:p>
            <w:pPr>
              <w:spacing w:after="0"/>
              <w:rPr>
                <w:sz w:val="24"/>
                <w:szCs w:val="24"/>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57"/>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40" w:type="dxa"/>
            <w:vAlign w:val="bottom"/>
          </w:tcPr>
          <w:p>
            <w:pPr>
              <w:spacing w:after="0"/>
              <w:rPr>
                <w:sz w:val="24"/>
                <w:szCs w:val="24"/>
                <w:color w:val="auto"/>
              </w:rPr>
            </w:pPr>
          </w:p>
        </w:tc>
      </w:tr>
      <w:tr>
        <w:trPr>
          <w:trHeight w:val="37"/>
        </w:trPr>
        <w:tc>
          <w:tcPr>
            <w:tcW w:w="1520" w:type="dxa"/>
            <w:vAlign w:val="bottom"/>
            <w:tcBorders>
              <w:bottom w:val="single" w:sz="8" w:color="auto"/>
            </w:tcBorders>
            <w:gridSpan w:val="2"/>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308"/>
        </w:trPr>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77"/>
        </w:trPr>
        <w:tc>
          <w:tcPr>
            <w:tcW w:w="14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574"/>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80" w:type="dxa"/>
            <w:vAlign w:val="bottom"/>
          </w:tcPr>
          <w:p>
            <w:pPr>
              <w:spacing w:after="0"/>
              <w:rPr>
                <w:sz w:val="24"/>
                <w:szCs w:val="24"/>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621"/>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tcPr>
          <w:p>
            <w:pPr>
              <w:spacing w:after="0"/>
              <w:rPr>
                <w:sz w:val="24"/>
                <w:szCs w:val="24"/>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80" w:type="dxa"/>
            <w:vAlign w:val="bottom"/>
          </w:tcPr>
          <w:p>
            <w:pPr>
              <w:spacing w:after="0"/>
              <w:rPr>
                <w:sz w:val="23"/>
                <w:szCs w:val="23"/>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540"/>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w:t>
            </w:r>
          </w:p>
        </w:tc>
        <w:tc>
          <w:tcPr>
            <w:tcW w:w="80" w:type="dxa"/>
            <w:vAlign w:val="bottom"/>
          </w:tcPr>
          <w:p>
            <w:pPr>
              <w:spacing w:after="0"/>
              <w:rPr>
                <w:sz w:val="24"/>
                <w:szCs w:val="24"/>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621"/>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789,375</w:t>
            </w:r>
          </w:p>
        </w:tc>
        <w:tc>
          <w:tcPr>
            <w:tcW w:w="80" w:type="dxa"/>
            <w:vAlign w:val="bottom"/>
          </w:tcPr>
          <w:p>
            <w:pPr>
              <w:spacing w:after="0"/>
              <w:rPr>
                <w:sz w:val="24"/>
                <w:szCs w:val="24"/>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1,410,539</w:t>
            </w:r>
          </w:p>
        </w:tc>
        <w:tc>
          <w:tcPr>
            <w:tcW w:w="80" w:type="dxa"/>
            <w:vAlign w:val="bottom"/>
          </w:tcPr>
          <w:p>
            <w:pPr>
              <w:spacing w:after="0"/>
              <w:rPr>
                <w:sz w:val="23"/>
                <w:szCs w:val="23"/>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351"/>
        </w:trPr>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97,300</w:t>
            </w:r>
          </w:p>
        </w:tc>
        <w:tc>
          <w:tcPr>
            <w:tcW w:w="80" w:type="dxa"/>
            <w:vAlign w:val="bottom"/>
          </w:tcPr>
          <w:p>
            <w:pPr>
              <w:spacing w:after="0"/>
              <w:rPr>
                <w:sz w:val="24"/>
                <w:szCs w:val="24"/>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r>
    </w:tbl>
    <w:p>
      <w:pPr>
        <w:spacing w:after="0" w:line="210" w:lineRule="exact"/>
        <w:rPr>
          <w:sz w:val="20"/>
          <w:szCs w:val="20"/>
          <w:color w:val="auto"/>
        </w:rPr>
      </w:pPr>
    </w:p>
    <w:p>
      <w:pPr>
        <w:sectPr>
          <w:pgSz w:w="11900" w:h="16838" w:orient="portrait"/>
          <w:cols w:equalWidth="0" w:num="2">
            <w:col w:w="6660" w:space="100"/>
            <w:col w:w="4480"/>
          </w:cols>
          <w:pgMar w:left="320" w:top="130" w:right="339" w:bottom="1440" w:gutter="0" w:footer="0" w:header="0"/>
          <w:type w:val="continuous"/>
        </w:sectPr>
      </w:pPr>
    </w:p>
    <w:p>
      <w:pPr>
        <w:jc w:val="both"/>
        <w:ind w:left="500" w:right="200" w:hanging="492"/>
        <w:spacing w:after="0" w:line="257" w:lineRule="auto"/>
        <w:tabs>
          <w:tab w:leader="none" w:pos="49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designated as hedging instruments are measured at fair value with changes in fair value recorded as a component of accumulated other comprehensive income (loss). Interest rate swaps are valued using pricing models that incorporate observable market inputs including interest rate curves and yield curves.</w:t>
      </w:r>
    </w:p>
    <w:p>
      <w:pPr>
        <w:spacing w:after="0" w:line="1" w:lineRule="exact"/>
        <w:rPr>
          <w:rFonts w:ascii="Times New Roman" w:cs="Times New Roman" w:eastAsia="Times New Roman" w:hAnsi="Times New Roman"/>
          <w:sz w:val="18"/>
          <w:szCs w:val="18"/>
          <w:color w:val="auto"/>
        </w:rPr>
      </w:pPr>
    </w:p>
    <w:p>
      <w:pPr>
        <w:ind w:left="500" w:hanging="492"/>
        <w:spacing w:after="0" w:line="250" w:lineRule="auto"/>
        <w:tabs>
          <w:tab w:leader="none" w:pos="4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that are not designated as hedging instruments are measured at fair value with gains or losses recognized immediately in the Consolidated Statements of Operations and Comprehensive Income. Embedded derivatives are valued using internally developed models that rely on observable market inputs, including foreign currency forward curves. Foreign currency forward contracts are valued by reference to changes in foreign currency exchange rates over the life of the contract.</w:t>
      </w:r>
    </w:p>
    <w:p>
      <w:pPr>
        <w:spacing w:after="0" w:line="1" w:lineRule="exact"/>
        <w:rPr>
          <w:rFonts w:ascii="Times New Roman" w:cs="Times New Roman" w:eastAsia="Times New Roman" w:hAnsi="Times New Roman"/>
          <w:sz w:val="18"/>
          <w:szCs w:val="18"/>
          <w:color w:val="auto"/>
        </w:rPr>
      </w:pPr>
    </w:p>
    <w:p>
      <w:pPr>
        <w:ind w:left="500" w:right="200" w:hanging="492"/>
        <w:spacing w:after="0" w:line="250" w:lineRule="auto"/>
        <w:tabs>
          <w:tab w:leader="none" w:pos="49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amounts of current portion of long-term debt and long-term debt instruments are reported net of discounts and debt issuance costs. The estimated fair value of these instruments is based upon quoted prices for the Term Loans and the Secured Notes in inactive markets as provided by an independent fixed income security pricing service.</w:t>
      </w:r>
    </w:p>
    <w:p>
      <w:pPr>
        <w:spacing w:after="0" w:line="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approximates carrying value.</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decision-maker (“CODM”), the Chief Executive Officer of Sotera Health Company, evaluates performance and allocates resources based on net revenues and segment income after the elimination of intercompany activities. The CODM uses these performance measures to inform decisions about the operations of the business and dedication of resources to selling and general administrative matters pertinent to the Company. The accounting policies of our reportable segments are the same as those described in Note 1, “Significant Accounting Policies,” of the Company’s annual consolidated financial statements and accompanying notes in our 2025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Sterigenics</w:t>
      </w:r>
    </w:p>
    <w:p>
      <w:pPr>
        <w:spacing w:after="0" w:line="11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Sterigenics provides outsourced terminal sterilization and irradiation services for the medical device, pharmaceutical, food safety and advanced applications markets using four major technologies: gamma irradiation, EO processing, E-beam and X-Ray irradiation.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Nordion</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Nelson Labs</w:t>
      </w:r>
    </w:p>
    <w:p>
      <w:pPr>
        <w:spacing w:after="0" w:line="11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Nelson Labs provides outsourced microbiological and analytical chemistry testing and advisory services for the medical device and pharmaceutical industries.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(thousands of U.S. dollars)</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(a)</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(b)</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Corporate expense allocation</w:t>
      </w:r>
      <w:r>
        <w:rPr>
          <w:rFonts w:ascii="Times New Roman" w:cs="Times New Roman" w:eastAsia="Times New Roman" w:hAnsi="Times New Roman"/>
          <w:sz w:val="22"/>
          <w:szCs w:val="22"/>
          <w:color w:val="auto"/>
          <w:vertAlign w:val="superscript"/>
        </w:rPr>
        <w:t>(c)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income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(thousands of U.S. dollars)</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(a)</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(b)</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Corporate expense allocation</w:t>
      </w:r>
      <w:r>
        <w:rPr>
          <w:rFonts w:ascii="Times New Roman" w:cs="Times New Roman" w:eastAsia="Times New Roman" w:hAnsi="Times New Roman"/>
          <w:sz w:val="22"/>
          <w:szCs w:val="22"/>
          <w:color w:val="auto"/>
          <w:vertAlign w:val="superscript"/>
        </w:rPr>
        <w:t>(c)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income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(thousands of U.S. dollars)</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(a)</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(b)</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Corporate expense allocation</w:t>
      </w:r>
      <w:r>
        <w:rPr>
          <w:rFonts w:ascii="Times New Roman" w:cs="Times New Roman" w:eastAsia="Times New Roman" w:hAnsi="Times New Roman"/>
          <w:sz w:val="22"/>
          <w:szCs w:val="22"/>
          <w:color w:val="auto"/>
          <w:vertAlign w:val="superscript"/>
        </w:rPr>
        <w:t>(c)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income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45688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200" w:type="dxa"/>
            <w:vAlign w:val="bottom"/>
          </w:tcPr>
          <w:p>
            <w:pPr>
              <w:spacing w:after="0"/>
              <w:rPr>
                <w:sz w:val="20"/>
                <w:szCs w:val="20"/>
                <w:color w:val="auto"/>
              </w:rPr>
            </w:pP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32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209,305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55,024</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60,557</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324,886</w:t>
            </w:r>
          </w:p>
        </w:tc>
      </w:tr>
      <w:tr>
        <w:trPr>
          <w:trHeight w:val="270"/>
        </w:trPr>
        <w:tc>
          <w:tcPr>
            <w:tcW w:w="2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83,002</w:t>
            </w: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20,002</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39,709</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142,713</w:t>
            </w:r>
          </w:p>
        </w:tc>
      </w:tr>
      <w:tr>
        <w:trPr>
          <w:trHeight w:val="270"/>
        </w:trPr>
        <w:tc>
          <w:tcPr>
            <w:tcW w:w="2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8,816</w:t>
            </w: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1,298</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11,508</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117,487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33,724</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19,454</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170,665</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34"/>
        </w:trPr>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200" w:type="dxa"/>
            <w:vAlign w:val="bottom"/>
          </w:tcPr>
          <w:p>
            <w:pPr>
              <w:spacing w:after="0"/>
              <w:rPr>
                <w:sz w:val="20"/>
                <w:szCs w:val="20"/>
                <w:color w:val="auto"/>
              </w:rPr>
            </w:pP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32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192,845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62,805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311,312</w:t>
            </w:r>
          </w:p>
        </w:tc>
      </w:tr>
      <w:tr>
        <w:trPr>
          <w:trHeight w:val="270"/>
        </w:trPr>
        <w:tc>
          <w:tcPr>
            <w:tcW w:w="2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76,925</w:t>
            </w: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23,426</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35,367</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135,718</w:t>
            </w:r>
          </w:p>
        </w:tc>
      </w:tr>
      <w:tr>
        <w:trPr>
          <w:trHeight w:val="270"/>
        </w:trPr>
        <w:tc>
          <w:tcPr>
            <w:tcW w:w="2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8,765</w:t>
            </w: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1,331</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107,155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38,048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18,987</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164,190</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gridSpan w:val="4"/>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34"/>
        </w:trPr>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2026</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200" w:type="dxa"/>
            <w:vAlign w:val="bottom"/>
          </w:tcPr>
          <w:p>
            <w:pPr>
              <w:spacing w:after="0"/>
              <w:rPr>
                <w:sz w:val="20"/>
                <w:szCs w:val="20"/>
                <w:color w:val="auto"/>
              </w:rPr>
            </w:pP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32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607,011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146,182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173,113</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926,306</w:t>
            </w:r>
          </w:p>
        </w:tc>
      </w:tr>
      <w:tr>
        <w:trPr>
          <w:trHeight w:val="270"/>
        </w:trPr>
        <w:tc>
          <w:tcPr>
            <w:tcW w:w="2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247,535</w:t>
            </w: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56,724</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419,418</w:t>
            </w:r>
          </w:p>
        </w:tc>
      </w:tr>
      <w:tr>
        <w:trPr>
          <w:trHeight w:val="270"/>
        </w:trPr>
        <w:tc>
          <w:tcPr>
            <w:tcW w:w="2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27,450</w:t>
            </w: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4,043</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35,831</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332,026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85,415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53,616</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471,057</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-3291205</wp:posOffset>
            </wp:positionV>
            <wp:extent cx="71323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-2939415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-2014220</wp:posOffset>
            </wp:positionV>
            <wp:extent cx="71323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-1662430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-736600</wp:posOffset>
            </wp:positionV>
            <wp:extent cx="713232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-385445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720"/>
            <w:col w:w="7200"/>
          </w:cols>
          <w:pgMar w:left="320" w:top="130"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80" w:type="dxa"/>
            <w:vAlign w:val="bottom"/>
          </w:tcPr>
          <w:p>
            <w:pPr>
              <w:spacing w:after="0"/>
              <w:rPr>
                <w:sz w:val="17"/>
                <w:szCs w:val="17"/>
                <w:color w:val="auto"/>
              </w:rPr>
            </w:pPr>
          </w:p>
        </w:tc>
        <w:tc>
          <w:tcPr>
            <w:tcW w:w="1520" w:type="dxa"/>
            <w:vAlign w:val="bottom"/>
          </w:tcPr>
          <w:p>
            <w:pPr>
              <w:jc w:val="right"/>
              <w:ind w:right="410"/>
              <w:spacing w:after="0" w:line="196" w:lineRule="exact"/>
              <w:rPr>
                <w:sz w:val="20"/>
                <w:szCs w:val="20"/>
                <w:color w:val="auto"/>
              </w:rPr>
            </w:pPr>
            <w:r>
              <w:rPr>
                <w:rFonts w:ascii="Times New Roman" w:cs="Times New Roman" w:eastAsia="Times New Roman" w:hAnsi="Times New Roman"/>
                <w:sz w:val="18"/>
                <w:szCs w:val="18"/>
                <w:b w:val="1"/>
                <w:bCs w:val="1"/>
                <w:color w:val="auto"/>
              </w:rPr>
              <w:t>Sterigenics</w:t>
            </w:r>
          </w:p>
        </w:tc>
        <w:tc>
          <w:tcPr>
            <w:tcW w:w="240" w:type="dxa"/>
            <w:vAlign w:val="bottom"/>
          </w:tcPr>
          <w:p>
            <w:pPr>
              <w:spacing w:after="0"/>
              <w:rPr>
                <w:sz w:val="17"/>
                <w:szCs w:val="17"/>
                <w:color w:val="auto"/>
              </w:rPr>
            </w:pPr>
          </w:p>
        </w:tc>
        <w:tc>
          <w:tcPr>
            <w:tcW w:w="1700" w:type="dxa"/>
            <w:vAlign w:val="bottom"/>
          </w:tcPr>
          <w:p>
            <w:pPr>
              <w:jc w:val="right"/>
              <w:ind w:right="530"/>
              <w:spacing w:after="0" w:line="196" w:lineRule="exact"/>
              <w:rPr>
                <w:sz w:val="20"/>
                <w:szCs w:val="20"/>
                <w:color w:val="auto"/>
              </w:rPr>
            </w:pPr>
            <w:r>
              <w:rPr>
                <w:rFonts w:ascii="Times New Roman" w:cs="Times New Roman" w:eastAsia="Times New Roman" w:hAnsi="Times New Roman"/>
                <w:sz w:val="18"/>
                <w:szCs w:val="18"/>
                <w:b w:val="1"/>
                <w:bCs w:val="1"/>
                <w:color w:val="auto"/>
              </w:rPr>
              <w:t>Nordion</w:t>
            </w:r>
          </w:p>
        </w:tc>
        <w:tc>
          <w:tcPr>
            <w:tcW w:w="320" w:type="dxa"/>
            <w:vAlign w:val="bottom"/>
          </w:tcPr>
          <w:p>
            <w:pPr>
              <w:spacing w:after="0"/>
              <w:rPr>
                <w:sz w:val="17"/>
                <w:szCs w:val="17"/>
                <w:color w:val="auto"/>
              </w:rPr>
            </w:pPr>
          </w:p>
        </w:tc>
        <w:tc>
          <w:tcPr>
            <w:tcW w:w="15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Nelson Labs</w:t>
            </w:r>
          </w:p>
        </w:tc>
        <w:tc>
          <w:tcPr>
            <w:tcW w:w="360" w:type="dxa"/>
            <w:vAlign w:val="bottom"/>
          </w:tcPr>
          <w:p>
            <w:pPr>
              <w:spacing w:after="0"/>
              <w:rPr>
                <w:sz w:val="17"/>
                <w:szCs w:val="17"/>
                <w:color w:val="auto"/>
              </w:rPr>
            </w:pPr>
          </w:p>
        </w:tc>
        <w:tc>
          <w:tcPr>
            <w:tcW w:w="1240" w:type="dxa"/>
            <w:vAlign w:val="bottom"/>
          </w:tcPr>
          <w:p>
            <w:pPr>
              <w:jc w:val="right"/>
              <w:ind w:right="510"/>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24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63"/>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557,368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137,793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165,015</w:t>
            </w: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860,176</w:t>
            </w:r>
          </w:p>
        </w:tc>
      </w:tr>
      <w:tr>
        <w:trPr>
          <w:trHeight w:val="270"/>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(b)</w:t>
            </w:r>
          </w:p>
        </w:tc>
        <w:tc>
          <w:tcPr>
            <w:tcW w:w="2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226,752</w:t>
            </w:r>
          </w:p>
        </w:tc>
        <w:tc>
          <w:tcPr>
            <w:tcW w:w="24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54,638</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105,968</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387,358</w:t>
            </w:r>
          </w:p>
        </w:tc>
      </w:tr>
      <w:tr>
        <w:trPr>
          <w:trHeight w:val="270"/>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 allocation</w:t>
            </w:r>
            <w:r>
              <w:rPr>
                <w:rFonts w:ascii="Times New Roman" w:cs="Times New Roman" w:eastAsia="Times New Roman" w:hAnsi="Times New Roman"/>
                <w:sz w:val="23"/>
                <w:szCs w:val="23"/>
                <w:color w:val="auto"/>
                <w:vertAlign w:val="superscript"/>
              </w:rPr>
              <w:t>(c)</w:t>
            </w: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27,712</w:t>
            </w:r>
          </w:p>
        </w:tc>
        <w:tc>
          <w:tcPr>
            <w:tcW w:w="2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4,208</w:t>
            </w: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6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36,054</w:t>
            </w:r>
          </w:p>
        </w:tc>
      </w:tr>
      <w:tr>
        <w:trPr>
          <w:trHeight w:val="263"/>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302,904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78,947</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54,913</w:t>
            </w:r>
          </w:p>
        </w:tc>
        <w:tc>
          <w:tcPr>
            <w:tcW w:w="1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436,764</w:t>
            </w: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right="200" w:hanging="492"/>
        <w:spacing w:after="0" w:line="255" w:lineRule="auto"/>
        <w:tabs>
          <w:tab w:leader="none" w:pos="4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reported net of intersegment sales. Our Nordion segment recognized $0.6 million and $3.1 million in revenues from sales to our Sterigenics segment for the three months ended September 30, 2026 and 2025, respectively, and $30.1 million and $23.3 million in revenues from sales to our Sterigenics segment for the nine months ended September 30, 2026 and 2025, respectively, that are not reflected in net revenues in the table above. Intersegment sales for Sterigenics and Nelson Labs are immaterial for all periods presented.</w:t>
      </w:r>
    </w:p>
    <w:p>
      <w:pPr>
        <w:spacing w:after="0" w:line="2" w:lineRule="exact"/>
        <w:rPr>
          <w:rFonts w:ascii="Times New Roman" w:cs="Times New Roman" w:eastAsia="Times New Roman" w:hAnsi="Times New Roman"/>
          <w:sz w:val="18"/>
          <w:szCs w:val="18"/>
          <w:color w:val="auto"/>
        </w:rPr>
      </w:pPr>
    </w:p>
    <w:p>
      <w:pPr>
        <w:ind w:left="500" w:right="100" w:hanging="492"/>
        <w:spacing w:after="0" w:line="250" w:lineRule="auto"/>
        <w:tabs>
          <w:tab w:leader="none" w:pos="4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expenses are comprised of direct materials, labor, utilities, other costs of revenues, selling, general and administrative expenses (“SG&amp;A”) and other non-operating expenses (income) attributable to each segment.</w:t>
      </w:r>
    </w:p>
    <w:p>
      <w:pPr>
        <w:ind w:left="500" w:right="100" w:hanging="492"/>
        <w:spacing w:after="0" w:line="255" w:lineRule="auto"/>
        <w:tabs>
          <w:tab w:leader="none" w:pos="4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expenses that are directly incurred by a segment are reflected in each segment’s income. The remaining Corporate expenses for executive management, accounting, information technology, legal, human resources, treasury, investor relations, corporate development, tax, purchasing, and marketing not directly incurred by a segment are allocated to the segments primarily based on total net revenue.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by segment for the nine months ended September 30, 2026 and 2025 were as follows:</w:t>
      </w:r>
    </w:p>
    <w:p>
      <w:pPr>
        <w:spacing w:after="0" w:line="255"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30480</wp:posOffset>
            </wp:positionV>
            <wp:extent cx="24517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3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4"/>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Sterigenics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121,993</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64,871</w:t>
            </w:r>
          </w:p>
        </w:tc>
      </w:tr>
      <w:tr>
        <w:trPr>
          <w:trHeight w:val="243"/>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Nordion</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w:t>
            </w:r>
          </w:p>
        </w:tc>
      </w:tr>
      <w:tr>
        <w:trPr>
          <w:trHeight w:val="27"/>
        </w:trPr>
        <w:tc>
          <w:tcPr>
            <w:tcW w:w="7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Nelson Labs</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10,967</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r>
      <w:tr>
        <w:trPr>
          <w:trHeight w:val="26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145,450</w:t>
            </w:r>
          </w:p>
        </w:tc>
        <w:tc>
          <w:tcPr>
            <w:tcW w:w="14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87,319</w:t>
            </w:r>
          </w:p>
        </w:tc>
      </w:tr>
      <w:tr>
        <w:trPr>
          <w:trHeight w:val="20"/>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and depreciation and amortization expense by segment are not readily available and are not reported separately to the CODM.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segment income to consolidated income before income taxes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88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170,665</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436,764</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34,122</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103,272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120,674</w:t>
            </w:r>
          </w:p>
        </w:tc>
      </w:tr>
      <w:tr>
        <w:trPr>
          <w:trHeight w:val="378"/>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(a)</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32,450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103,972</w:t>
            </w:r>
          </w:p>
        </w:tc>
      </w:tr>
      <w:tr>
        <w:trPr>
          <w:trHeight w:val="378"/>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(b)</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7,791</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23,465</w:t>
            </w:r>
          </w:p>
        </w:tc>
      </w:tr>
      <w:tr>
        <w:trPr>
          <w:trHeight w:val="27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refinancing of debt</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65"/>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foreign currency and derivatives not designated as hedging</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302"/>
        </w:trPr>
        <w:tc>
          <w:tcPr>
            <w:tcW w:w="5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instruments, net</w:t>
            </w:r>
            <w:r>
              <w:rPr>
                <w:rFonts w:ascii="Times New Roman" w:cs="Times New Roman" w:eastAsia="Times New Roman" w:hAnsi="Times New Roman"/>
                <w:sz w:val="23"/>
                <w:szCs w:val="23"/>
                <w:color w:val="auto"/>
                <w:vertAlign w:val="superscript"/>
              </w:rPr>
              <w:t>(d)</w:t>
            </w:r>
          </w:p>
        </w:tc>
        <w:tc>
          <w:tcPr>
            <w:tcW w:w="3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(2,101)</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378"/>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23"/>
                <w:szCs w:val="23"/>
                <w:color w:val="auto"/>
                <w:vertAlign w:val="superscript"/>
              </w:rPr>
              <w:t>(e)</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5,267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w:t>
            </w:r>
          </w:p>
        </w:tc>
      </w:tr>
      <w:tr>
        <w:trPr>
          <w:trHeight w:val="378"/>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(f)</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11,656</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37,515</w:t>
            </w:r>
          </w:p>
        </w:tc>
      </w:tr>
      <w:tr>
        <w:trPr>
          <w:trHeight w:val="31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Illinois EO litigation settlements</w:t>
            </w:r>
            <w:r>
              <w:rPr>
                <w:rFonts w:ascii="Times New Roman" w:cs="Times New Roman" w:eastAsia="Times New Roman" w:hAnsi="Times New Roman"/>
                <w:sz w:val="23"/>
                <w:szCs w:val="23"/>
                <w:color w:val="auto"/>
                <w:vertAlign w:val="superscript"/>
              </w:rPr>
              <w:t>(g)</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64,943</w:t>
            </w:r>
          </w:p>
        </w:tc>
      </w:tr>
      <w:tr>
        <w:trPr>
          <w:trHeight w:val="378"/>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23"/>
                <w:szCs w:val="23"/>
                <w:color w:val="auto"/>
                <w:vertAlign w:val="superscript"/>
              </w:rPr>
              <w:t>(h)</w:t>
            </w:r>
          </w:p>
        </w:tc>
        <w:tc>
          <w:tcPr>
            <w:tcW w:w="3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8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1,935</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6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before taxes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83,732</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72,935</w:t>
            </w:r>
          </w:p>
        </w:tc>
        <w:tc>
          <w:tcPr>
            <w:tcW w:w="16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204,396</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77,009</w:t>
            </w:r>
          </w:p>
        </w:tc>
      </w:tr>
      <w:tr>
        <w:trPr>
          <w:trHeight w:val="21"/>
        </w:trPr>
        <w:tc>
          <w:tcPr>
            <w:tcW w:w="5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0" w:right="660" w:hanging="492"/>
        <w:spacing w:after="0" w:line="261" w:lineRule="auto"/>
        <w:tabs>
          <w:tab w:leader="none" w:pos="4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Co-60 held at gamma irradiation sites, and excludes accelerated depreciation associated with business optimization activities.</w:t>
      </w:r>
    </w:p>
    <w:p>
      <w:pPr>
        <w:ind w:left="480" w:hanging="47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related to employees and non-employee Directors.</w:t>
      </w:r>
    </w:p>
    <w:p>
      <w:pPr>
        <w:spacing w:after="0" w:line="9" w:lineRule="exact"/>
        <w:rPr>
          <w:rFonts w:ascii="Times New Roman" w:cs="Times New Roman" w:eastAsia="Times New Roman" w:hAnsi="Times New Roman"/>
          <w:sz w:val="18"/>
          <w:szCs w:val="18"/>
          <w:color w:val="auto"/>
        </w:rPr>
      </w:pPr>
    </w:p>
    <w:p>
      <w:pPr>
        <w:ind w:left="500" w:right="160" w:hanging="492"/>
        <w:spacing w:after="0" w:line="250" w:lineRule="auto"/>
        <w:tabs>
          <w:tab w:leader="none" w:pos="4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write-off of unamortized debt issuance costs and discounts, as well as certain other costs incurred related to the Term Loans and the Revolving Credit Facility.</w:t>
      </w:r>
    </w:p>
    <w:p>
      <w:pPr>
        <w:ind w:left="500" w:right="100" w:hanging="492"/>
        <w:spacing w:after="0" w:line="250" w:lineRule="auto"/>
        <w:tabs>
          <w:tab w:leader="none" w:pos="4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and (ii) non-cash mark-to-fair value of embedded derivatives relating to certain customer and supply contracts at Nordion.</w:t>
      </w:r>
    </w:p>
    <w:p>
      <w:pPr>
        <w:ind w:left="500" w:right="280" w:hanging="492"/>
        <w:spacing w:after="0" w:line="250" w:lineRule="auto"/>
        <w:tabs>
          <w:tab w:leader="none" w:pos="4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spacing w:after="0" w:line="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litigation and other professional fees associated with our EO sterilization facilities.</w:t>
      </w:r>
    </w:p>
    <w:p>
      <w:pPr>
        <w:spacing w:after="0" w:line="9" w:lineRule="exact"/>
        <w:rPr>
          <w:rFonts w:ascii="Times New Roman" w:cs="Times New Roman" w:eastAsia="Times New Roman" w:hAnsi="Times New Roman"/>
          <w:sz w:val="18"/>
          <w:szCs w:val="18"/>
          <w:color w:val="auto"/>
        </w:rPr>
      </w:pPr>
    </w:p>
    <w:p>
      <w:pPr>
        <w:ind w:left="500" w:hanging="492"/>
        <w:spacing w:after="0" w:line="250" w:lineRule="auto"/>
        <w:tabs>
          <w:tab w:leader="none" w:pos="4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spacing w:after="0" w:line="1" w:lineRule="exact"/>
        <w:rPr>
          <w:rFonts w:ascii="Times New Roman" w:cs="Times New Roman" w:eastAsia="Times New Roman" w:hAnsi="Times New Roman"/>
          <w:sz w:val="18"/>
          <w:szCs w:val="18"/>
          <w:color w:val="auto"/>
        </w:rPr>
      </w:pPr>
    </w:p>
    <w:p>
      <w:pPr>
        <w:ind w:left="500" w:right="280" w:hanging="492"/>
        <w:spacing w:after="0" w:line="260" w:lineRule="auto"/>
        <w:tabs>
          <w:tab w:leader="none" w:pos="4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accretion of asset retirement obligations (“ARO”) related to Co-60 gamma and EO processing facilities, which are based on estimated site remediation costs for any future decommissioning of these facilities and are accreted over the life of the asset.</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2025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2025 Form 10-K.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processes and supply chains, helping to ensure sterilized medical products reach healthcare practitioners and patients. Most of these services are necessary for our customers to satisfy applicable government requirements.</w:t>
      </w:r>
    </w:p>
    <w:p>
      <w:pPr>
        <w:spacing w:after="0" w:line="14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For financial reporting purposes, our sterilization services business is comprised of two reportable segments, Sterigenics and Nordion, and our lab services business constitutes a third reportable segment, Nelson Labs.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2026, respectively, we recorded net revenues of $324.9 million and $926.3 million, net income of $58.4 million and $138.6 million, Adjusted Net Income of $82.5 million and $208.8 million, and Adjusted EBITDA of $170.7 million and $471.1 million. Adjusted Net Income and Adjusted EBITDA are financial measures not based on any standardized methodology prescribed by GAAP. For the definition of Adjusted Net Income and Adjusted EBITDA and the reconciliation of net income to each of these non-GAAP financial measures, please see “Non-GAAP Financial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as compared to Three Months Ended September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for the three months ended September 30, 2026 and 2025.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6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rPr>
              <w:t>% Change</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5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144,097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324"/>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9"/>
                <w:szCs w:val="9"/>
                <w:b w:val="1"/>
                <w:bCs w:val="1"/>
                <w:color w:val="auto"/>
              </w:rPr>
              <w:t>(a)</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82,488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58"/>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9"/>
                <w:szCs w:val="9"/>
                <w:b w:val="1"/>
                <w:bCs w:val="1"/>
                <w:color w:val="auto"/>
              </w:rPr>
              <w:t>(a)</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170,665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left="500" w:right="200" w:hanging="492"/>
        <w:spacing w:after="0" w:line="239" w:lineRule="auto"/>
        <w:tabs>
          <w:tab w:leader="none" w:pos="495"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revenues by type for the three months ended September 30, 2026 to the three months ended September 30,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20"/>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revenues for the three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400" w:type="dxa"/>
            <w:vAlign w:val="bottom"/>
            <w:tcBorders>
              <w:top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277,092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21,563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47,794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(7,989)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324,886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311,312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13,574</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revenues were $324.9 million for the three months ended September 30, 2026, an increase of $13.6 million, or 4.4%, as compared to the three months ended September 30, 2025. Changes in foreign currency exchange rates had no material impact on consolidated net revenues for the three months ended September 30, 2026 compared with the three months ended September 30,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Service revenues increased $21.6 million, or 8.4%, to $277.1 million for the three months ended September 30, 2026 as compared to $255.5 million for the three months ended September 30, 2025. The increase in net service revenues was primarily driven by pricing in the Sterigenics and Nelson Labs segments and favorable volume/mix across all three segments.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Product revenues decreased $8.0 million, or 14.3%, to $47.8 million for the three months ended September 30, 2026 as compared to $55.8 million for the three months ended September 30, 2025. The decrease was driven by lower revenues from Co-60 in the Nordion segment due to the timing of reactor harvest schedules.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cost of revenues by type for the three months ended September 30, 2026 to the three months ended September 30,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20"/>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revenues for the three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620" w:type="dxa"/>
            <w:vAlign w:val="bottom"/>
            <w:tcBorders>
              <w:top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127,098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12,761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16,999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(2,415)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144,097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10,346</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Total cost of revenues accounted for approximately 44.4% and 43.0% of our consolidated net revenues for the three months ended September 30, 2026 and 2025,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Cost of service revenues increased $12.8 million, or 11.2%, for the three months ended September 30, 2026 as compared to the three months ended September 30, 2025. The increase was primarily driven by higher employee compensation costs, depreciation from capital assets recently placed into service, and inflation.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revenues</w:t>
      </w:r>
    </w:p>
    <w:p>
      <w:pPr>
        <w:spacing w:after="0" w:line="11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Cost of product revenues decreased $2.4 million, or 12.4%, for the three months ended September 30, 2026 as compared to the three months ended September 30, 2025. The decrease was primarily driven by a decline in direct material costs arising from lower volumes of Co-60 shipments due to the timing of reactor harvest schedules.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SG&amp;A expenses increased $0.8 million, or 1.3%, for the three months ended September 30, 2026 as compared to the three months ended September 30, 2025, driven mainly by higher employee compensation costs.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28" w:name="page29"/>
    <w:bookmarkEnd w:id="28"/>
    <w:p>
      <w:pPr>
        <w:ind w:right="4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decreased $0.1 million, or 2.8%, to $3.0 million for the three months ended September 30, 2026 as compared to the three months ended September 30, 2025. The decline was primarily due to changes in foreign currency exchange rates.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Interest expense, net decreased $5.0 million, or 12.8%, for the three months ended September 30, 2026 as compared to the three months ended September 30, 2025, due to a lower interest rate on our Term Loans and a $75.0 million principal paydown in September 2025. The weighted average interest rate on our outstanding debt was 6.44% and 7.25% for the three months ended September 30, 2026 and 2025,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 Net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Foreign exchange gain, net was $1.1 million for the three months ended September 30, 2026 as compared to $1.5 million for the three months ended September 30, 2025. The change in foreign exchange gain, net in our Consolidated Statements of Operations and Comprehensive Income mainly relates to short-term gains and losses on transactions and certain assets and liabilities denominated in currencies other than the functional currency of our operating entities.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Other income, net increased $2.7 million for the three months ended September 30, 2026 as compared to the three months ended September 30, 2025. The fluctuation was mainly driven by favorable changes in the fair value of embedded derivatives in certain of Nordion’s customer and supply contracts.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Provision for income taxes increased $0.8 million to a net provision of $25.3 million for the three months ended September 30, 2026 as compared to $24.5 million for the three months ended September 30, 2025. The change was primarily attributable to higher pre-tax income for the three months ended September 30, 2026 compared to the three months ended September 30, 2025, partially offset by a decrease in the impact of permanent differences and the valuation allowance attributable to the limitation on the deductibility of interest expense.</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Provision for income taxes for the three months ended September 30, 2026 differed from the federal statutory rate primarily due to the foreign rate differential, current year permanent differences, including foreign withholding taxes and other non-deductible items, and U.S. state income taxes (net of federal tax benefit). Income tax expense for the three months ended September 30, 2025 differed from the statutory rate due to recognition of the cumulative tax effects of the change in U.S. income tax laws under the OBBBA in the period of enactment associated with the accounting for the valuation allowance attributable to the limitation on the deductibility of interest expense. This was offset by the tax effects for a change in our indefinite reinvestment assertion with respect to a portion of our foreign earnings, the impact of the foreign rate differential and an increase in current year permanent tax differences.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Adjusted Net Income and Adjusted EBITDA</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Net income for the three months ended September 30, 2026 was $58.4 million, as compared to net income of $48.4 million for the three months ended September 30, 2025 due to the factors described above. Adjusted Net Income was $82.5 million for the three months ended September 30, 2026, as compared to $75.3 million for the three months ended September 30, 2025. Adjusted EBITDA was $170.7 million for the three months ended September 30, 2026, as compared to $164.2 million for the three months ended September 30, 2025. Please see “Non-GAAP Financial Measures” below for a reconciliation of Adjusted Net Income and Adjusted EBITDA to their most directly comparable financial measure calculated and presented in accordance with GAAP.</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as compared to Nine Months Ended September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for the nine months ended September 30, 2026 and 2025.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7"/>
                <w:szCs w:val="17"/>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6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rPr>
              <w:t>% Change</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926,306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420,485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138,623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221.6 %</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208,815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170,376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38,439</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31"/>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9"/>
                <w:szCs w:val="9"/>
                <w:b w:val="1"/>
                <w:bCs w:val="1"/>
                <w:color w:val="auto"/>
              </w:rPr>
              <w:t>(a)</w:t>
            </w: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471,057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436,764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34,293</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71" w:lineRule="exact"/>
        <w:rPr>
          <w:sz w:val="20"/>
          <w:szCs w:val="20"/>
          <w:color w:val="auto"/>
        </w:rPr>
      </w:pPr>
    </w:p>
    <w:p>
      <w:pPr>
        <w:ind w:left="500" w:right="200" w:hanging="492"/>
        <w:spacing w:after="0" w:line="239" w:lineRule="auto"/>
        <w:tabs>
          <w:tab w:leader="none" w:pos="495"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revenues by type for the nine months ended September 30, 2026 to the nine months ended September 30,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revenues for the nine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360" w:type="dxa"/>
            <w:vAlign w:val="bottom"/>
            <w:tcBorders>
              <w:top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797,025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129,281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926,306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860,176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66,130</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revenues were $926.3 million for the nine months ended September 30, 2026, an increase of $66.1 million, or 7.7%, as compared to the nine months ended September 30, 2025. Excluding the impact of foreign currency exchange rates, net revenues for the nine months ended September 30, 2026 increased approximately 6.3% compared with the nine months ended September 30,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Service revenues increased $60.3 million, or 8.2%, to $797.0 million for the nine months ended September 30, 2026 as compared to $736.7 million for the nine months ended September 30, 2025. The increase in net service revenues was primarily driven by pricing in the Sterigenics and Nelson Labs segments, favorable volume/mix across all three segments as well as changes in foreign currency exchange rates.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Product revenues increased $5.8 million, or 4.7%, to $129.3 million for the nine months ended September 30, 2026 as compared to $123.5 million for the nine months ended September 30, 2025. The increase was primarily driven by favorable pricing and volume/mix.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cost of revenues by type for the nine months ended September 30, 2026 to the nine months ended September 30,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revenues for the nine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 Change</w:t>
            </w:r>
          </w:p>
        </w:tc>
      </w:tr>
      <w:tr>
        <w:trPr>
          <w:trHeight w:val="34"/>
        </w:trPr>
        <w:tc>
          <w:tcPr>
            <w:tcW w:w="20" w:type="dxa"/>
            <w:vAlign w:val="bottom"/>
          </w:tcPr>
          <w:p>
            <w:pPr>
              <w:spacing w:after="0"/>
              <w:rPr>
                <w:sz w:val="2"/>
                <w:szCs w:val="2"/>
                <w:color w:val="auto"/>
              </w:rPr>
            </w:pPr>
          </w:p>
        </w:tc>
        <w:tc>
          <w:tcPr>
            <w:tcW w:w="3580" w:type="dxa"/>
            <w:vAlign w:val="bottom"/>
            <w:tcBorders>
              <w:top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372,766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47,719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7"/>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420,485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380,562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0" w:name="page31"/>
    <w:bookmarkEnd w:id="30"/>
    <w:p>
      <w:pPr>
        <w:ind w:right="120"/>
        <w:spacing w:after="0" w:line="282" w:lineRule="auto"/>
        <w:rPr>
          <w:sz w:val="20"/>
          <w:szCs w:val="20"/>
          <w:color w:val="auto"/>
        </w:rPr>
      </w:pPr>
      <w:r>
        <w:rPr>
          <w:rFonts w:ascii="Times New Roman" w:cs="Times New Roman" w:eastAsia="Times New Roman" w:hAnsi="Times New Roman"/>
          <w:sz w:val="18"/>
          <w:szCs w:val="18"/>
          <w:color w:val="auto"/>
        </w:rPr>
        <w:t>Total cost of revenues accounted for approximately 45.4% and 44.2% of our consolidated net revenues for the nine months ended September 30, 2026 and 2025,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Cost of service revenues increased $37.5 million, or 11.2%, for the nine months ended September 30, 2026 as compared to the nine months ended September 30, 2025. The increase was primarily driven by higher employee compensation costs and depreciation from capital assets recently placed into service. Direct materials, energy, facility maintenance and professional services costs also contributed to the increase in cost of service revenues. Changes in foreign currency exchange rates had an unfavorable impact to cost of service revenues for the nine months ended September 30,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revenues</w:t>
      </w:r>
    </w:p>
    <w:p>
      <w:pPr>
        <w:spacing w:after="0" w:line="11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Cost of product revenues increased $2.4 million, or 5.3%, for the nine months ended September 30, 2026 as compared to the nine months ended September 30, 2025. The increase was primarily attributable to higher direct material and transportation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SG&amp;A expenses increased $5.3 million, or 2.7%, for the nine months ended September 30, 2026 as compared to the nine months ended September 30, 2025. The increase was primarily driven by higher employee compensation costs, mainly attributable to share-based compensation expense, partially offset by lower litigation and professional services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decreased $18.7 million, or 67.3%, to $9.1 million for the nine months ended September 30, 2026 as compared to the nine months ended September 30, 2025. The decline was primarily due to certain intangible assets that were fully amortized in May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Interest expense, net decreased $17.4 million, or 14.4%, for the nine months ended September 30, 2026 as compared to the nine months ended September 30, 2025, primarily due to a lower interest rate on our Term Loans and a $75.0 million principal paydown in September 2025. The weighted average interest rate on our outstanding debt was 6.52% and 7.46% for the nine months ended September 30, 2026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Refinancing of Debt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Loss on refinancing of debt for the nine months ended September 30, 2026 was $0.9 million related to Amendment No. 7 to the Credit Agreement. Loss on refinancing of debt for the nine months ended September 30, 2025 was $1.2 million related to Amendments No. 5 and No. 6 to the Credit Agreement. These refinancing activities resulted in the write-off of certain unamortized debt issuance costs and discounts on the Term Loans. In addition, certain new debt issuance costs and discounts were expensed in connection with the Credit Agreement amendments.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 Net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Foreign exchange gain, net was $5.4 million for the nine months ended September 30, 2026 as compared to $0.6 million for the nine months ended September 30, 2025. The change in foreign exchange gain, net in our Consolidated Statements of Operations and Comprehensive Income mainly relates to short-term gains and losses on transactions and certain assets and liabilities denominated in currencies other than the functional currency of our operating entities.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income, net increased $0.4 million, or 6.1%, for the nine months ended September 30, 2026 compared to the nine months ended September 30, 2025, mainly arising from higher pension income in the Nordion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Provision for income tax increased $31.9 million to a net provision of $65.8 million for the nine months ended September 30, 2026 as compared to $33.9 million for the nine months ended September 30, 2025. The change was primarily attributable to higher pre-tax income for the nine months ended September 30, 2026 compared to the nine months ended September 30, 2025, partially offset by a decrease in the impact of permanent differences and the valuation allowance attributable to the limitation on the deductibility of interest expense.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1" w:name="page32"/>
    <w:bookmarkEnd w:id="31"/>
    <w:p>
      <w:pPr>
        <w:ind w:right="40"/>
        <w:spacing w:after="0" w:line="256" w:lineRule="auto"/>
        <w:rPr>
          <w:sz w:val="20"/>
          <w:szCs w:val="20"/>
          <w:color w:val="auto"/>
        </w:rPr>
      </w:pPr>
      <w:r>
        <w:rPr>
          <w:rFonts w:ascii="Times New Roman" w:cs="Times New Roman" w:eastAsia="Times New Roman" w:hAnsi="Times New Roman"/>
          <w:sz w:val="18"/>
          <w:szCs w:val="18"/>
          <w:color w:val="auto"/>
        </w:rPr>
        <w:t>Provision for income taxes for the nine months ended September 30, 2026 differed from the statutory rate primarily due to the foreign rate differential, current year permanent differences, including foreign withholding taxes and other non-deductible items, and U.S. state income taxes (net of federal tax benefit). Provision for income taxes for the nine months ended September 30, 2025 differed from the statutory rate due to recognition of the cumulative tax effects of the change in U.S. income tax laws under the OBBBA in the period of enactment associated with the accounting for the valuation allowance attributable to the limitation on the deductibility of interest expense. This was offset by the tax effects for a change in our indefinite reinvestment assertion with respect to a portion of our foreign earnings, the impact of the foreign rate differential and an increase in current year permanent tax differences.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Adjusted Net Income and 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for the nine months ended September 30, 2026 was $138.6 million, as compared to net income of $43.1 million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due to the factors described above. Adjusted Net Income was $208.8 million for the nine months ended September 30, 2026,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$170.4 million for the nine months ended September 30, 2025. Adjusted EBITDA was $471.1 million for the nine months ended</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September 30, 2026, as compared to $436.8 million for the nine months ended September 30, 2025. Please see “Non-GAAP Financial Measures” below for a reconciliation of Adjusted Net Income and Adjusted EBITDA to their most directly comparable financial measure calculated and presented in accordance with GAAP.</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231F20"/>
        </w:rPr>
        <w:t>To supplement our consolidated financial statements presented in accordance with GAAP, we consider Adjusted Net Income and Adjusted EBITDA, financial measures that are not based on any standardized methodology prescribed by GAAP.</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231F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its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the nearest GAAP equivalent. For example, Adjusted Net Income and Adjusted EBITDA primarily exclude:</w:t>
      </w:r>
    </w:p>
    <w:p>
      <w:pPr>
        <w:spacing w:after="0" w:line="68" w:lineRule="exact"/>
        <w:rPr>
          <w:sz w:val="20"/>
          <w:szCs w:val="20"/>
          <w:color w:val="auto"/>
        </w:rPr>
      </w:pPr>
    </w:p>
    <w:p>
      <w:pPr>
        <w:ind w:left="660" w:right="40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recurring non-cash charges such as depreciation of fixed assets, although these assets may have to be replaced in the future, as well as amortization of acquired intangible assets and ARO;</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of acquiring and integrating businesses, which will continue to be a part of our growth strategy;</w:t>
      </w:r>
    </w:p>
    <w:p>
      <w:pPr>
        <w:spacing w:after="0" w:line="117"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impairment charges on long-lived assets, intangible assets and investments accounted for under the equity method;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refinancing of debt incurred in connection with refinancing or early extinguishment of long-term debt;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secondary offerings of our common stock and other shareholder activities;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2" w:name="page33"/>
    <w:bookmarkEnd w:id="32"/>
    <w:p>
      <w:pPr>
        <w:ind w:left="660" w:right="16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expenses and charges related to the litigation, settlement agreements, and other activities associated with our EO sterilization facilities, including those related to Willowbrook, Illinois, Atlanta, Georgia, Santa Teresa, New Mexico and Vernon, California;</w:t>
      </w:r>
    </w:p>
    <w:p>
      <w:pPr>
        <w:spacing w:after="0" w:line="53" w:lineRule="exact"/>
        <w:rPr>
          <w:rFonts w:ascii="Times New Roman" w:cs="Times New Roman" w:eastAsia="Times New Roman" w:hAnsi="Times New Roman"/>
          <w:sz w:val="18"/>
          <w:szCs w:val="18"/>
          <w:color w:val="231F20"/>
        </w:rPr>
      </w:pPr>
    </w:p>
    <w:p>
      <w:pPr>
        <w:ind w:left="660" w:right="100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Adjusted EBITDA, interest expense or the cash requirements necessary to service interest or principal payments on our indebtedness; and</w:t>
      </w:r>
    </w:p>
    <w:p>
      <w:pPr>
        <w:spacing w:after="0" w:line="53" w:lineRule="exact"/>
        <w:rPr>
          <w:rFonts w:ascii="Times New Roman" w:cs="Times New Roman" w:eastAsia="Times New Roman" w:hAnsi="Times New Roman"/>
          <w:sz w:val="18"/>
          <w:szCs w:val="18"/>
          <w:color w:val="231F20"/>
        </w:rPr>
      </w:pPr>
    </w:p>
    <w:p>
      <w:pPr>
        <w:ind w:left="660" w:right="46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share-based compensation expense, which has been, and will continue to be for the foreseeable future, a significant recurring expense and an important part of our compensation strategy.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a reconciliation of net income, the most directly comparable financial measure calculated and presented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GAAP, to Adjusted Net Income and Adjusted EBITDA, for each of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6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6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58,391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48,400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138,623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43,102</w:t>
            </w:r>
          </w:p>
        </w:tc>
      </w:tr>
      <w:tr>
        <w:trPr>
          <w:trHeight w:val="23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36,246</w:t>
            </w:r>
          </w:p>
        </w:tc>
      </w:tr>
      <w:tr>
        <w:trPr>
          <w:trHeight w:val="334"/>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23,465</w:t>
            </w:r>
          </w:p>
        </w:tc>
      </w:tr>
      <w:tr>
        <w:trPr>
          <w:trHeight w:val="324"/>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refinancing of debt</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r>
      <w:tr>
        <w:trPr>
          <w:trHeight w:val="324"/>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foreign currency and derivatives not designated as hedging instruments, net</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r>
      <w:tr>
        <w:trPr>
          <w:trHeight w:val="324"/>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(d)</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5,267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7,575</w:t>
            </w:r>
          </w:p>
        </w:tc>
      </w:tr>
      <w:tr>
        <w:trPr>
          <w:trHeight w:val="324"/>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11,656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11,152</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34,860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37,515</w:t>
            </w:r>
          </w:p>
        </w:tc>
      </w:tr>
      <w:tr>
        <w:trPr>
          <w:trHeight w:val="24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Illinois EO litigation settlements</w:t>
            </w:r>
            <w:r>
              <w:rPr>
                <w:rFonts w:ascii="Times New Roman" w:cs="Times New Roman" w:eastAsia="Times New Roman" w:hAnsi="Times New Roman"/>
                <w:sz w:val="21"/>
                <w:szCs w:val="21"/>
                <w:color w:val="auto"/>
                <w:vertAlign w:val="superscript"/>
              </w:rPr>
              <w:t>(f)</w:t>
            </w: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64,943</w:t>
            </w:r>
          </w:p>
        </w:tc>
      </w:tr>
      <w:tr>
        <w:trPr>
          <w:trHeight w:val="324"/>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Accretion of asset retirement obligations</w:t>
            </w:r>
            <w:r>
              <w:rPr>
                <w:rFonts w:ascii="Times New Roman" w:cs="Times New Roman" w:eastAsia="Times New Roman" w:hAnsi="Times New Roman"/>
                <w:sz w:val="21"/>
                <w:szCs w:val="21"/>
                <w:color w:val="auto"/>
                <w:vertAlign w:val="superscript"/>
              </w:rPr>
              <w:t>(g)</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w:t>
            </w:r>
          </w:p>
        </w:tc>
      </w:tr>
      <w:tr>
        <w:trPr>
          <w:trHeight w:val="324"/>
        </w:trPr>
        <w:tc>
          <w:tcPr>
            <w:tcW w:w="6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(h)</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(13,366)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(44,081)</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82,488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75,270</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208,815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170,376</w:t>
            </w:r>
          </w:p>
        </w:tc>
      </w:tr>
      <w:tr>
        <w:trPr>
          <w:trHeight w:val="23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34,122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103,272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120,674</w:t>
            </w:r>
          </w:p>
        </w:tc>
      </w:tr>
      <w:tr>
        <w:trPr>
          <w:trHeight w:val="334"/>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(i)</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26,924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22,642</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79,831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67,726</w:t>
            </w:r>
          </w:p>
        </w:tc>
      </w:tr>
      <w:tr>
        <w:trPr>
          <w:trHeight w:val="324"/>
        </w:trPr>
        <w:tc>
          <w:tcPr>
            <w:tcW w:w="6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(j)</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27,131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27,131</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79,139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77,988</w:t>
            </w:r>
          </w:p>
        </w:tc>
      </w:tr>
      <w:tr>
        <w:trPr>
          <w:trHeight w:val="261"/>
        </w:trPr>
        <w:tc>
          <w:tcPr>
            <w:tcW w:w="6100" w:type="dxa"/>
            <w:vAlign w:val="bottom"/>
            <w:tcBorders>
              <w:bottom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170,665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164,190</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471,057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436,764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related to employees and non-employee Directors.</w:t>
      </w:r>
    </w:p>
    <w:p>
      <w:pPr>
        <w:spacing w:after="0" w:line="36" w:lineRule="exact"/>
        <w:rPr>
          <w:rFonts w:ascii="Times New Roman" w:cs="Times New Roman" w:eastAsia="Times New Roman" w:hAnsi="Times New Roman"/>
          <w:sz w:val="18"/>
          <w:szCs w:val="18"/>
          <w:color w:val="auto"/>
        </w:rPr>
      </w:pPr>
    </w:p>
    <w:p>
      <w:pPr>
        <w:ind w:left="660" w:right="280" w:hanging="652"/>
        <w:spacing w:after="0" w:line="273" w:lineRule="auto"/>
        <w:tabs>
          <w:tab w:leader="none" w:pos="40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write-off of unamortized debt issuance costs and discounts, as well as certain other costs incurred related to the Term Loans and the Revolving Credit Facility.</w:t>
      </w:r>
    </w:p>
    <w:p>
      <w:pPr>
        <w:spacing w:after="0" w:line="1" w:lineRule="exact"/>
        <w:rPr>
          <w:rFonts w:ascii="Times New Roman" w:cs="Times New Roman" w:eastAsia="Times New Roman" w:hAnsi="Times New Roman"/>
          <w:sz w:val="18"/>
          <w:szCs w:val="18"/>
          <w:color w:val="auto"/>
        </w:rPr>
      </w:pPr>
    </w:p>
    <w:p>
      <w:pPr>
        <w:ind w:left="660" w:right="220" w:hanging="652"/>
        <w:spacing w:after="0" w:line="273" w:lineRule="auto"/>
        <w:tabs>
          <w:tab w:leader="none" w:pos="39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8"/>
          <w:szCs w:val="18"/>
          <w:color w:val="auto"/>
        </w:rPr>
      </w:pPr>
    </w:p>
    <w:p>
      <w:pPr>
        <w:ind w:left="660" w:right="20" w:hanging="652"/>
        <w:spacing w:after="0" w:line="260" w:lineRule="auto"/>
        <w:tabs>
          <w:tab w:leader="none" w:pos="40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spacing w:after="0" w:line="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litigation and other professional fees associated with our EO sterilization facilities.</w:t>
      </w:r>
    </w:p>
    <w:p>
      <w:pPr>
        <w:spacing w:after="0" w:line="27" w:lineRule="exact"/>
        <w:rPr>
          <w:rFonts w:ascii="Times New Roman" w:cs="Times New Roman" w:eastAsia="Times New Roman" w:hAnsi="Times New Roman"/>
          <w:sz w:val="18"/>
          <w:szCs w:val="18"/>
          <w:color w:val="auto"/>
        </w:rPr>
      </w:pPr>
    </w:p>
    <w:p>
      <w:pPr>
        <w:ind w:left="660" w:right="100" w:hanging="652"/>
        <w:spacing w:after="0" w:line="255" w:lineRule="auto"/>
        <w:tabs>
          <w:tab w:leader="none" w:pos="3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 See Note 19, “Commitments and Contingencies” of our 2025 Form 10-K.</w:t>
      </w:r>
    </w:p>
    <w:p>
      <w:pPr>
        <w:spacing w:after="0" w:line="10" w:lineRule="exact"/>
        <w:rPr>
          <w:rFonts w:ascii="Times New Roman" w:cs="Times New Roman" w:eastAsia="Times New Roman" w:hAnsi="Times New Roman"/>
          <w:sz w:val="18"/>
          <w:szCs w:val="18"/>
          <w:color w:val="auto"/>
        </w:rPr>
      </w:pPr>
    </w:p>
    <w:p>
      <w:pPr>
        <w:ind w:left="660" w:right="100" w:hanging="652"/>
        <w:spacing w:after="0" w:line="261" w:lineRule="auto"/>
        <w:tabs>
          <w:tab w:leader="none" w:pos="40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accretion of ARO related to Co-60 gamma and EO processing facilities, which are based on estimated site remediation costs for any future decommissioning of these facilities and are accreted over the life of the asset.</w:t>
      </w:r>
    </w:p>
    <w:p>
      <w:pPr>
        <w:ind w:left="660" w:right="160" w:hanging="652"/>
        <w:spacing w:after="0" w:line="260" w:lineRule="auto"/>
        <w:tabs>
          <w:tab w:leader="none" w:pos="402"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33" w:name="page34"/>
    <w:bookmarkEnd w:id="33"/>
    <w:p>
      <w:pPr>
        <w:ind w:left="360" w:hanging="35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Co-60 held at gamma irradiation sites, and excludes accelerated depreciation associated with business optimization activities.</w:t>
      </w:r>
    </w:p>
    <w:p>
      <w:pPr>
        <w:spacing w:after="0" w:line="63" w:lineRule="exact"/>
        <w:rPr>
          <w:sz w:val="20"/>
          <w:szCs w:val="20"/>
          <w:color w:val="auto"/>
        </w:rPr>
      </w:pPr>
    </w:p>
    <w:p>
      <w:pPr>
        <w:ind w:left="360" w:right="840" w:hanging="647"/>
        <w:spacing w:after="0" w:line="266" w:lineRule="auto"/>
        <w:tabs>
          <w:tab w:leader="none" w:pos="340" w:val="left"/>
        </w:tabs>
        <w:rPr>
          <w:sz w:val="20"/>
          <w:szCs w:val="20"/>
          <w:color w:val="auto"/>
        </w:rPr>
      </w:pPr>
      <w:r>
        <w:rPr>
          <w:rFonts w:ascii="Times New Roman" w:cs="Times New Roman" w:eastAsia="Times New Roman" w:hAnsi="Times New Roman"/>
          <w:sz w:val="18"/>
          <w:szCs w:val="18"/>
          <w:color w:val="231F20"/>
        </w:rPr>
        <w:t>(j</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auto"/>
        </w:rPr>
        <w:tab/>
        <w:t>Represents the difference between the income tax provision as determined under GAAP and the income tax benefit associated with pre-tax adjustments described in footnote (h).</w:t>
      </w:r>
    </w:p>
    <w:p>
      <w:pPr>
        <w:ind w:left="400" w:hanging="392"/>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 million and $24.1 million of the adjustments for the three months ended September 30, 2026 and 2025, respectively, and $82.8 million and</w:t>
      </w:r>
    </w:p>
    <w:p>
      <w:pPr>
        <w:spacing w:after="0" w:line="27"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color w:val="auto"/>
        </w:rPr>
        <w:t>$72.7 million of the adjustments for the nine months ended September 30, 2026 and 2025, respectively, are included in cost of revenues, primarily consisting of amortization of intangible assets, depreciation, and accretion of ARO.</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1"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We have three reportable segments: Sterigenics, Nordion and Nelson Labs. Our CODM evaluates performance and allocates resources within our business based on segment income, which excludes certain items which are included in income before income tax as determined in our Consolidated Statements of Operations and Comprehensive Income. The accounting policies for our reportable segments are the same as those for the consolidated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Sterigenics</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Sterigenics provides outsourced terminal sterilization and irradiation services for the medical device, pharmaceutical, food safety and advanced applications markets using four major technologies: gamma irradiation, EO processing, E-beam and X-Ray irradiation.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Nordion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Nordion business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result of the time required to meet regulatory and logistics requirements for delivery of radioactive products, combined with accommodations that we make to our customers to minimize disruptions to their operations during the installation of Co-60, Nordion sales patterns can often vary significantly from one quarter to the next. In most cases, however, timing-related impacts on our sales performance tend to be resolved within several quarters, resulting in more consistent performance over longer periods of time. In addition, sales of gamma irradiation systems occur infrequently and tend to be for larger amounts. Nordion’s results of operations are also impacted by Co-60 harvest schedules.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Nelson Labs</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Nelson Labs business provides outsourced microbiological and analytical chemistry testing and advisory services for the medical device and pharmaceutical industries.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our reportable segments, please refer to Note 15, “Segment Information” to our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2"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Segment Results for the Three Months Ended September 30, 2026 and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compare segment net revenue and segment income for the three months ended September 30, 2026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0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0" w:type="dxa"/>
            <w:vAlign w:val="bottom"/>
          </w:tcPr>
          <w:p>
            <w:pPr>
              <w:spacing w:after="0"/>
              <w:rPr>
                <w:sz w:val="23"/>
                <w:szCs w:val="23"/>
                <w:color w:val="auto"/>
              </w:rPr>
            </w:pPr>
          </w:p>
        </w:tc>
        <w:tc>
          <w:tcPr>
            <w:tcW w:w="12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5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209,305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192,845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55,024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62,805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3"/>
        </w:trPr>
        <w:tc>
          <w:tcPr>
            <w:tcW w:w="5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300" w:type="dxa"/>
            <w:vAlign w:val="bottom"/>
          </w:tcPr>
          <w:p>
            <w:pPr>
              <w:spacing w:after="0"/>
              <w:rPr>
                <w:sz w:val="21"/>
                <w:szCs w:val="21"/>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60,557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55,662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117,487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107,155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33,724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38,048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43"/>
        </w:trPr>
        <w:tc>
          <w:tcPr>
            <w:tcW w:w="5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300" w:type="dxa"/>
            <w:vAlign w:val="bottom"/>
          </w:tcPr>
          <w:p>
            <w:pPr>
              <w:spacing w:after="0"/>
              <w:rPr>
                <w:sz w:val="21"/>
                <w:szCs w:val="21"/>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19,454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18,987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17145</wp:posOffset>
            </wp:positionV>
            <wp:extent cx="1800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 margin</w:t>
            </w: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r>
      <w:tr>
        <w:trPr>
          <w:trHeight w:val="243"/>
        </w:trPr>
        <w:tc>
          <w:tcPr>
            <w:tcW w:w="5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1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 by Segment</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Sterigenics net revenues were $209.3 million for the three months ended September 30, 2026, an increase of $16.5 million, or 8.5%, as compared to the three months ended September 30, 2025. The increase was attributable to favorable pricing of 4.8%, volume and mix of 3.4% as well as favorable changes in foreign currency exchange rates.</w:t>
      </w:r>
    </w:p>
    <w:p>
      <w:pPr>
        <w:spacing w:after="0" w:line="13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Nordion net revenues were $55.0 million for the three months ended September 30, 2026, a decrease of $7.8 million, or 12.4%, as compared to the three months ended September 30, 2025. Revenue decline was driven mainly by volume and mix of 13.7%, which was largely attributable to Co-60 harvest schedule timing, coupled with unfavorable changes in foreign currency exchange rates, partially offset by the impact from pricing of 2.2%.</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Nelson Labs net revenues were $60.6 million for the three months ended September 30, 2026, an increase of $4.9 million, or 8.8%, as compared to the three months ended September 30, 2025. The increase was attributable to volume and mix of 6.6% and a favorable impact from pricing of 2.6%, partially offset by changes in foreign currency exchange rates.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Income</w:t>
      </w:r>
    </w:p>
    <w:p>
      <w:pPr>
        <w:spacing w:after="0" w:line="1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Sterigenics segment income was $117.5 million for the three months ended September 30, 2026, an increase of $10.3 million, or 9.6%, as compared to the three months ended September 30, 2025. The increase in segment income and segment income margin was primarily a result of favorable customer pricing and increases in volume and mix, partially offset by inflation.</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Nordion segment income was $33.7 million for the three months ended September 30, 2026, a decrease of $4.3 million, or 11.4%, as compared to the three months ended September 30, 2025. The decrease in segment income was driven by unfavorable volume/mix due to the timing of Co-60 harvest schedules and changes in foreign currency exchange rates, partially offset by favorable pricing. Segment income margin improved, driven by operational productivity and favorable pricing, partially offset by inflation.</w:t>
      </w:r>
    </w:p>
    <w:p>
      <w:pPr>
        <w:spacing w:after="0" w:line="13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Nelson Labs segment income was $19.5 million for the three months ended September 30, 2026, an increase of $0.5 million, or 2.5%, as compared to the three months ended September 30, 2025. Segment income increased as a result of favorable volume/mix and pricing. Segment income margin was impacted by business mix.</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Segment Results for the Nine Months Ended September 30, 2026 and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compare segment net revenue and segment income for the nine months ended September 30, 2026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7"/>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0" w:type="dxa"/>
            <w:vAlign w:val="bottom"/>
          </w:tcPr>
          <w:p>
            <w:pPr>
              <w:spacing w:after="0"/>
              <w:rPr>
                <w:sz w:val="23"/>
                <w:szCs w:val="23"/>
                <w:color w:val="auto"/>
              </w:rPr>
            </w:pPr>
          </w:p>
        </w:tc>
        <w:tc>
          <w:tcPr>
            <w:tcW w:w="12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5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607,011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557,368</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146,182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137,793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300" w:type="dxa"/>
            <w:vAlign w:val="bottom"/>
          </w:tcPr>
          <w:p>
            <w:pPr>
              <w:spacing w:after="0"/>
              <w:rPr>
                <w:sz w:val="21"/>
                <w:szCs w:val="21"/>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173,113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165,015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332,026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302,904</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85,415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78,947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300" w:type="dxa"/>
            <w:vAlign w:val="bottom"/>
          </w:tcPr>
          <w:p>
            <w:pPr>
              <w:spacing w:after="0"/>
              <w:rPr>
                <w:sz w:val="21"/>
                <w:szCs w:val="21"/>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53,616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54,913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17145</wp:posOffset>
            </wp:positionV>
            <wp:extent cx="1783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0"/>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 margin</w:t>
            </w: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Sterigenics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54.7 %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Nelson Labs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 by Segment</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Sterigenics net revenues were $607.0 million for the nine months ended September 30, 2026, an increase of $49.6 million, or 8.9%, as compared to the nine months ended September 30, 2025. The increase was attributable to favorable pricing of 4.6%, volume and mix of 2.6% as well as changes in foreign currency exchange rates of 1.7%.</w:t>
      </w:r>
    </w:p>
    <w:p>
      <w:pPr>
        <w:spacing w:after="0" w:line="13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Nordion net revenues were $146.2 million for the nine months ended September 30, 2026, an increase of $8.4 million, or 6.1%, as compared to the nine months ended September 30, 2025. Revenue growth was driven mainly by volume and mix of 3.7%, which was largely attributable to favorable Co-60 harvest schedule timing on a year-to-date basis, coupled with a favorable impact from pricing of 2.5%.</w:t>
      </w:r>
    </w:p>
    <w:p>
      <w:pPr>
        <w:spacing w:after="0" w:line="14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Nelson Labs net revenues were $173.1 million for the nine months ended September 30, 2026, an increase of $8.1 million, or 4.9%, as compared to the nine months ended September 30, 2025. The increase was attributable to favorable impacts from pricing of 2.8% as well as changes in foreign currency exchange rates and volume and mix of 1.2% and 0.9%,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Income</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Sterigenics segment income was $332.0 million for the nine months ended September 30, 2026, an increase of $29.1 million, or 9.6%, as compared to the nine months ended September 30, 2025. The increase in segment income was driven primarily by favorable customer pricing and increases in volume and mix, partially offset by inflation.</w:t>
      </w:r>
    </w:p>
    <w:p>
      <w:pPr>
        <w:spacing w:after="0" w:line="13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Nordion segment income was $85.4 million for the nine months ended September 30, 2026, an increase of $6.5 million, or 8.2%, as compared to the nine months ended September 30, 2025. The increase in segment income and segment income margin was driven by higher volume and mix due to favorable Co-60 harvest schedule timing on a year-to-date basis, along with favorable changes in pricing, partially offset by inflation.</w:t>
      </w:r>
    </w:p>
    <w:p>
      <w:pPr>
        <w:spacing w:after="0" w:line="14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Nelson Labs segment income was $53.6 million for the nine months ended September 30, 2026, a decrease of $1.3 million, or 2.4%, as compared to the nine months ended September 30, 2025. Segment income and segment income margin decreased due to inflation and business mix, partially offset by favorable pricing.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Cash</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primary sources of liquidity for our business are cash flows from operations and borrowings under our credit facilities. As of September 30, 2026, we had $412.4 million of cash and cash equivalents. This is an increase of $65.9 million from the balance at December 31, 2025. The increase in cash and cash equivalents was a result of $228.5 million of cash flows provided by operating activities, partially offset by $145.5 million of cash paid for purchases of property, plant and equipment, $17.0</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6" w:name="page37"/>
    <w:bookmarkEnd w:id="36"/>
    <w:p>
      <w:pPr>
        <w:ind w:right="120"/>
        <w:spacing w:after="0" w:line="266" w:lineRule="auto"/>
        <w:rPr>
          <w:sz w:val="20"/>
          <w:szCs w:val="20"/>
          <w:color w:val="auto"/>
        </w:rPr>
      </w:pPr>
      <w:r>
        <w:rPr>
          <w:rFonts w:ascii="Times New Roman" w:cs="Times New Roman" w:eastAsia="Times New Roman" w:hAnsi="Times New Roman"/>
          <w:sz w:val="18"/>
          <w:szCs w:val="18"/>
          <w:color w:val="auto"/>
        </w:rPr>
        <w:t>million of cash used in financing activities and a $5.4 million decline due to an unfavorable change in foreign currency exchange rates. Our foreign subsidiaries held cash of approximately $308.7 million at September 30, 2026 and $253.4 million at December 31, 2025. No material restrictions exist on accessing cash held by our foreign subsidiaries notwithstanding any potential tax consequences.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Uses of Cash</w:t>
      </w:r>
    </w:p>
    <w:p>
      <w:pPr>
        <w:spacing w:after="0" w:line="18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We expect that cash on hand, operating cash flows and amounts available under our credit facilities will provide sufficient working capital to operate our business, meet foreseeable liquidity requirements (inclusive of debt service on our long-term debt), make expected capital expenditures including investments in fixed assets to build and/or expand existing facilities, and meet litigation costs that we expect to continue to incur for at least the next 12 months and the foreseeable future thereafter. Our primary long-term liquidity requirements beyond the next 12 months will be to service our debt, make capital expenditures, and fund suitable business acquisitions. As of September 30, 2026,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0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nine months ended September 30, 2026, our capital expenditures amounted to $145.5 million, compared to $87.3 million for the nine months ended September 30,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compared to Nine Months Ended September 30,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8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69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69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228,479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184,091</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(140,175)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(84,445)</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(92,359)</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14,874</w:t>
            </w:r>
          </w:p>
        </w:tc>
      </w:tr>
      <w:tr>
        <w:trPr>
          <w:trHeight w:val="263"/>
        </w:trPr>
        <w:tc>
          <w:tcPr>
            <w:tcW w:w="20" w:type="dxa"/>
            <w:vAlign w:val="bottom"/>
          </w:tcPr>
          <w:p>
            <w:pPr>
              <w:spacing w:after="0"/>
              <w:rPr>
                <w:sz w:val="22"/>
                <w:szCs w:val="22"/>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 including restricted cash</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65,937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22,161</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flows provided by operating activities increased $44.4 million to net cash provided of $228.5 million for the nine months ended September 30, 2026 compared to net cash provided by operating activities of $184.1 million for the nine months ended September 30, 2025. The increase in cash flows provided by operating activities was primarily driven by higher gross profit and a decrease in cash paid for interest and income taxes, partially offset by the $34.0 million Illinois EO litigation settlement paid in February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increased $55.7 million to net cash used of $140.2 million for the nine months ended September 30, 2026 compared to $84.4 million for the nine months ended September 30, 2025. The variance was primarily driven by an increase in cash paid for capital expenditures of $58.1 million for the nine months ended September 30, 2026 compared to the nine months ended September 30, 2025.</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7"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decreased $75.4 million to net cash used of $17.0 million for the nine months ended September 30, 2026 compared to net cash used of $92.4 million for the nine months ended September 30, 2025. The decrease in cash used in financing activities was mainly attributable to a $75.0 million voluntary principal paydown in September 2025 in connection with Amendment No. 6 to the Credit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December 13, 2019, SHH, our wholly owned subsidiary, entered into the Senior Secured Credit Facilities consisting of both the Term Loans and the Revolving Credit Facility pursuant to a first lien credit agreement. The total borrowing capacity under the Revolving Credit Facility is $600.0 million. The Senior Secured Credit Facilities also provide SHH the right at any time and under certain conditions to request incremental term loans or incremental revolving credit commitments based on a formula defined in the Senior Secured Credit Facilities.</w:t>
      </w:r>
    </w:p>
    <w:p>
      <w:pPr>
        <w:spacing w:after="0" w:line="13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May 20, 2026, SHH, the Company, certain subsidiaries of the Company, each 2026 Refinancing Term Lender (as defined in the Credit Agreement) and JPMorgan Chase Bank, N.A., as first lien Administrative Agent entered into Amendment No. 7 to the Credit Agreement. Among other changes, Amendment No. 7 provides for refinancing lenders to provide repriced Term Loans to SHH in an aggregate principal amount of $1,415.9 million. Amendment No. 7 reduced the interest rate spread by 0.25% across Term Loans under the facility. The Term Loans under the credit facility shall have an applicable interest rate margin equal to Adjusted Term SOFR Rate (as defined in the Credit Agreement) plus 2.25%, with a 0.00% floor (with optionality for SHH to elect Alternate Base Rate plus 1.25% or Adjusted Daily Simple SOFR plus 2.25% (each as defined in the Credit Agreement)). The Term Loans are also subject to a “soft call” premium of 1.00% for certain repricing transactions with respect to the Term Loans that occur within the six-month period after the effective date of Amendment No. 7. The Term Loans amortize at a rate of 1.00% per annum and mature on May 30, 2031.</w:t>
      </w:r>
    </w:p>
    <w:p>
      <w:pPr>
        <w:spacing w:after="0" w:line="16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May 30, 2024, SHH, the Company, certain subsidiaries of the Company, and Wilmington Trust, National Association, as trustee, paying agent, registrar, transfer agent and notes collateral agent, entered into an Indenture (the “Indenture”) governing SHH’s $750.0 million aggregate principal amount of 7.375% Secured Notes issued in May 2024.</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Senior Secured Credit Facilities and the Indenture contain certain covenants and events of default. Additionally, all of SHH’s obligations under the Senior Secured Credit Facilities and the Indenture are unconditionally guaranteed by the Company and certain domestic restricted subsidiaries. For additional information about our Senior Secured Credit Facilities, the Indenture and the Secured Notes, including the covenants and events of default, refer to Note 8, “Long-Term Debt,” to our Financial Statements and Note 9, “Long-Term Debt,” to our consolidated financial statements included in our 2025 Form 10-K.</w:t>
      </w:r>
    </w:p>
    <w:p>
      <w:pPr>
        <w:spacing w:after="0" w:line="14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September 30, 2026, the Company had $8.2 million of letters of credit issued against the Revolving Credit Facility, resulting in total availability under the Revolving Credit Facility of $591.8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Interest Rate Risk Management</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14, “Financial Instruments and Financial Risk”— </w:t>
      </w:r>
      <w:r>
        <w:rPr>
          <w:rFonts w:ascii="Times New Roman" w:cs="Times New Roman" w:eastAsia="Times New Roman" w:hAnsi="Times New Roman"/>
          <w:sz w:val="18"/>
          <w:szCs w:val="18"/>
          <w:i w:val="1"/>
          <w:iCs w:val="1"/>
          <w:color w:val="auto"/>
        </w:rPr>
        <w:t>“Derivative Instruments.”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4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A comprehensive discussion of the Company’s critical accounting policies and management estimates made in connection with the preparation of the financial statements is included in Item 7 of the Company’s 2025 Form 10-K. There have been no significant changes in critical accounting policies, management estimates or accounting policies since the year ended December 31, 2025.</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applicable to our business, see Note 2, “Recent Accounting Standards” to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Market risks are described within “Quantitative and Qualitative Disclosures About Market Risk” in Part II, Item 7A of our 2025 Form 10-K. These market risks have not materially changed for the three and nine months ended September 30,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Company’s “disclosure controls and procedures,” (as defined in Rules 13a-15(e) and 15d-15(e) under the Securities Exchange Act of 1934 (the “Exchange Act”)). Based upon their evaluation, the Chief Executive Officer and Chief Financial Officer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(the “SEC”), and that such information is accumulated and communicated to our management, including our Chief Executive Officer and Chief Financial Officer, as appropriate, to allow timely decisions regarding required disclosure.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arising in the ordinary course of our business, including claims relating to personal injury, property damage, workers’ compensation, employee safety, and our disclosures as a Nasdaq-listed, publicly-traded company. In addition, from time to time, we receive communications from government or regulatory agencies concerning investigations or allegations of noncompliance with laws or regulations in jurisdictions in which we operate. At this time, and except as disclosed herein, we are unable to predict the outcome of, and cannot reasonably estimate the impact of, any pending litigation matters, matters concerning allegations of non-compliance with laws or regulations and matters concerning allegations of other improprieties, or the incidence of any such matters in the future. Information regarding our legal proceedings is included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Described in Note 13, “Commitments and Contingencies,” of Our Consolidated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Note 13, “Commitments and Contingencies,” to our consolidated financial statements for the three and nine months ended September 30, 2026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13, “Commitments and Contingencies” for information regarding the Ethylene Oxide Tort Litigation with respect to California, Georgia, Illinois and New Mexico, which is incorporated into this Item 1 by reference.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Not Described in Note 13, “Commitments and Contingencies,” to Our Consolidated Financial Statements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the matters that are identified in Note 13, “Commitments and Contingencies,” to our consolidated financial statements for the three and nine months ended September 30, 2026 contained in this Quarterly Report on Form 10-Q, and incorporated into this Item by reference, we report matters, if any, that constitute material pending legal proceedings, other than ordinary course litigation incidental to our business, to which we are or any of our subsidiaries is a party. SEC regulations require disclosure of environmental proceedings that involve a government authority and potential monetary sanctions that the Company reasonably believes will exceed a specified threshold. The Company uses a threshold of $1.0 million to determine whether the disclosure of any such proceedings is required because we believe matters under this threshold are not material to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described under Item 1A of our 2025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10b5-1 Trading Plans</w:t>
      </w:r>
    </w:p>
    <w:p>
      <w:pPr>
        <w:spacing w:after="0" w:line="18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the Company’s directors or officers (as defined in Rule 16a-1(f) under the Exchange Act) adopted or terminated any contract, instruction or written plan for the purchase or sale of Company securities that was intended to satisfy the affirmative defense conditions of Rule 10b5-1(c) or any “non-Rule 10b5-1 trading arrangement” (as that term is defined in Regulation S-K, Item 408).</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following Exhibit Index are filed, furnished, or incorporated by reference as part of this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640" w:type="dxa"/>
            <w:vAlign w:val="bottom"/>
          </w:tcPr>
          <w:p>
            <w:pPr>
              <w:spacing w:after="0"/>
              <w:rPr>
                <w:sz w:val="20"/>
                <w:szCs w:val="20"/>
                <w:color w:val="auto"/>
              </w:rPr>
            </w:pP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4"/>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Furnished/Filed</w:t>
            </w:r>
          </w:p>
        </w:tc>
      </w:tr>
      <w:tr>
        <w:trPr>
          <w:trHeight w:val="238"/>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6"/>
        </w:trPr>
        <w:tc>
          <w:tcPr>
            <w:tcW w:w="1200" w:type="dxa"/>
            <w:vAlign w:val="bottom"/>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44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Exchange Act Rules 13a-14(a) and 15d-14(a), as adopted</w:t>
            </w:r>
          </w:p>
        </w:tc>
        <w:tc>
          <w:tcPr>
            <w:tcW w:w="34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50"/>
        </w:trPr>
        <w:tc>
          <w:tcPr>
            <w:tcW w:w="12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3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500" w:type="dxa"/>
            <w:vAlign w:val="bottom"/>
            <w:gridSpan w:val="4"/>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Exchange Act Rules 13a-14(a) and 15d-14(a), as adopted</w:t>
            </w:r>
          </w:p>
        </w:tc>
        <w:tc>
          <w:tcPr>
            <w:tcW w:w="34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50" w:lineRule="exact"/>
        <w:rPr>
          <w:sz w:val="20"/>
          <w:szCs w:val="20"/>
          <w:color w:val="auto"/>
        </w:rPr>
      </w:pPr>
    </w:p>
    <w:p>
      <w:pPr>
        <w:sectPr>
          <w:pgSz w:w="11900" w:h="16838" w:orient="portrait"/>
          <w:cols w:equalWidth="0" w:num="1">
            <w:col w:w="11240"/>
          </w:cols>
          <w:pgMar w:left="320" w:top="1251"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w:t>
            </w:r>
          </w:p>
        </w:tc>
      </w:tr>
      <w:tr>
        <w:trPr>
          <w:trHeight w:val="196"/>
        </w:trPr>
        <w:tc>
          <w:tcPr>
            <w:tcW w:w="1280" w:type="dxa"/>
            <w:vAlign w:val="bottom"/>
          </w:tcPr>
          <w:p>
            <w:pPr>
              <w:spacing w:after="0"/>
              <w:rPr>
                <w:sz w:val="17"/>
                <w:szCs w:val="17"/>
                <w:color w:val="auto"/>
              </w:rPr>
            </w:pPr>
          </w:p>
        </w:tc>
        <w:tc>
          <w:tcPr>
            <w:tcW w:w="40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Officer pursuant to 18 U.S.C. Section 1350, as</w:t>
            </w: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2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w:t>
            </w:r>
          </w:p>
        </w:tc>
      </w:tr>
      <w:tr>
        <w:trPr>
          <w:trHeight w:val="196"/>
        </w:trPr>
        <w:tc>
          <w:tcPr>
            <w:tcW w:w="1280" w:type="dxa"/>
            <w:vAlign w:val="bottom"/>
          </w:tcPr>
          <w:p>
            <w:pPr>
              <w:spacing w:after="0"/>
              <w:rPr>
                <w:sz w:val="17"/>
                <w:szCs w:val="17"/>
                <w:color w:val="auto"/>
              </w:rPr>
            </w:pPr>
          </w:p>
        </w:tc>
        <w:tc>
          <w:tcPr>
            <w:tcW w:w="4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r>
      <w:tr>
        <w:trPr>
          <w:trHeight w:val="27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XBRL Instance</w:t>
            </w:r>
          </w:p>
        </w:tc>
      </w:tr>
      <w:tr>
        <w:trPr>
          <w:trHeight w:val="216"/>
        </w:trPr>
        <w:tc>
          <w:tcPr>
            <w:tcW w:w="1280" w:type="dxa"/>
            <w:vAlign w:val="bottom"/>
          </w:tcPr>
          <w:p>
            <w:pPr>
              <w:spacing w:after="0"/>
              <w:rPr>
                <w:sz w:val="18"/>
                <w:szCs w:val="18"/>
                <w:color w:val="auto"/>
              </w:rPr>
            </w:pPr>
          </w:p>
        </w:tc>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r>
      <w:tr>
        <w:trPr>
          <w:trHeight w:val="216"/>
        </w:trPr>
        <w:tc>
          <w:tcPr>
            <w:tcW w:w="1280" w:type="dxa"/>
            <w:vAlign w:val="bottom"/>
          </w:tcPr>
          <w:p>
            <w:pPr>
              <w:spacing w:after="0"/>
              <w:rPr>
                <w:sz w:val="18"/>
                <w:szCs w:val="18"/>
                <w:color w:val="auto"/>
              </w:rPr>
            </w:pPr>
          </w:p>
        </w:tc>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w:t>
            </w:r>
          </w:p>
        </w:tc>
      </w:tr>
      <w:tr>
        <w:trPr>
          <w:trHeight w:val="234"/>
        </w:trPr>
        <w:tc>
          <w:tcPr>
            <w:tcW w:w="1280" w:type="dxa"/>
            <w:vAlign w:val="bottom"/>
          </w:tcPr>
          <w:p>
            <w:pPr>
              <w:spacing w:after="0"/>
              <w:rPr>
                <w:sz w:val="20"/>
                <w:szCs w:val="20"/>
                <w:color w:val="auto"/>
              </w:rPr>
            </w:pPr>
          </w:p>
        </w:tc>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document</w:t>
            </w:r>
          </w:p>
        </w:tc>
      </w:tr>
    </w:tbl>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sectPr>
          <w:pgSz w:w="11900" w:h="16838" w:orient="portrait"/>
          <w:cols w:equalWidth="0" w:num="2">
            <w:col w:w="9600" w:space="720"/>
            <w:col w:w="920"/>
          </w:cols>
          <w:pgMar w:left="320" w:top="1251"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4"/>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Document</w:t>
            </w:r>
          </w:p>
        </w:tc>
      </w:tr>
      <w:tr>
        <w:trPr>
          <w:trHeight w:val="25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4"/>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Document</w:t>
            </w:r>
          </w:p>
        </w:tc>
      </w:tr>
      <w:tr>
        <w:trPr>
          <w:trHeight w:val="27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5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r>
        <w:trPr>
          <w:trHeight w:val="234"/>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36" w:lineRule="exact"/>
        <w:rPr>
          <w:sz w:val="20"/>
          <w:szCs w:val="20"/>
          <w:color w:val="auto"/>
        </w:rPr>
      </w:pPr>
    </w:p>
    <w:p>
      <w:pPr>
        <w:ind w:left="1300" w:right="4000" w:hanging="127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100" w:lineRule="exact"/>
        <w:rPr>
          <w:sz w:val="20"/>
          <w:szCs w:val="20"/>
          <w:color w:val="auto"/>
        </w:rPr>
      </w:pPr>
    </w:p>
    <w:p>
      <w:pPr>
        <w:sectPr>
          <w:pgSz w:w="11900" w:h="16838" w:orient="portrait"/>
          <w:cols w:equalWidth="0" w:num="2">
            <w:col w:w="9660" w:space="720"/>
            <w:col w:w="860"/>
          </w:cols>
          <w:pgMar w:left="320" w:top="1251" w:right="339" w:bottom="1440" w:gutter="0" w:footer="0" w:header="0"/>
          <w:type w:val="continuous"/>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320" w:lineRule="exact"/>
        <w:rPr>
          <w:sz w:val="20"/>
          <w:szCs w:val="20"/>
          <w:color w:val="auto"/>
        </w:rPr>
      </w:pPr>
    </w:p>
    <w:tbl>
      <w:tblPr>
        <w:tblLayout w:type="fixed"/>
        <w:tblInd w:w="59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Jonathan M. Lyons</w:t>
            </w:r>
          </w:p>
        </w:tc>
      </w:tr>
      <w:tr>
        <w:trPr>
          <w:trHeight w:val="27"/>
        </w:trPr>
        <w:tc>
          <w:tcPr>
            <w:tcW w:w="76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M. Lyons</w:t>
            </w:r>
          </w:p>
        </w:tc>
      </w:tr>
      <w:tr>
        <w:trPr>
          <w:trHeight w:val="27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70"/>
        </w:trPr>
        <w:tc>
          <w:tcPr>
            <w:tcW w:w="760" w:type="dxa"/>
            <w:vAlign w:val="bottom"/>
          </w:tcPr>
          <w:p>
            <w:pPr>
              <w:spacing w:after="0"/>
              <w:rPr>
                <w:sz w:val="23"/>
                <w:szCs w:val="23"/>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5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Alton E. Shader,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Sotera Health Company;</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3, 2026</w:t>
      </w:r>
    </w:p>
    <w:p>
      <w:pPr>
        <w:spacing w:after="0" w:line="2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 Alton E. Shader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17145</wp:posOffset>
            </wp:positionV>
            <wp:extent cx="18173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Alton E. Shader</w:t>
      </w:r>
    </w:p>
    <w:p>
      <w:pPr>
        <w:spacing w:after="0" w:line="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M. Lyons,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Sotera Health Company;</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3, 2026</w:t>
      </w:r>
    </w:p>
    <w:p>
      <w:pPr>
        <w:spacing w:after="0" w:line="2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17145</wp:posOffset>
            </wp:positionV>
            <wp:extent cx="21513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Senior Vice President and Chief Financial</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Officer</w:t>
      </w:r>
    </w:p>
    <w:p>
      <w:pPr>
        <w:spacing w:after="0" w:line="4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Sotera Health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certify, to each such officer’s knowledge, that the Company’s Quarterly Report on Form 10-Q for the quarter ended September 30, 2026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Alton E. Shader</w:t>
            </w:r>
          </w:p>
        </w:tc>
        <w:tc>
          <w:tcPr>
            <w:tcW w:w="0" w:type="dxa"/>
            <w:vAlign w:val="bottom"/>
          </w:tcPr>
          <w:p>
            <w:pPr>
              <w:spacing w:after="0"/>
              <w:rPr>
                <w:sz w:val="1"/>
                <w:szCs w:val="1"/>
                <w:color w:val="auto"/>
              </w:rPr>
            </w:pPr>
          </w:p>
        </w:tc>
      </w:tr>
      <w:tr>
        <w:trPr>
          <w:trHeight w:val="27"/>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November 3, 2026</w:t>
            </w:r>
          </w:p>
        </w:tc>
        <w:tc>
          <w:tcPr>
            <w:tcW w:w="5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20" w:type="dxa"/>
            <w:vAlign w:val="bottom"/>
            <w:vMerge w:val="continue"/>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Alton E. Shader</w:t>
            </w:r>
          </w:p>
        </w:tc>
        <w:tc>
          <w:tcPr>
            <w:tcW w:w="0" w:type="dxa"/>
            <w:vAlign w:val="bottom"/>
          </w:tcPr>
          <w:p>
            <w:pPr>
              <w:spacing w:after="0"/>
              <w:rPr>
                <w:sz w:val="1"/>
                <w:szCs w:val="1"/>
                <w:color w:val="auto"/>
              </w:rPr>
            </w:pPr>
          </w:p>
        </w:tc>
      </w:tr>
      <w:tr>
        <w:trPr>
          <w:trHeight w:val="214"/>
        </w:trPr>
        <w:tc>
          <w:tcPr>
            <w:tcW w:w="552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Jonathan M. Lyons</w:t>
            </w:r>
          </w:p>
        </w:tc>
        <w:tc>
          <w:tcPr>
            <w:tcW w:w="0" w:type="dxa"/>
            <w:vAlign w:val="bottom"/>
          </w:tcPr>
          <w:p>
            <w:pPr>
              <w:spacing w:after="0"/>
              <w:rPr>
                <w:sz w:val="1"/>
                <w:szCs w:val="1"/>
                <w:color w:val="auto"/>
              </w:rPr>
            </w:pPr>
          </w:p>
        </w:tc>
      </w:tr>
      <w:tr>
        <w:trPr>
          <w:trHeight w:val="27"/>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November 3, 2026</w:t>
            </w:r>
          </w:p>
        </w:tc>
        <w:tc>
          <w:tcPr>
            <w:tcW w:w="5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520" w:type="dxa"/>
            <w:vAlign w:val="bottom"/>
            <w:vMerge w:val="continue"/>
          </w:tcPr>
          <w:p>
            <w:pPr>
              <w:spacing w:after="0"/>
              <w:rPr>
                <w:sz w:val="17"/>
                <w:szCs w:val="17"/>
                <w:color w:val="auto"/>
              </w:rPr>
            </w:pPr>
          </w:p>
        </w:tc>
        <w:tc>
          <w:tcPr>
            <w:tcW w:w="57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Jonathan M. Lyons</w:t>
            </w:r>
          </w:p>
        </w:tc>
        <w:tc>
          <w:tcPr>
            <w:tcW w:w="0" w:type="dxa"/>
            <w:vAlign w:val="bottom"/>
          </w:tcPr>
          <w:p>
            <w:pPr>
              <w:spacing w:after="0"/>
              <w:rPr>
                <w:sz w:val="1"/>
                <w:szCs w:val="1"/>
                <w:color w:val="auto"/>
              </w:rPr>
            </w:pPr>
          </w:p>
        </w:tc>
      </w:tr>
      <w:tr>
        <w:trPr>
          <w:trHeight w:val="180"/>
        </w:trPr>
        <w:tc>
          <w:tcPr>
            <w:tcW w:w="5520" w:type="dxa"/>
            <w:vAlign w:val="bottom"/>
          </w:tcPr>
          <w:p>
            <w:pPr>
              <w:spacing w:after="0"/>
              <w:rPr>
                <w:sz w:val="15"/>
                <w:szCs w:val="15"/>
                <w:color w:val="auto"/>
              </w:rPr>
            </w:pPr>
          </w:p>
        </w:tc>
        <w:tc>
          <w:tcPr>
            <w:tcW w:w="57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 Senior Vice President and Chief Financial Officer</w:t>
            </w: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foregoing certifications are furnished and are not deemed filed with the Securities and Exchange Commission for purposes of Section 18 of the Securities Exchange Act of 1934, as amended (the “Exchange Act”), and are not deemed to be incorporated by reference into any filing of Sotera Health Company under the Securities Act of 1933, as amended, or the Exchange Act, except to the extent that Sotera Health Company specifically incorporates them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6"/>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decimal"/>
      <w:start w:val="9"/>
    </w:lvl>
  </w:abstractNum>
  <w:abstractNum w:abstractNumId="9">
    <w:nsid w:val="431BD7B7"/>
    <w:multiLevelType w:val="hybridMultilevel"/>
    <w:lvl w:ilvl="0">
      <w:lvlJc w:val="left"/>
      <w:lvlText w:val="%1."/>
      <w:numFmt w:val="decimal"/>
      <w:start w:val="1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Roman"/>
      <w:start w:val="1"/>
    </w:lvl>
  </w:abstractNum>
  <w:abstractNum w:abstractNumId="21">
    <w:nsid w:val="75A2A8D4"/>
    <w:multiLevelType w:val="hybridMultilevel"/>
    <w:lvl w:ilvl="0">
      <w:lvlJc w:val="left"/>
      <w:lvlText w:val="(%1)"/>
      <w:numFmt w:val="lowerLetter"/>
      <w:start w:val="11"/>
    </w:lvl>
  </w:abstractNum>
  <w:abstractNum w:abstractNumId="22">
    <w:nsid w:val="8EDBDAB"/>
    <w:multiLevelType w:val="hybridMultilevel"/>
    <w:lvl w:ilvl="0">
      <w:lvlJc w:val="left"/>
      <w:lvlText w:val="*"/>
      <w:numFmt w:val="bullet"/>
      <w:start w:val="1"/>
    </w:lvl>
    <w:lvl w:ilvl="1">
      <w:lvlJc w:val="left"/>
      <w:lvlText w:val="%2"/>
      <w:numFmt w:val="decimal"/>
      <w:start w:val="104"/>
    </w:lvl>
  </w:abstractNum>
  <w:abstractNum w:abstractNumId="23">
    <w:nsid w:val="79838CB2"/>
    <w:multiLevelType w:val="hybridMultilevel"/>
    <w:lvl w:ilvl="0">
      <w:lvlJc w:val="left"/>
      <w:lvlText w:val="**"/>
      <w:numFmt w:val="bullet"/>
      <w:start w:val="1"/>
    </w:lvl>
    <w:lvl w:ilvl="1">
      <w:lvlJc w:val="left"/>
      <w:lvlText w:val="%2"/>
      <w:numFmt w:val="decimal"/>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2026-11-03T15:16:43Z</dcterms:created>
  <dcterms:modified xsi:type="dcterms:W3CDTF">2026-11-03T15:16:43Z</dcterms:modified>
</cp:coreProperties>
</file>