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14,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heading “Preliminary Financial Results” under Item 7.01 is incorporated by reference into this Item 2.02.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Results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January 14, 2025, Sotera Health Company (the “Company”) issued a press release announcing preliminary revenue results for full-year 2024 (the “Press Release”). A copy of the Press Release is attached hereto as Exhibit 99.1.</w:t>
      </w:r>
    </w:p>
    <w:p>
      <w:pPr>
        <w:spacing w:after="0" w:line="13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These preliminary revenue results are based on information available to the Company as of January 14, 2025 and are subject to completion of the Company’s year-end financial closing procedures and audit by the Company’s independent registered public accounting firm. The range of revenues included in the Press Release is within the guidance provided at the time of the Company’s third quarter earnings release.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Healthcare Conference Presentation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7, 2025, Michael B. Petras, Jr., Chairman and CEO of the Company, will deliver a business update at the 43rd Annual J.P. Morgan Healthcare Conference on January 14, 2025 at 11:15 a.m. Eastern Time. A copy of the Company’s slide presentation and a link to the live presentation, or a replay of the webcast of the presentation, may be accessed via the Investor Relations section of the Company’s website.</w:t>
      </w:r>
    </w:p>
    <w:p>
      <w:pPr>
        <w:spacing w:after="0" w:line="14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January 14, 2025.</w:t>
            </w:r>
          </w:p>
        </w:tc>
        <w:tc>
          <w:tcPr>
            <w:tcW w:w="7040" w:type="dxa"/>
            <w:vAlign w:val="bottom"/>
          </w:tcPr>
          <w:p>
            <w:pPr>
              <w:spacing w:after="0"/>
              <w:rPr>
                <w:sz w:val="17"/>
                <w:szCs w:val="17"/>
                <w:color w:val="auto"/>
              </w:rPr>
            </w:pPr>
          </w:p>
        </w:tc>
      </w:tr>
      <w:tr>
        <w:trPr>
          <w:trHeight w:val="29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7"/>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234440"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Chairman and CEO Presents at</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43rd Annual J.P. Morgan Healthcare Conference</w:t>
      </w:r>
    </w:p>
    <w:p>
      <w:pPr>
        <w:spacing w:after="0" w:line="217"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b w:val="1"/>
          <w:bCs w:val="1"/>
          <w:color w:val="auto"/>
        </w:rPr>
        <w:t xml:space="preserve">CLEVELAND, OH, January 14, 2025 </w:t>
      </w:r>
      <w:r>
        <w:rPr>
          <w:rFonts w:ascii="Calibri" w:cs="Calibri" w:eastAsia="Calibri" w:hAnsi="Calibri"/>
          <w:sz w:val="17"/>
          <w:szCs w:val="17"/>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Sotera Health Company (“Sotera Health” or the “Company”) (Nasdaq: SHC), a leading global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provider of mission-critcal end-to-end sterilizaton solutons and lab testng and advisory services for the healthcare industry, is presentng today at the 43rd Annual J.P. Morgan Healthcare Conference. During the presentaton, Chairman and CEO Michael B. Petras, Jr. will be providing an update on Sotera Health’s business.</w:t>
      </w:r>
    </w:p>
    <w:p>
      <w:pPr>
        <w:spacing w:after="0" w:line="186" w:lineRule="exact"/>
        <w:rPr>
          <w:sz w:val="20"/>
          <w:szCs w:val="20"/>
          <w:color w:val="auto"/>
        </w:rPr>
      </w:pPr>
    </w:p>
    <w:p>
      <w:pPr>
        <w:ind w:right="200"/>
        <w:spacing w:after="0" w:line="231" w:lineRule="auto"/>
        <w:rPr>
          <w:sz w:val="20"/>
          <w:szCs w:val="20"/>
          <w:color w:val="auto"/>
        </w:rPr>
      </w:pPr>
      <w:r>
        <w:rPr>
          <w:rFonts w:ascii="Calibri" w:cs="Calibri" w:eastAsia="Calibri" w:hAnsi="Calibri"/>
          <w:sz w:val="20"/>
          <w:szCs w:val="20"/>
          <w:color w:val="auto"/>
        </w:rPr>
        <w:t>“I am pleased to announce that Sotera Health delivered another year of top-line growth in 2024,” said Mr. Petras. “We expect full-year revenues will be approximately $1.1 billion, representng growth of nearly 5% versus 2023 and more than 5% growth on a constant currency basis. The growth we experienced in 2024 is a testament to the resiliency of our business model, which allows us to serve our customers with excellence in all types of market environments. We look forward to reportng our full 2024 fnancial results and 2025 outlook on February 27, 2025.”</w:t>
      </w:r>
    </w:p>
    <w:p>
      <w:pPr>
        <w:spacing w:after="0" w:line="189" w:lineRule="exact"/>
        <w:rPr>
          <w:sz w:val="20"/>
          <w:szCs w:val="20"/>
          <w:color w:val="auto"/>
        </w:rPr>
      </w:pPr>
    </w:p>
    <w:p>
      <w:pPr>
        <w:ind w:right="260"/>
        <w:spacing w:after="0" w:line="233" w:lineRule="auto"/>
        <w:rPr>
          <w:sz w:val="20"/>
          <w:szCs w:val="20"/>
          <w:color w:val="auto"/>
        </w:rPr>
      </w:pPr>
      <w:r>
        <w:rPr>
          <w:rFonts w:ascii="Calibri" w:cs="Calibri" w:eastAsia="Calibri" w:hAnsi="Calibri"/>
          <w:sz w:val="20"/>
          <w:szCs w:val="20"/>
          <w:color w:val="auto"/>
        </w:rPr>
        <w:t xml:space="preserve">Mr. Petras, Jon Lyons, Senior Vice-President and CFO, and Jason Peterson, Vice President, Investor Relatons and Treasurer, are partcipatng in meetngs with investors during the conference. A live webcast of Mr. Petras’ presentaton and accompanying materials may be accessed via the Investor Relatons secton of the Company’s website at </w:t>
      </w:r>
      <w:r>
        <w:rPr>
          <w:rFonts w:ascii="Calibri" w:cs="Calibri" w:eastAsia="Calibri" w:hAnsi="Calibri"/>
          <w:sz w:val="20"/>
          <w:szCs w:val="20"/>
          <w:u w:val="single" w:color="auto"/>
          <w:color w:val="0000FF"/>
        </w:rPr>
        <w:t>Presentaton &amp; Events | Sotera Health</w:t>
      </w:r>
      <w:r>
        <w:rPr>
          <w:rFonts w:ascii="Calibri" w:cs="Calibri" w:eastAsia="Calibri" w:hAnsi="Calibri"/>
          <w:sz w:val="20"/>
          <w:szCs w:val="20"/>
          <w:color w:val="auto"/>
        </w:rPr>
        <w:t>. A replay of the webcast will be archived on the Company's website.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90"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within the meaning of the Private Securites Litgaton Reform Act of 1995 and refect management’s expectatons about future events and the Company’s operatng plans and performance and speak only as of the date hereof. Forward-looking statements present our current forecasts and estmates of future events. These statements do not strictly relate to historical or current results and can be identfed by words such as “antcipate,” “appear,” “assume,” “believe,” “estmate,” “expect,” “forecast,” “intend,” “likely,” “may,” “plan,” “project,” “seek,” “should,” “strategy,” “will” and other terms of similar meaning or import in connecton with any discussion of future operatng, fnancial or other performance. These forward-looking statements are subject to risks, uncertaintes and other factors and actual results may difer materially from those results projected in the statements. These forward-looking statements are subject to various risks, uncertaintes and assumptons relatng to our operatons, fnancial results, fnancial conditon, business, prospects, growth strategy and liquidity. These risks and uncertaintes include, but are not limited to, a disrupton in the availability or supply of, or increases in the price of, ethylene oxide (“EO”), Cobalt-60 (“Co-60”) or our other direct materials, services and supplies, including as a result of geopolitcal instability and/or sanctons against Russia by the United States, Canada, United Kingdom and/or the European Union; fuctuatons in foreign currency exchange rates; changes in environmental, health and safety regulatons or preferences, and general economic, social and business conditons; health and safety risks associated with the use, storage, transportaton and disposal of potentally hazardous materials such as EO and Co-60; the impact and outcome of current and future legal proceedings and liability claims, including litgaton related to the use, emissions and releases of EO from our facilites in California, Georgia, Illinois and New Mexico and the possibility that additonal claims will be made in the future relatng to these or other facilites; allegatons of our failure to properly perform services and potental product liability claims, recalls, penaltes and reputatonal harm; compliance with the extensive regulatory requirements to which we are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113"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40"/>
          </w:cols>
          <w:pgMar w:left="320" w:top="105" w:right="339" w:bottom="1440" w:gutter="0" w:footer="0" w:header="0"/>
        </w:sectPr>
      </w:pPr>
    </w:p>
    <w:bookmarkStart w:id="4" w:name="page5"/>
    <w:bookmarkEnd w:id="4"/>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234440"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02590"/>
                    </a:xfrm>
                    <a:prstGeom prst="rect">
                      <a:avLst/>
                    </a:prstGeom>
                    <a:noFill/>
                  </pic:spPr>
                </pic:pic>
              </a:graphicData>
            </a:graphic>
          </wp:anchor>
        </w:drawing>
      </w:r>
    </w:p>
    <w:p>
      <w:pPr>
        <w:spacing w:after="0" w:line="233" w:lineRule="auto"/>
        <w:rPr>
          <w:sz w:val="20"/>
          <w:szCs w:val="20"/>
          <w:color w:val="auto"/>
        </w:rPr>
      </w:pPr>
      <w:r>
        <w:rPr>
          <w:rFonts w:ascii="Calibri" w:cs="Calibri" w:eastAsia="Calibri" w:hAnsi="Calibri"/>
          <w:sz w:val="20"/>
          <w:szCs w:val="20"/>
          <w:color w:val="auto"/>
        </w:rPr>
        <w:t>subject, the related costs, and any failures to receive or maintain, or delays in receiving, required clearances or approvals; adverse changes in industry trends; competton we face; market changes, including infatonary trends, that impact our long-term supply contracts with variable price clauses and increase our cost of revenues; business contnuity hazards, including supply chain disruptons and other risks associated with our operatons; the risks of doing business internatonally, including global and regional economic and politcal instability and compliance with numerous laws and sometmes inconsistent laws and regulatons in multple jurisdictons; our ability to increase capacity at existng facilites, build new facilites in a tmely and cost-efectve manner and renew leases for our leased facilites; our ability to atract and retain qualifed employees; severe health events or environmental events; cybersecurity breaches, unauthorized data disclosures, and our dependence on informaton technology systems; an inability to pursue strategic transactons, fnd suitable acquisiton targets, or integrate strategic acquisitons into our business successfully; our ability to maintain efectve internal control over fnancial reportng; our reliance on intellectual property to maintain our compettve positon and the risk of claims from third partes that we have infringed or misappropriated, or are infringing or misappropriatng, their intellectual property rights; our ability to comply with rapidly evolving data privacy and security laws and regulatons in various jurisdictons and any inefectve compliance eforts with such laws and regulatons; our ability to maintain proftability in the future; impairment charges on our goodwill and other intangible assets with indefnite lives, as well as other long-lived assets and intangible assets with defnite lives; the efects of unionizaton eforts and labor regulatons in countries in which we operate; adverse changes to our tax positons in U.S. or non-U.S. jurisdictons or the interpretaton and applicaton of recent U.S. tax legislaton or other changes in U.S. or non-U.S. taxaton of our operatons; and our signifcant leverage and how this signifcant leverage could adversely afect our ability to raise additonal capital, limit our ability to react to challenges confrontng our Company or broader changes in our industry or the economy, limit our fexibility in operatng our business through restrictons contained in our debt agreements and/or prevent us from meetng our obligatons under our existng and future indebtedness. For additonal discussion of these risks and uncertaintes, please refer to the Company’s flings with the SEC, such as its Annual Report on Form 10-K and quarterly reports. We do not undertake any obligaton to publicly update or revise these forward-looking statements, except as otherwise required by law.</w:t>
      </w:r>
    </w:p>
    <w:p>
      <w:pPr>
        <w:spacing w:after="0" w:line="199"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The Company’s fnancial statement closing procedures for the three months and year ended December 31, 2024 are not yet complete and, as a result, the fnancial informaton above refects the Company’s preliminary estmates with respect to such results based on informaton currently available to management. The Company’s actual fnancial results as of and for the three months and year ended December 31, 2024 may vary materially from these preliminary estmates due to the completon of our fnancial statement closing procedures, fnal adjustments and other developments arising between now and the tme that our fnancial results for the three months and year ended December 31, 2024 are released. Estmates of fnancial results are inherently uncertain and we undertake no obligaton to update this informaton.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113"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20"/>
          </w:cols>
          <w:pgMar w:left="320" w:top="1440" w:right="359" w:bottom="1440" w:gutter="0" w:footer="0" w:header="0"/>
        </w:sectPr>
      </w:pPr>
    </w:p>
    <w:bookmarkStart w:id="5" w:name="page6"/>
    <w:bookmarkEnd w:id="5"/>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23444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02590"/>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ind w:right="240"/>
        <w:spacing w:after="0" w:line="215"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w:t>
      </w:r>
      <w:r>
        <w:rPr>
          <w:rFonts w:ascii="Calibri" w:cs="Calibri" w:eastAsia="Calibri" w:hAnsi="Calibri"/>
          <w:sz w:val="25"/>
          <w:szCs w:val="25"/>
          <w:color w:val="auto"/>
          <w:vertAlign w:val="superscript"/>
        </w:rPr>
        <w:t>®</w:t>
      </w:r>
      <w:r>
        <w:rPr>
          <w:rFonts w:ascii="Calibri" w:cs="Calibri" w:eastAsia="Calibri" w:hAnsi="Calibri"/>
          <w:sz w:val="20"/>
          <w:szCs w:val="20"/>
          <w:color w:val="auto"/>
        </w:rPr>
        <w:t>, Nordion</w:t>
      </w:r>
      <w:r>
        <w:rPr>
          <w:rFonts w:ascii="Calibri" w:cs="Calibri" w:eastAsia="Calibri" w:hAnsi="Calibri"/>
          <w:sz w:val="25"/>
          <w:szCs w:val="25"/>
          <w:color w:val="auto"/>
          <w:vertAlign w:val="superscript"/>
        </w:rPr>
        <w:t>®</w:t>
      </w:r>
      <w:r>
        <w:rPr>
          <w:rFonts w:ascii="Calibri" w:cs="Calibri" w:eastAsia="Calibri" w:hAnsi="Calibri"/>
          <w:sz w:val="20"/>
          <w:szCs w:val="20"/>
          <w:color w:val="auto"/>
        </w:rPr>
        <w:t xml:space="preserve"> and Nelson Labs</w:t>
      </w:r>
      <w:r>
        <w:rPr>
          <w:rFonts w:ascii="Calibri" w:cs="Calibri" w:eastAsia="Calibri" w:hAnsi="Calibri"/>
          <w:sz w:val="25"/>
          <w:szCs w:val="25"/>
          <w:color w:val="auto"/>
          <w:vertAlign w:val="superscript"/>
        </w:rPr>
        <w:t>®</w:t>
      </w:r>
      <w:r>
        <w:rPr>
          <w:rFonts w:ascii="Calibri" w:cs="Calibri" w:eastAsia="Calibri" w:hAnsi="Calibri"/>
          <w:sz w:val="20"/>
          <w:szCs w:val="20"/>
          <w:color w:val="auto"/>
        </w:rPr>
        <w:t>. Sotera Health is commited to its mission, Safeguarding Global Health</w:t>
      </w:r>
      <w:r>
        <w:rPr>
          <w:rFonts w:ascii="Calibri" w:cs="Calibri" w:eastAsia="Calibri" w:hAnsi="Calibri"/>
          <w:sz w:val="25"/>
          <w:szCs w:val="25"/>
          <w:color w:val="auto"/>
          <w:vertAlign w:val="superscript"/>
        </w:rPr>
        <w:t>®</w:t>
      </w:r>
      <w:r>
        <w:rPr>
          <w:rFonts w:ascii="Calibri" w:cs="Calibri" w:eastAsia="Calibri" w:hAnsi="Calibri"/>
          <w:sz w:val="20"/>
          <w:szCs w:val="20"/>
          <w:color w:val="auto"/>
        </w:rPr>
        <w:t>.</w:t>
      </w:r>
    </w:p>
    <w:p>
      <w:pPr>
        <w:spacing w:after="0" w:line="126"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 xml:space="preserve">Updates can be found from tme to tme on recent developments in maters relevant to investors on the Investor Relatons secton of the Company’s website at </w:t>
      </w:r>
      <w:r>
        <w:rPr>
          <w:rFonts w:ascii="Calibri" w:cs="Calibri" w:eastAsia="Calibri" w:hAnsi="Calibri"/>
          <w:sz w:val="20"/>
          <w:szCs w:val="20"/>
          <w:u w:val="single" w:color="auto"/>
          <w:color w:val="0000FF"/>
        </w:rPr>
        <w:t>Investor Relatons | Sotera Health</w:t>
      </w:r>
      <w:r>
        <w:rPr>
          <w:rFonts w:ascii="Calibri" w:cs="Calibri" w:eastAsia="Calibri" w:hAnsi="Calibri"/>
          <w:sz w:val="20"/>
          <w:szCs w:val="20"/>
          <w:color w:val="3A383A"/>
          <w:highlight w:val="white"/>
        </w:rPr>
        <w:t>.</w:t>
      </w:r>
      <w:r>
        <w:rPr>
          <w:rFonts w:ascii="Calibri" w:cs="Calibri" w:eastAsia="Calibri" w:hAnsi="Calibri"/>
          <w:sz w:val="20"/>
          <w:szCs w:val="20"/>
          <w:color w:val="auto"/>
        </w:rPr>
        <w:t xml:space="preserve"> </w:t>
      </w:r>
      <w:r>
        <w:rPr>
          <w:rFonts w:ascii="Calibri" w:cs="Calibri" w:eastAsia="Calibri" w:hAnsi="Calibri"/>
          <w:sz w:val="20"/>
          <w:szCs w:val="20"/>
          <w:color w:val="auto"/>
          <w:highlight w:val="white"/>
        </w:rPr>
        <w:t>For developments related to Ethylene Oxide, updates can be found at</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highlight w:val="white"/>
        </w:rPr>
        <w:t>Ethylene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Oxide | Sotera Health</w:t>
      </w:r>
      <w:r>
        <w:rPr>
          <w:rFonts w:ascii="Calibri" w:cs="Calibri" w:eastAsia="Calibri" w:hAnsi="Calibri"/>
          <w:sz w:val="20"/>
          <w:szCs w:val="20"/>
          <w:color w:val="3A383A"/>
        </w:rPr>
        <w:t>.</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Jason Peterson</w:t>
      </w:r>
    </w:p>
    <w:p>
      <w:pPr>
        <w:spacing w:after="0" w:line="238" w:lineRule="auto"/>
        <w:rPr>
          <w:sz w:val="20"/>
          <w:szCs w:val="20"/>
          <w:color w:val="auto"/>
        </w:rPr>
      </w:pPr>
      <w:r>
        <w:rPr>
          <w:rFonts w:ascii="Calibri" w:cs="Calibri" w:eastAsia="Calibri" w:hAnsi="Calibri"/>
          <w:sz w:val="20"/>
          <w:szCs w:val="20"/>
          <w:color w:val="auto"/>
        </w:rPr>
        <w:t>Vice President, Investor Relatons &amp; Treasurer</w:t>
      </w:r>
    </w:p>
    <w:p>
      <w:pPr>
        <w:spacing w:after="0" w:line="226" w:lineRule="auto"/>
        <w:rPr>
          <w:sz w:val="20"/>
          <w:szCs w:val="20"/>
          <w:color w:val="auto"/>
        </w:rPr>
      </w:pPr>
      <w:r>
        <w:rPr>
          <w:rFonts w:ascii="Calibri" w:cs="Calibri" w:eastAsia="Calibri" w:hAnsi="Calibri"/>
          <w:sz w:val="20"/>
          <w:szCs w:val="20"/>
          <w:u w:val="single" w:color="auto"/>
          <w:color w:val="0000FF"/>
        </w:rPr>
        <w:t>IR@soterahealth.com</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25" w:lineRule="auto"/>
        <w:rPr>
          <w:sz w:val="20"/>
          <w:szCs w:val="20"/>
          <w:color w:val="auto"/>
        </w:rPr>
      </w:pPr>
      <w:r>
        <w:rPr>
          <w:rFonts w:ascii="Calibri" w:cs="Calibri" w:eastAsia="Calibri" w:hAnsi="Calibri"/>
          <w:sz w:val="20"/>
          <w:szCs w:val="20"/>
          <w:color w:val="auto"/>
        </w:rPr>
        <w:t>Chief Marketng Ofcer</w:t>
      </w:r>
    </w:p>
    <w:p>
      <w:pPr>
        <w:spacing w:after="0"/>
        <w:rPr>
          <w:sz w:val="20"/>
          <w:szCs w:val="20"/>
          <w:color w:val="auto"/>
        </w:rPr>
      </w:pPr>
      <w:r>
        <w:rPr>
          <w:rFonts w:ascii="Calibri" w:cs="Calibri" w:eastAsia="Calibri" w:hAnsi="Calibri"/>
          <w:sz w:val="20"/>
          <w:szCs w:val="20"/>
          <w:u w:val="single" w:color="auto"/>
          <w:color w:val="0000FF"/>
        </w:rPr>
        <w:t>kgibbs@soterahealth.com</w:t>
      </w:r>
    </w:p>
    <w:p>
      <w:pPr>
        <w:spacing w:after="0" w:line="268"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174"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2025-01-14T06:40:20Z</dcterms:created>
  <dcterms:modified xsi:type="dcterms:W3CDTF">2025-01-14T06:40:20Z</dcterms:modified>
</cp:coreProperties>
</file>