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2023</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78" w:right="339" w:bottom="1440" w:gutter="0" w:footer="0" w:header="0"/>
        </w:sectPr>
      </w:pPr>
    </w:p>
    <w:p>
      <w:pPr>
        <w:spacing w:after="0" w:line="3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20" w:space="720"/>
            <w:col w:w="3020" w:space="720"/>
            <w:col w:w="2260"/>
          </w:cols>
          <w:pgMar w:left="320" w:top="1178"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78"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78"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77"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80" w:firstLine="26"/>
        <w:spacing w:after="0" w:line="527"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r>
      <w:tr>
        <w:trPr>
          <w:trHeight w:val="20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2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SHC</w:t>
            </w:r>
          </w:p>
        </w:tc>
        <w:tc>
          <w:tcPr>
            <w:tcW w:w="12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On August 3, 2023, Sotera Health Company (the “Company”) issued a press release (the “Press Release”) announcing its financial results for the quarter ended June 30, 2023. The Company will hold its previously announced conference call on August 3, 2023, at 9:00 a.m. Eastern Time to discuss its financial results for the quarter. A copy of the Press Release is attached hereto as Exhibit 99.1 and is incorporated herein by reference.</w:t>
      </w:r>
    </w:p>
    <w:p>
      <w:pPr>
        <w:spacing w:after="0" w:line="10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ind w:left="20"/>
              <w:spacing w:after="0"/>
              <w:rPr>
                <w:sz w:val="20"/>
                <w:szCs w:val="20"/>
                <w:color w:val="auto"/>
              </w:rPr>
            </w:pPr>
            <w:r>
              <w:rPr>
                <w:rFonts w:ascii="Arial" w:cs="Arial" w:eastAsia="Arial" w:hAnsi="Arial"/>
                <w:sz w:val="14"/>
                <w:szCs w:val="14"/>
                <w:color w:val="auto"/>
              </w:rPr>
              <w:t>Exhibit Number</w:t>
            </w:r>
          </w:p>
        </w:tc>
        <w:tc>
          <w:tcPr>
            <w:tcW w:w="100" w:type="dxa"/>
            <w:vAlign w:val="bottom"/>
          </w:tcPr>
          <w:p>
            <w:pPr>
              <w:spacing w:after="0"/>
              <w:rPr>
                <w:sz w:val="15"/>
                <w:szCs w:val="15"/>
                <w:color w:val="auto"/>
              </w:rPr>
            </w:pPr>
          </w:p>
        </w:tc>
        <w:tc>
          <w:tcPr>
            <w:tcW w:w="9820" w:type="dxa"/>
            <w:vAlign w:val="bottom"/>
            <w:gridSpan w:val="3"/>
          </w:tcPr>
          <w:p>
            <w:pPr>
              <w:ind w:left="20"/>
              <w:spacing w:after="0"/>
              <w:rPr>
                <w:sz w:val="20"/>
                <w:szCs w:val="20"/>
                <w:color w:val="auto"/>
              </w:rPr>
            </w:pPr>
            <w:r>
              <w:rPr>
                <w:rFonts w:ascii="Arial" w:cs="Arial" w:eastAsia="Arial" w:hAnsi="Arial"/>
                <w:sz w:val="14"/>
                <w:szCs w:val="14"/>
                <w:color w:val="auto"/>
              </w:rPr>
              <w:t>Description</w:t>
            </w:r>
          </w:p>
        </w:tc>
      </w:tr>
      <w:tr>
        <w:trPr>
          <w:trHeight w:val="39"/>
        </w:trPr>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r>
      <w:tr>
        <w:trPr>
          <w:trHeight w:val="196"/>
        </w:trPr>
        <w:tc>
          <w:tcPr>
            <w:tcW w:w="132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9820" w:type="dxa"/>
            <w:vAlign w:val="bottom"/>
            <w:gridSpan w:val="3"/>
          </w:tcPr>
          <w:p>
            <w:pPr>
              <w:ind w:left="20"/>
              <w:spacing w:after="0" w:line="196" w:lineRule="exact"/>
              <w:rPr>
                <w:sz w:val="20"/>
                <w:szCs w:val="20"/>
                <w:color w:val="auto"/>
              </w:rPr>
            </w:pPr>
            <w:r>
              <w:rPr>
                <w:rFonts w:ascii="Arial" w:cs="Arial" w:eastAsia="Arial" w:hAnsi="Arial"/>
                <w:sz w:val="18"/>
                <w:szCs w:val="18"/>
                <w:color w:val="0000FF"/>
              </w:rPr>
              <w:t>Press Release, dated August 3, 2023</w:t>
            </w:r>
          </w:p>
        </w:tc>
      </w:tr>
      <w:tr>
        <w:trPr>
          <w:trHeight w:val="568"/>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top w:val="single" w:sz="8" w:color="0000FF"/>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20"/>
        <w:spacing w:after="0"/>
        <w:tabs>
          <w:tab w:leader="none" w:pos="5160" w:val="left"/>
          <w:tab w:leader="none" w:pos="60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Jonathan M. Lyons</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5005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05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Sotera Health Reports Second-Quarter and First-Half 2023 Results</w:t>
      </w:r>
    </w:p>
    <w:p>
      <w:pPr>
        <w:spacing w:after="0" w:line="238" w:lineRule="exact"/>
        <w:rPr>
          <w:sz w:val="20"/>
          <w:szCs w:val="20"/>
          <w:color w:val="auto"/>
        </w:rPr>
      </w:pPr>
    </w:p>
    <w:p>
      <w:pPr>
        <w:ind w:left="660" w:right="480" w:hanging="328"/>
        <w:spacing w:after="0" w:line="253"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2023 net revenues of $255 million decreased 4%, compared to Q2 2022, primarily driven by expected Nordion Cobalt-60 harvest schedule tming</w:t>
      </w:r>
    </w:p>
    <w:p>
      <w:pPr>
        <w:spacing w:after="0" w:line="1" w:lineRule="exact"/>
        <w:rPr>
          <w:rFonts w:ascii="Arial" w:cs="Arial" w:eastAsia="Arial" w:hAnsi="Arial"/>
          <w:sz w:val="22"/>
          <w:szCs w:val="22"/>
          <w:b w:val="1"/>
          <w:bCs w:val="1"/>
          <w:i w:val="1"/>
          <w:iCs w:val="1"/>
          <w:color w:val="auto"/>
        </w:rPr>
      </w:pPr>
    </w:p>
    <w:p>
      <w:pPr>
        <w:ind w:left="660" w:right="440" w:hanging="328"/>
        <w:spacing w:after="0" w:line="243"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2023 net income of $24 million or $0.08 per diluted share, compared to net income of $30 million or $0.11 per diluted share in Q2 2022</w:t>
      </w:r>
    </w:p>
    <w:p>
      <w:pPr>
        <w:ind w:left="660" w:right="80" w:hanging="328"/>
        <w:spacing w:after="0" w:line="249"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2023 Adjusted EBITDA of $128 million decreased 6%, compared to Q2 2022, driven by expected Nordion Cobalt-60 harvest schedule tming</w:t>
      </w:r>
    </w:p>
    <w:p>
      <w:pPr>
        <w:spacing w:after="0" w:line="1" w:lineRule="exact"/>
        <w:rPr>
          <w:rFonts w:ascii="Arial" w:cs="Arial" w:eastAsia="Arial" w:hAnsi="Arial"/>
          <w:sz w:val="22"/>
          <w:szCs w:val="22"/>
          <w:b w:val="1"/>
          <w:bCs w:val="1"/>
          <w:i w:val="1"/>
          <w:i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2023 Adjusted EPS of $0.21 decreased $0.06 per diluted share, compared to Q2 2022</w:t>
      </w:r>
    </w:p>
    <w:p>
      <w:pPr>
        <w:spacing w:after="0" w:line="3" w:lineRule="exact"/>
        <w:rPr>
          <w:rFonts w:ascii="Arial" w:cs="Arial" w:eastAsia="Arial" w:hAnsi="Arial"/>
          <w:sz w:val="22"/>
          <w:szCs w:val="22"/>
          <w:b w:val="1"/>
          <w:bCs w:val="1"/>
          <w:i w:val="1"/>
          <w:i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Total debt of $2.3 billion and net leverage rato of 4.2x as of June 30, 2023</w:t>
      </w:r>
    </w:p>
    <w:p>
      <w:pPr>
        <w:spacing w:after="0" w:line="3" w:lineRule="exact"/>
        <w:rPr>
          <w:rFonts w:ascii="Arial" w:cs="Arial" w:eastAsia="Arial" w:hAnsi="Arial"/>
          <w:sz w:val="22"/>
          <w:szCs w:val="22"/>
          <w:b w:val="1"/>
          <w:bCs w:val="1"/>
          <w:i w:val="1"/>
          <w:iCs w:val="1"/>
          <w:color w:val="auto"/>
        </w:rPr>
      </w:pPr>
    </w:p>
    <w:p>
      <w:pPr>
        <w:ind w:left="660" w:hanging="328"/>
        <w:spacing w:after="0" w:line="246"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Adjustng full-year 2023 net revenue outlook to $1.035 billion to $1.055 billion and Adjusted EBITDA to $520 million to $535 million</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b w:val="1"/>
          <w:bCs w:val="1"/>
          <w:color w:val="auto"/>
        </w:rPr>
        <w:t xml:space="preserve">CLEVELAND, OH, August 3, 2023 </w:t>
      </w:r>
      <w:r>
        <w:rPr>
          <w:rFonts w:ascii="Arial" w:cs="Arial" w:eastAsia="Arial" w:hAnsi="Arial"/>
          <w:sz w:val="20"/>
          <w:szCs w:val="20"/>
          <w:color w:val="auto"/>
        </w:rPr>
        <w:t>– Sotera Health Company (“Sotera Health” or the “Company”) (Nasdaq: SHC), a leading global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mission-critcal end-to-end sterilizaton solutons, lab testng and advisory services for the healthcare industry, today announced fnancial results for the three and six months ended June 30, 2023.</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Second-quarter 2023 net revenues decreased 4.3% to $255 million, compared with $267 million in the second-quarter 2022. Net income was $24 million, or $0.08 per diluted share, compared with net income of $30 million, or $0.11 per diluted share in the second-quarter of 2022. Adjusted EBITDA for the second-quarter 2023 decreased 5.6% to $128 million compared to $136 million in the second-quarter 2022. Second-quarter 2023 Adjusted Earnings Per Diluted Share (“Adjusted EPS”) was $0.21, compared to $0.27 in the second quarter of 2022. Please refer to the secton “Non-GAAP Financial Measures” provided later in this release.</w:t>
      </w:r>
    </w:p>
    <w:p>
      <w:pPr>
        <w:spacing w:after="0" w:line="197" w:lineRule="exact"/>
        <w:rPr>
          <w:sz w:val="20"/>
          <w:szCs w:val="20"/>
          <w:color w:val="auto"/>
        </w:rPr>
      </w:pPr>
    </w:p>
    <w:p>
      <w:pPr>
        <w:jc w:val="both"/>
        <w:ind w:right="160"/>
        <w:spacing w:after="0" w:line="271" w:lineRule="auto"/>
        <w:rPr>
          <w:sz w:val="20"/>
          <w:szCs w:val="20"/>
          <w:color w:val="auto"/>
        </w:rPr>
      </w:pPr>
      <w:r>
        <w:rPr>
          <w:rFonts w:ascii="Arial" w:cs="Arial" w:eastAsia="Arial" w:hAnsi="Arial"/>
          <w:sz w:val="19"/>
          <w:szCs w:val="19"/>
          <w:color w:val="auto"/>
        </w:rPr>
        <w:t>For the frst six months of 2023, net revenues decreased 5.5% to $476 million, compared to $503 million for the same period in 2022. Net revenues decreased approximately 4.6% on a constant currency basis. Net income was $26 million, or $0.09 per diluted share for the frst half of 2023, compared with net income of $61 million, or $0.22 per diluted share, for the same period last year. Adjusted EBITDA for the frst half of 2023 decreased 9.8% to $227 million and Adjusted EPS decreased by $0.15 to $0.34 compared to the frst half of 2022. Please refer to the secton “Non-GAAP Financial Measures” provided later in this release.</w:t>
      </w:r>
    </w:p>
    <w:p>
      <w:pPr>
        <w:spacing w:after="0" w:line="197" w:lineRule="exact"/>
        <w:rPr>
          <w:sz w:val="20"/>
          <w:szCs w:val="20"/>
          <w:color w:val="auto"/>
        </w:rPr>
      </w:pPr>
    </w:p>
    <w:p>
      <w:pPr>
        <w:jc w:val="both"/>
        <w:ind w:right="40"/>
        <w:spacing w:after="0" w:line="256" w:lineRule="auto"/>
        <w:rPr>
          <w:sz w:val="20"/>
          <w:szCs w:val="20"/>
          <w:color w:val="auto"/>
        </w:rPr>
      </w:pPr>
      <w:r>
        <w:rPr>
          <w:rFonts w:ascii="Arial" w:cs="Arial" w:eastAsia="Arial" w:hAnsi="Arial"/>
          <w:sz w:val="20"/>
          <w:szCs w:val="20"/>
          <w:color w:val="auto"/>
        </w:rPr>
        <w:t>“The team has been working diligently to execute on our strategy in a challenging environment,” said Chairman and Chief Executve Ofcer, Michael B. Petras, Jr. “All three business units have achieved signifcant margin expansion versus the frst quarter of this year while Nordion has done an excellent job navigatng the complexites of cobalt-60 logistcs. Additonally, we are pleased to have completed the setlement of the Illinois EO litgaton ahead of schedule with a 99.7% partcipaton rate.”</w:t>
      </w:r>
    </w:p>
    <w:p>
      <w:pPr>
        <w:spacing w:after="0" w:line="220"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Petras contnued, “While second-quarter results were impacted by comparisons to record-setng revenue quarters for Nordion and Nelson Labs in the prior year, we are experiencing contnued volume sofness at both Sterigenics and Nelson Labs. We now expect the volume sofness to contnue and therefore have adjusted our 2023 outlook for net revenues to be in the range of $1.035 billion to $1.055 billion, and Adjusted EBITDA to be in the range of $520 million to $535 million. We are confdent in this revised range and will contnue to concentrate on executng our strategy. As always, our focus contnues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256" w:right="39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to be on providing high-quality service to our customers, while remaining commited to our mission, Safeguarding Global Health®.”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and First-Half 2023 Highlights by Business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4"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For second-quarter 2023, Sterigenics’ net revenues were $167 million, an increase of 5.6% compared to the second quarter a year ago. Second-quarter 2023 segment income was $91 million, an increase of 7.5%. For the frst six months or 2023, Sterigenics’ net revenues were $327 million, an increase of 6.3% compared to the same period in 2022. Segment income increased 6.0% to $174 million.</w:t>
      </w:r>
    </w:p>
    <w:p>
      <w:pPr>
        <w:spacing w:after="0" w:line="15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Net revenue growth for the second-quarter 2023 was driven by favorable pricing as well as favorable changes in foreign exchange currency rates, partally ofset by an unfavorable impact from volume and change in mix.</w:t>
      </w:r>
    </w:p>
    <w:p>
      <w:pPr>
        <w:spacing w:after="0" w:line="190"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Segment income and segment income margin increases for the second-quarter 2023 were driven by favorable pricing, partally ofset by unfavorable volume and change in mix, as well as infaton.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For second-quarter 2023, Nordion net revenues were $32 million, a decrease of 36.7% compared to the second quarter a year ago. Second-quarter 2023 segment income decreased 40.7% to $18 million. For the frst six months of 2023, Nordion net revenues were $41 million, a decrease of 52.0% compared to the same period in 2022. Segment income decreased 60.5% to $19 million.</w:t>
      </w:r>
    </w:p>
    <w:p>
      <w:pPr>
        <w:spacing w:after="0" w:line="40"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Revenue decline for the second-quarter 2023 was driven by expected volume decline and a change in mix due to tming of Cobalt-60 supply harvest schedules, and an unfavorable impact from changes in foreign exchange currency rates, partally ofset by favorable pricing.</w:t>
      </w:r>
    </w:p>
    <w:p>
      <w:pPr>
        <w:spacing w:after="0" w:line="116"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color w:val="auto"/>
        </w:rPr>
        <w:t>Segment income and segment income margin declines for the second-quarter 2023 were also driven by the volume decline and change in mix referenced above, partally ofset by favorable pricing.</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08" w:lineRule="exact"/>
        <w:rPr>
          <w:sz w:val="20"/>
          <w:szCs w:val="20"/>
          <w:color w:val="auto"/>
        </w:rPr>
      </w:pPr>
    </w:p>
    <w:p>
      <w:pPr>
        <w:jc w:val="both"/>
        <w:ind w:right="180"/>
        <w:spacing w:after="0" w:line="299" w:lineRule="auto"/>
        <w:rPr>
          <w:sz w:val="20"/>
          <w:szCs w:val="20"/>
          <w:color w:val="auto"/>
        </w:rPr>
      </w:pPr>
      <w:r>
        <w:rPr>
          <w:rFonts w:ascii="Arial" w:cs="Arial" w:eastAsia="Arial" w:hAnsi="Arial"/>
          <w:sz w:val="18"/>
          <w:szCs w:val="18"/>
          <w:color w:val="auto"/>
        </w:rPr>
        <w:t>For the second-quarter 2023, Nelson Labs net revenues were $57 million, a decrease of 2.8% compared to the second quarter a year ago. Second-quarter 2023 segment income decreased by 8.6% to $19 million. For the frst six months of 2023, Nelson Labs net revenues were $109 million, a decline of 2.6% compared to the same period in 2022. Segment income declined 12.5% to $33 million.</w:t>
      </w:r>
    </w:p>
    <w:p>
      <w:pPr>
        <w:spacing w:after="0" w:line="144" w:lineRule="exact"/>
        <w:rPr>
          <w:sz w:val="20"/>
          <w:szCs w:val="20"/>
          <w:color w:val="auto"/>
        </w:rPr>
      </w:pPr>
    </w:p>
    <w:p>
      <w:pPr>
        <w:ind w:right="240"/>
        <w:spacing w:after="0" w:line="274" w:lineRule="auto"/>
        <w:rPr>
          <w:sz w:val="20"/>
          <w:szCs w:val="20"/>
          <w:color w:val="auto"/>
        </w:rPr>
      </w:pPr>
      <w:r>
        <w:rPr>
          <w:rFonts w:ascii="Arial" w:cs="Arial" w:eastAsia="Arial" w:hAnsi="Arial"/>
          <w:sz w:val="20"/>
          <w:szCs w:val="20"/>
          <w:color w:val="auto"/>
        </w:rPr>
        <w:t>Revenue decline for the second-quarter 2023 was driven by unfavorable volume and change in mix, partally ofset by a favorable impact from pricing and changes in foreign currency exchange rates.</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Segment income and segment income margin declines for the second-quarter 2023 were driven by volume decline and a change in mix, as well as infaton, partally ofset by favorable pricing.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As of June 30, 2023, Sotera Health had $2.3 billion of total debt, and $263 million in unrestricted cash and cash equivalents, compared to $2.0 billion in total debt and $395 million in unrestricted cash and cash equivalents as of December 31, 2022. On June 30, 2023, the setlement funds of approximately $408 million related to the Illinois ethylene oxide (“EO”) claims were released from escrow. As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June 30, 2023 the Company had no balance outstanding on its revolving credit facility. Sotera Health’s net leverage rato as of June 30, 2023 was 4.2x. Please refer to the secton “Non-GAAP Financial Measures” provided later in this release.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844"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Updated 2023 Outlook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Today, Sotera Health is updatng its 2023 outlook to the following:</w:t>
      </w:r>
    </w:p>
    <w:p>
      <w:pPr>
        <w:spacing w:after="0" w:line="94" w:lineRule="exact"/>
        <w:rPr>
          <w:sz w:val="20"/>
          <w:szCs w:val="20"/>
          <w:color w:val="auto"/>
        </w:rPr>
      </w:pPr>
    </w:p>
    <w:p>
      <w:pPr>
        <w:ind w:left="660" w:right="560" w:hanging="328"/>
        <w:spacing w:after="0" w:line="27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in the range of $1.035 to $1.055 billion, from previous guidance of $1.055 billion to $1.090 billion, representng growth of approximately 3% to 5%, compared to the prior year,</w:t>
      </w:r>
    </w:p>
    <w:p>
      <w:pPr>
        <w:spacing w:after="0" w:line="41" w:lineRule="exact"/>
        <w:rPr>
          <w:rFonts w:ascii="Arial" w:cs="Arial" w:eastAsia="Arial" w:hAnsi="Arial"/>
          <w:sz w:val="20"/>
          <w:szCs w:val="20"/>
          <w:color w:val="auto"/>
        </w:rPr>
      </w:pPr>
    </w:p>
    <w:p>
      <w:pPr>
        <w:ind w:left="660" w:right="120" w:hanging="328"/>
        <w:spacing w:after="0" w:line="27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$520 to $535 million, from previous guidance of $530 million to $550 million, representng growth of approximately 3% to 6%, compared to the prior year,</w:t>
      </w:r>
    </w:p>
    <w:p>
      <w:pPr>
        <w:spacing w:after="0" w:line="4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Tax rate applicable to Adjusted Net Income in the range of 30% to 32%, from previous guidance of 30% to 33%,</w:t>
      </w:r>
    </w:p>
    <w:p>
      <w:pPr>
        <w:spacing w:after="0" w:line="94"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remains in the range of $0.78 to $0.86,</w:t>
      </w:r>
    </w:p>
    <w:p>
      <w:pPr>
        <w:spacing w:after="0" w:line="94"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fully diluted share count remains in the range of 283 million to 285 million shares on a weighted-average basis,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expenditures in the range of $200 to $215 million, from previous guidance of $185 to $215 million, and</w:t>
      </w:r>
    </w:p>
    <w:p>
      <w:pPr>
        <w:spacing w:after="0" w:line="94"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2023 year-end Net Leverage Rato expected to end the year at or below 4.0x, from previous guidance of ending the year within the range of 2.0x to 4.0x.</w:t>
      </w:r>
    </w:p>
    <w:p>
      <w:pPr>
        <w:spacing w:after="0" w:line="204"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0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outlook provided above contains a number of assumptons, including, among others, the Company’s current expectatons regarding supply chain contnuity, partcularly for the supply of EO and Cobalt-60, the impact of infatonary trends including the impact on energy prices and the supply of labor, and the expectaton that exchange rates as of June 30, 2023 remain constant for the remainder of 2023. Our outlook is based on current plans and expectatons and is subject to several known and unknown risks and uncertaintes, including those set forth below under “Cautonary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94"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color w:val="auto"/>
        </w:rPr>
        <w:t xml:space="preserve">Sotera Health management will host a conference call and webcast to discuss the Company’s operatng highlights and fnancial results at 9:00 a.m. Eastern Time today. To partcipate in the live call, please dial 1-877-270-2148 if dialing in from the United States, or 1-412-902-6510 if dialing in from other locatons. A live webcast of the conference call and accompanying materials may also be accessed via the Investor Relatons secton of the Company’s website at </w:t>
      </w:r>
      <w:r>
        <w:rPr>
          <w:rFonts w:ascii="Arial" w:cs="Arial" w:eastAsia="Arial" w:hAnsi="Arial"/>
          <w:sz w:val="20"/>
          <w:szCs w:val="20"/>
          <w:color w:val="0E32E1"/>
        </w:rPr>
        <w:t>Presentaton &amp; Events | Sotera Health</w:t>
      </w:r>
      <w:r>
        <w:rPr>
          <w:rFonts w:ascii="Arial" w:cs="Arial" w:eastAsia="Arial" w:hAnsi="Arial"/>
          <w:sz w:val="20"/>
          <w:szCs w:val="20"/>
          <w:color w:val="auto"/>
        </w:rPr>
        <w:t xml:space="preserve">. </w:t>
      </w:r>
      <w:r>
        <w:rPr>
          <w:rFonts w:ascii="Arial" w:cs="Arial" w:eastAsia="Arial" w:hAnsi="Arial"/>
          <w:sz w:val="20"/>
          <w:szCs w:val="20"/>
          <w:color w:val="3A383A"/>
        </w:rPr>
        <w:t>A replay of the webcast will be archived on</w:t>
      </w:r>
      <w:r>
        <w:rPr>
          <w:rFonts w:ascii="Arial" w:cs="Arial" w:eastAsia="Arial" w:hAnsi="Arial"/>
          <w:sz w:val="20"/>
          <w:szCs w:val="20"/>
          <w:color w:val="auto"/>
        </w:rPr>
        <w:t xml:space="preserve"> </w:t>
      </w:r>
      <w:r>
        <w:rPr>
          <w:rFonts w:ascii="Arial" w:cs="Arial" w:eastAsia="Arial" w:hAnsi="Arial"/>
          <w:sz w:val="20"/>
          <w:szCs w:val="20"/>
          <w:color w:val="3A383A"/>
        </w:rPr>
        <w:t>the Company's website.</w:t>
      </w:r>
    </w:p>
    <w:p>
      <w:pPr>
        <w:spacing w:after="0" w:line="201"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 xml:space="preserve">Updates on recent developments in maters relevant to investors can be found on the Investor Relatons secton of the Sotera Health website at </w:t>
      </w:r>
      <w:r>
        <w:rPr>
          <w:rFonts w:ascii="Arial" w:cs="Arial" w:eastAsia="Arial" w:hAnsi="Arial"/>
          <w:sz w:val="18"/>
          <w:szCs w:val="18"/>
          <w:color w:val="0E32E1"/>
        </w:rPr>
        <w:t>Investor Relatons | Sotera Health</w:t>
      </w:r>
      <w:r>
        <w:rPr>
          <w:rFonts w:ascii="Arial" w:cs="Arial" w:eastAsia="Arial" w:hAnsi="Arial"/>
          <w:sz w:val="18"/>
          <w:szCs w:val="18"/>
          <w:color w:val="auto"/>
        </w:rPr>
        <w:t xml:space="preserve">. For developments related to EO, updates can be found at </w:t>
      </w:r>
      <w:r>
        <w:rPr>
          <w:rFonts w:ascii="Arial" w:cs="Arial" w:eastAsia="Arial" w:hAnsi="Arial"/>
          <w:sz w:val="18"/>
          <w:szCs w:val="18"/>
          <w:color w:val="0E32E1"/>
        </w:rPr>
        <w:t>Ethylene Oxide | Sotera Health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Cautonary Note Regarding Forward-Looking Statements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EO or Cobalt-60 (“Co-60”), or our other direct materials, services and supplies, including as a result of geopolitcal instability and sanctons arising from US, Canadian, UK or European Union relatons with Russia; foreign currency exchange rates and changes in those rates; adverse changes in industry trends, environmental, health and safety regulatons or preferences, or general economic, social and business conditons; the impact and outcome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our ability to increase capacity at existng facilites, renew leases for our leased facilites and build new facilites in a tmely and cost-efectve manner; competton for qualifed employees in the industries in which we operate; the risks of doing business internatonally, including global and regional economic and politcal instability and compliance with numerous laws and regulatons in multple jurisdictons; and any inability to pursue strategic transactons or fnd suitable acquisiton targets.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r>
        <w:rPr>
          <w:rFonts w:ascii="Arial" w:cs="Arial" w:eastAsia="Arial" w:hAnsi="Arial"/>
          <w:sz w:val="20"/>
          <w:szCs w:val="20"/>
          <w:color w:val="auto"/>
        </w:rPr>
        <w:t>.</w:t>
      </w:r>
    </w:p>
    <w:p>
      <w:pPr>
        <w:spacing w:after="0" w:line="216"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173"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63"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equal to Adjusted EBITDA divided by net revenues.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Segment income margin is equal to segment income divided by net segment revenues.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76"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We defne Adjusted EPS as Adjusted Net Income divided by the weighted average number of diluted shares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Our Net Debt is equal to our total debt, plus unamortzed debt issuance costs and debt discounts, less cash and cash equivalents.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Rato is equal to Net Debt divided by Adjusted EBITDA.</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189"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&amp; Treasurer, Sotera Health</w:t>
      </w:r>
    </w:p>
    <w:p>
      <w:pPr>
        <w:spacing w:after="0"/>
        <w:rPr>
          <w:sz w:val="20"/>
          <w:szCs w:val="20"/>
          <w:color w:val="auto"/>
        </w:rPr>
      </w:pPr>
      <w:r>
        <w:rPr>
          <w:rFonts w:ascii="Arial" w:cs="Arial" w:eastAsia="Arial" w:hAnsi="Arial"/>
          <w:sz w:val="18"/>
          <w:szCs w:val="18"/>
          <w:u w:val="single" w:color="auto"/>
          <w:color w:val="0563C1"/>
        </w:rPr>
        <w:t>IR@soterahealth.com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Kristn Gibbs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Chief Marketng Ofcer, Sotera Health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6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7"/>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0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226,050</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221,529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440,560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427,747</w:t>
            </w:r>
          </w:p>
        </w:tc>
      </w:tr>
      <w:tr>
        <w:trPr>
          <w:trHeight w:val="229"/>
        </w:trPr>
        <w:tc>
          <w:tcPr>
            <w:tcW w:w="5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29,232</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35,312</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75,646</w:t>
            </w:r>
          </w:p>
        </w:tc>
      </w:tr>
      <w:tr>
        <w:trPr>
          <w:trHeight w:val="232"/>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255,282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266,639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475,872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503,393</w:t>
            </w:r>
          </w:p>
        </w:tc>
      </w:tr>
      <w:tr>
        <w:trPr>
          <w:trHeight w:val="23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60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103,900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208,110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192,983</w:t>
            </w:r>
          </w:p>
        </w:tc>
      </w:tr>
      <w:tr>
        <w:trPr>
          <w:trHeight w:val="243"/>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11,794</w:t>
            </w:r>
          </w:p>
        </w:tc>
        <w:tc>
          <w:tcPr>
            <w:tcW w:w="1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16,671</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31,139</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115,694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224,781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224,122</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139,588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251,091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279,271</w:t>
            </w:r>
          </w:p>
        </w:tc>
      </w:tr>
      <w:tr>
        <w:trPr>
          <w:trHeight w:val="23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60,287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122,197</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122,674</w:t>
            </w:r>
          </w:p>
        </w:tc>
      </w:tr>
      <w:tr>
        <w:trPr>
          <w:trHeight w:val="230"/>
        </w:trPr>
        <w:tc>
          <w:tcPr>
            <w:tcW w:w="56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15,769</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32,324</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31,610</w:t>
            </w:r>
          </w:p>
        </w:tc>
      </w:tr>
      <w:tr>
        <w:trPr>
          <w:trHeight w:val="23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76,384</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154,521</w:t>
            </w:r>
          </w:p>
        </w:tc>
        <w:tc>
          <w:tcPr>
            <w:tcW w:w="1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154,284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63,204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96,570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124,987</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30,728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59,598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r>
      <w:tr>
        <w:trPr>
          <w:trHeight w:val="239"/>
        </w:trPr>
        <w:tc>
          <w:tcPr>
            <w:tcW w:w="5600" w:type="dxa"/>
            <w:vAlign w:val="bottom"/>
          </w:tcPr>
          <w:p>
            <w:pPr>
              <w:ind w:left="20"/>
              <w:spacing w:after="0"/>
              <w:rPr>
                <w:sz w:val="20"/>
                <w:szCs w:val="20"/>
                <w:color w:val="auto"/>
              </w:rPr>
            </w:pPr>
            <w:r>
              <w:rPr>
                <w:rFonts w:ascii="Arial" w:cs="Arial" w:eastAsia="Arial" w:hAnsi="Arial"/>
                <w:sz w:val="18"/>
                <w:szCs w:val="18"/>
                <w:color w:val="auto"/>
              </w:rPr>
              <w:t>Impairment of investment in unconsolidated affiliate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3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(3,727)</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r>
      <w:tr>
        <w:trPr>
          <w:trHeight w:val="23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34,485</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39,887</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93,375</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10,972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13,532</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32,316</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23,513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26,355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600" w:type="dxa"/>
            <w:vAlign w:val="bottom"/>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3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280,893</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279,990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280,793</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279,910</w:t>
            </w:r>
          </w:p>
        </w:tc>
      </w:tr>
      <w:tr>
        <w:trPr>
          <w:trHeight w:val="234"/>
        </w:trPr>
        <w:tc>
          <w:tcPr>
            <w:tcW w:w="5600" w:type="dxa"/>
            <w:vAlign w:val="bottom"/>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283,147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280,171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283,040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20" w:top="126" w:right="43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Segment Data</w:t>
      </w:r>
    </w:p>
    <w:p>
      <w:pPr>
        <w:jc w:val="center"/>
        <w:ind w:right="-11"/>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92"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166,590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157,792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326,587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307,254</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58,369</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108,759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111,659</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266,639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475,872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91,450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174,290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164,501</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19,310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48,885</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21,055</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33,353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38,098</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136,135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226,953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0</wp:posOffset>
            </wp:positionV>
            <wp:extent cx="7012305"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2305" cy="179705"/>
                    </a:xfrm>
                    <a:prstGeom prst="rect">
                      <a:avLst/>
                    </a:prstGeom>
                    <a:noFill/>
                  </pic:spPr>
                </pic:pic>
              </a:graphicData>
            </a:graphic>
          </wp:anchor>
        </w:drawing>
      </w:r>
    </w:p>
    <w:p>
      <w:pPr>
        <w:sectPr>
          <w:pgSz w:w="11900" w:h="16838" w:orient="portrait"/>
          <w:cols w:equalWidth="0" w:num="1">
            <w:col w:w="11212"/>
          </w:cols>
          <w:pgMar w:left="328" w:top="342" w:right="359" w:bottom="1440" w:gutter="0" w:footer="0" w:header="0"/>
        </w:sectPr>
      </w:pPr>
    </w:p>
    <w:p>
      <w:pPr>
        <w:spacing w:after="0" w:line="22"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Less adjustments:</w:t>
      </w:r>
    </w:p>
    <w:p>
      <w:pPr>
        <w:spacing w:after="0" w:line="62" w:lineRule="exact"/>
        <w:rPr>
          <w:sz w:val="20"/>
          <w:szCs w:val="20"/>
          <w:color w:val="auto"/>
        </w:rPr>
      </w:pPr>
    </w:p>
    <w:p>
      <w:pPr>
        <w:ind w:left="112"/>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-635</wp:posOffset>
            </wp:positionV>
            <wp:extent cx="70123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ind w:left="112"/>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p>
      <w:pPr>
        <w:spacing w:after="0" w:line="6" w:lineRule="exact"/>
        <w:rPr>
          <w:sz w:val="20"/>
          <w:szCs w:val="20"/>
          <w:color w:val="auto"/>
        </w:rPr>
      </w:pPr>
    </w:p>
    <w:p>
      <w:pPr>
        <w:ind w:left="112"/>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-6985</wp:posOffset>
            </wp:positionV>
            <wp:extent cx="701230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2305" cy="308610"/>
                    </a:xfrm>
                    <a:prstGeom prst="rect">
                      <a:avLst/>
                    </a:prstGeom>
                    <a:noFill/>
                  </pic:spPr>
                </pic:pic>
              </a:graphicData>
            </a:graphic>
          </wp:anchor>
        </w:drawing>
      </w:r>
    </w:p>
    <w:p>
      <w:pPr>
        <w:ind w:left="112" w:right="960"/>
        <w:spacing w:after="0" w:line="241" w:lineRule="auto"/>
        <w:rPr>
          <w:sz w:val="20"/>
          <w:szCs w:val="20"/>
          <w:color w:val="auto"/>
        </w:rPr>
      </w:pPr>
      <w:r>
        <w:rPr>
          <w:rFonts w:ascii="Arial" w:cs="Arial" w:eastAsia="Arial" w:hAnsi="Arial"/>
          <w:sz w:val="18"/>
          <w:szCs w:val="18"/>
          <w:color w:val="auto"/>
        </w:rPr>
        <w:t>Gain on foreign currency and derivatives not designated as hedging instruments, net</w:t>
      </w:r>
      <w:r>
        <w:rPr>
          <w:rFonts w:ascii="Arial" w:cs="Arial" w:eastAsia="Arial" w:hAnsi="Arial"/>
          <w:sz w:val="23"/>
          <w:szCs w:val="23"/>
          <w:color w:val="auto"/>
          <w:vertAlign w:val="superscript"/>
        </w:rPr>
        <w:t>(d)</w:t>
      </w:r>
    </w:p>
    <w:p>
      <w:pPr>
        <w:spacing w:after="0" w:line="1" w:lineRule="exact"/>
        <w:rPr>
          <w:sz w:val="20"/>
          <w:szCs w:val="20"/>
          <w:color w:val="auto"/>
        </w:rPr>
      </w:pPr>
    </w:p>
    <w:p>
      <w:pPr>
        <w:ind w:left="112"/>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-6985</wp:posOffset>
            </wp:positionV>
            <wp:extent cx="70123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ind w:left="112"/>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p>
      <w:pPr>
        <w:spacing w:after="0" w:line="6" w:lineRule="exact"/>
        <w:rPr>
          <w:sz w:val="20"/>
          <w:szCs w:val="20"/>
          <w:color w:val="auto"/>
        </w:rPr>
      </w:pPr>
    </w:p>
    <w:p>
      <w:pPr>
        <w:ind w:left="112"/>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-6985</wp:posOffset>
            </wp:positionV>
            <wp:extent cx="70123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ind w:left="112"/>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(h)</w:t>
      </w:r>
    </w:p>
    <w:p>
      <w:pPr>
        <w:spacing w:after="0" w:line="6" w:lineRule="exact"/>
        <w:rPr>
          <w:sz w:val="20"/>
          <w:szCs w:val="20"/>
          <w:color w:val="auto"/>
        </w:rPr>
      </w:pPr>
    </w:p>
    <w:p>
      <w:pPr>
        <w:ind w:left="112"/>
        <w:spacing w:after="0"/>
        <w:rPr>
          <w:sz w:val="20"/>
          <w:szCs w:val="20"/>
          <w:color w:val="auto"/>
        </w:rPr>
      </w:pPr>
      <w:r>
        <w:rPr>
          <w:rFonts w:ascii="Arial" w:cs="Arial" w:eastAsia="Arial" w:hAnsi="Arial"/>
          <w:sz w:val="16"/>
          <w:szCs w:val="16"/>
          <w:color w:val="auto"/>
        </w:rPr>
        <w:t>Professional services and other expenses relating to EO sterilization facilities</w:t>
      </w:r>
      <w:r>
        <w:rPr>
          <w:rFonts w:ascii="Arial" w:cs="Arial" w:eastAsia="Arial" w:hAnsi="Arial"/>
          <w:sz w:val="20"/>
          <w:szCs w:val="20"/>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wp:posOffset>
            </wp:positionV>
            <wp:extent cx="70123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0" w:lineRule="exact"/>
        <w:rPr>
          <w:sz w:val="20"/>
          <w:szCs w:val="20"/>
          <w:color w:val="auto"/>
        </w:rPr>
      </w:pPr>
    </w:p>
    <w:p>
      <w:pPr>
        <w:ind w:left="112"/>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(j)</w:t>
      </w:r>
    </w:p>
    <w:p>
      <w:pPr>
        <w:spacing w:after="0" w:line="6" w:lineRule="exact"/>
        <w:rPr>
          <w:sz w:val="20"/>
          <w:szCs w:val="20"/>
          <w:color w:val="auto"/>
        </w:rPr>
      </w:pPr>
    </w:p>
    <w:p>
      <w:pPr>
        <w:ind w:left="112"/>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-6985</wp:posOffset>
            </wp:positionV>
            <wp:extent cx="70123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ind w:left="112"/>
        <w:spacing w:after="0"/>
        <w:tabs>
          <w:tab w:leader="none" w:pos="5812" w:val="left"/>
        </w:tabs>
        <w:rPr>
          <w:sz w:val="20"/>
          <w:szCs w:val="20"/>
          <w:color w:val="auto"/>
        </w:rPr>
      </w:pPr>
      <w:r>
        <w:rPr>
          <w:rFonts w:ascii="Arial" w:cs="Arial" w:eastAsia="Arial" w:hAnsi="Arial"/>
          <w:sz w:val="18"/>
          <w:szCs w:val="18"/>
          <w:b w:val="1"/>
          <w:bCs w:val="1"/>
          <w:color w:val="auto"/>
        </w:rPr>
        <w:t>Consolidated income before income taxes</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25,271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17,144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51,811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33,894</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39,490</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36,939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79,028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72,988</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8,409</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15,757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10,339</w:t>
            </w:r>
          </w:p>
        </w:tc>
      </w:tr>
      <w:tr>
        <w:trPr>
          <w:trHeight w:val="486"/>
        </w:trPr>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(409)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(7,982)</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153</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3,322</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129</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17,080</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17,678</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33,382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35,737</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555</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1,127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56"/>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32"/>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34,485</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48,108</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39,887</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93,375</w:t>
            </w:r>
          </w:p>
        </w:tc>
      </w:tr>
      <w:tr>
        <w:trPr>
          <w:trHeight w:val="25"/>
        </w:trPr>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-196215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-7620</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932" w:space="560"/>
            <w:col w:w="4720"/>
          </w:cols>
          <w:pgMar w:left="328" w:top="342" w:right="359" w:bottom="1440" w:gutter="0" w:footer="0" w:header="0"/>
          <w:type w:val="continuous"/>
        </w:sectPr>
      </w:pPr>
    </w:p>
    <w:p>
      <w:pPr>
        <w:ind w:left="492" w:right="160" w:hanging="492"/>
        <w:spacing w:after="0" w:line="259"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and six months ended June 30, 2023 exclude $5.5 million and $7.8 million, respectively, of interest expense, net, on Term Loan B attributable to the loan proceeds that were used to fund the $408.0 million Illinois EO litigation settlement. The three and six months ended June 30, 2022 exclude $3.1 million and $9.4 million, respectively, of unrealized gains on interest rate derivatives not designated as hedging instruments.</w:t>
      </w:r>
    </w:p>
    <w:p>
      <w:pPr>
        <w:spacing w:after="0" w:line="2" w:lineRule="exact"/>
        <w:rPr>
          <w:rFonts w:ascii="Arial" w:cs="Arial" w:eastAsia="Arial" w:hAnsi="Arial"/>
          <w:sz w:val="16"/>
          <w:szCs w:val="16"/>
          <w:color w:val="auto"/>
        </w:rPr>
      </w:pPr>
    </w:p>
    <w:p>
      <w:pPr>
        <w:ind w:left="492" w:hanging="492"/>
        <w:spacing w:after="0"/>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8" w:lineRule="exact"/>
        <w:rPr>
          <w:rFonts w:ascii="Arial" w:cs="Arial" w:eastAsia="Arial" w:hAnsi="Arial"/>
          <w:sz w:val="16"/>
          <w:szCs w:val="16"/>
          <w:color w:val="auto"/>
        </w:rPr>
      </w:pPr>
    </w:p>
    <w:p>
      <w:pPr>
        <w:ind w:left="492" w:hanging="492"/>
        <w:spacing w:after="0"/>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share-based compensation expense to employees and non-employee directors.</w:t>
      </w:r>
    </w:p>
    <w:p>
      <w:pPr>
        <w:spacing w:after="0" w:line="18" w:lineRule="exact"/>
        <w:rPr>
          <w:rFonts w:ascii="Arial" w:cs="Arial" w:eastAsia="Arial" w:hAnsi="Arial"/>
          <w:sz w:val="16"/>
          <w:szCs w:val="16"/>
          <w:color w:val="auto"/>
        </w:rPr>
      </w:pPr>
    </w:p>
    <w:p>
      <w:pPr>
        <w:ind w:left="492" w:hanging="492"/>
        <w:spacing w:after="0" w:line="264"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492" w:right="80" w:hanging="492"/>
        <w:spacing w:after="0" w:line="295"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492" w:right="60" w:hanging="492"/>
        <w:spacing w:after="0" w:line="255"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jc w:val="both"/>
        <w:ind w:left="492" w:right="480" w:hanging="492"/>
        <w:spacing w:after="0" w:line="258"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 The six months ended June 30, 2023 also includes a $1.0 million cancellation fee received from a tenant in connection with the termination of an office space lease at the Nordion facility.</w:t>
      </w:r>
    </w:p>
    <w:p>
      <w:pPr>
        <w:ind w:left="492" w:hanging="492"/>
        <w:spacing w:after="0"/>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an impairment charge on our equity method investment in a joint venture.</w:t>
      </w:r>
    </w:p>
    <w:p>
      <w:pPr>
        <w:spacing w:after="0" w:line="18" w:lineRule="exact"/>
        <w:rPr>
          <w:rFonts w:ascii="Arial" w:cs="Arial" w:eastAsia="Arial" w:hAnsi="Arial"/>
          <w:sz w:val="16"/>
          <w:szCs w:val="16"/>
          <w:color w:val="auto"/>
        </w:rPr>
      </w:pPr>
    </w:p>
    <w:p>
      <w:pPr>
        <w:ind w:left="492" w:hanging="492"/>
        <w:spacing w:after="0" w:line="255"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litigation and other professional fees associated with our EO sterilization facilities. This includes $5.5 million and $7.8 million of interest expense, net for the three and six months ended June 30, 2023, respectively, associated with Term Loan B that was issued to finance the $408.0 million cost to settle approximately 880 pending and threatened EO claims against Sterigenics U.S., LLC and Sotera Health LLC (“the Settling Defendants”) in Illinois under Settlement Agreements entered into on March 28, 2023.</w:t>
      </w:r>
    </w:p>
    <w:p>
      <w:pPr>
        <w:spacing w:after="0" w:line="1" w:lineRule="exact"/>
        <w:rPr>
          <w:rFonts w:ascii="Arial" w:cs="Arial" w:eastAsia="Arial" w:hAnsi="Arial"/>
          <w:sz w:val="16"/>
          <w:szCs w:val="16"/>
          <w:color w:val="auto"/>
        </w:rPr>
      </w:pPr>
    </w:p>
    <w:p>
      <w:pPr>
        <w:jc w:val="both"/>
        <w:ind w:left="492" w:right="100" w:hanging="492"/>
        <w:spacing w:after="0" w:line="258" w:lineRule="auto"/>
        <w:tabs>
          <w:tab w:leader="none" w:pos="49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492" w:hanging="492"/>
        <w:spacing w:after="0"/>
        <w:tabs>
          <w:tab w:leader="none" w:pos="492"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ectPr>
          <w:pgSz w:w="11900" w:h="16838" w:orient="portrait"/>
          <w:cols w:equalWidth="0" w:num="1">
            <w:col w:w="11212"/>
          </w:cols>
          <w:pgMar w:left="328" w:top="342" w:right="3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12"/>
          </w:cols>
          <w:pgMar w:left="328" w:top="342"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As of June 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including restricted cash</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270,490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396,294</w:t>
            </w:r>
          </w:p>
        </w:tc>
        <w:tc>
          <w:tcPr>
            <w:tcW w:w="0" w:type="dxa"/>
            <w:vAlign w:val="bottom"/>
          </w:tcPr>
          <w:p>
            <w:pPr>
              <w:spacing w:after="0"/>
              <w:rPr>
                <w:sz w:val="1"/>
                <w:szCs w:val="1"/>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117,307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118,482</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116,793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546,692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645,010</w:t>
            </w: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859,138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774,527</w:t>
            </w: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456,120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491,265</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1,110,498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1,101,768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77,243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78,654</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3,074,870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3,117,705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200,330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791,567</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2,221,987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165,992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68,194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68,024</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2,656,503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2,767,467</w:t>
            </w:r>
          </w:p>
        </w:tc>
        <w:tc>
          <w:tcPr>
            <w:tcW w:w="0" w:type="dxa"/>
            <w:vAlign w:val="bottom"/>
          </w:tcPr>
          <w:p>
            <w:pPr>
              <w:spacing w:after="0"/>
              <w:rPr>
                <w:sz w:val="1"/>
                <w:szCs w:val="1"/>
                <w:color w:val="auto"/>
              </w:rPr>
            </w:pPr>
          </w:p>
        </w:tc>
      </w:tr>
      <w:tr>
        <w:trPr>
          <w:trHeight w:val="264"/>
        </w:trPr>
        <w:tc>
          <w:tcPr>
            <w:tcW w:w="47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418,367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350,238</w:t>
            </w:r>
          </w:p>
        </w:tc>
        <w:tc>
          <w:tcPr>
            <w:tcW w:w="0" w:type="dxa"/>
            <w:vAlign w:val="bottom"/>
          </w:tcPr>
          <w:p>
            <w:pPr>
              <w:spacing w:after="0"/>
              <w:rPr>
                <w:sz w:val="1"/>
                <w:szCs w:val="1"/>
                <w:color w:val="auto"/>
              </w:rPr>
            </w:pPr>
          </w:p>
        </w:tc>
      </w:tr>
      <w:tr>
        <w:trPr>
          <w:trHeight w:val="28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3,074,870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3,117,705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7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20" w:top="342"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38"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26,355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61,059</w:t>
            </w: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items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101,474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96,513</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(430,533)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(49,316)</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(302,704)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108,256</w:t>
            </w:r>
          </w:p>
        </w:tc>
      </w:tr>
      <w:tr>
        <w:trPr>
          <w:trHeight w:val="23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(98,134)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(71,642)</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Adjustment to purchase of Regulatory Compliance Associates Inc.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(98,102)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(71,192)</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8300" w:type="dxa"/>
            <w:vAlign w:val="bottom"/>
          </w:tcPr>
          <w:p>
            <w:pPr>
              <w:ind w:left="20"/>
              <w:spacing w:after="0"/>
              <w:rPr>
                <w:sz w:val="20"/>
                <w:szCs w:val="20"/>
                <w:color w:val="auto"/>
              </w:rPr>
            </w:pPr>
            <w:r>
              <w:rPr>
                <w:rFonts w:ascii="Arial" w:cs="Arial" w:eastAsia="Arial" w:hAnsi="Arial"/>
                <w:sz w:val="18"/>
                <w:szCs w:val="18"/>
                <w:color w:val="auto"/>
              </w:rPr>
              <w:t>Proceeds from long-term borrowings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on revolving credit facility</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273,206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1,796</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32"/>
        </w:trPr>
        <w:tc>
          <w:tcPr>
            <w:tcW w:w="83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(125,804)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33,694</w:t>
            </w: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396,294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106,924</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270,490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140,618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4"/>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 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78,352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Cash paid during the period for income taxes, net of tax refunds received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37,340</w:t>
            </w:r>
          </w:p>
        </w:tc>
      </w:tr>
      <w:tr>
        <w:trPr>
          <w:trHeight w:val="23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 included in accounts payable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721"/>
        </w:trPr>
        <w:tc>
          <w:tcPr>
            <w:tcW w:w="8300" w:type="dxa"/>
            <w:vAlign w:val="bottom"/>
          </w:tcPr>
          <w:p>
            <w:pPr>
              <w:ind w:left="54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420" w:top="126" w:right="43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Non-GAAP Financial Measures</w:t>
      </w:r>
    </w:p>
    <w:p>
      <w:pPr>
        <w:ind w:left="4132"/>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383"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5"/>
                <w:szCs w:val="15"/>
                <w:b w:val="1"/>
                <w:bCs w:val="1"/>
                <w:color w:val="auto"/>
                <w:w w:val="99"/>
              </w:rPr>
              <w:t>Three Months Ended June 30,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23,513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26,355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61,059</w:t>
            </w:r>
          </w:p>
        </w:tc>
        <w:tc>
          <w:tcPr>
            <w:tcW w:w="0" w:type="dxa"/>
            <w:vAlign w:val="bottom"/>
          </w:tcPr>
          <w:p>
            <w:pPr>
              <w:spacing w:after="0"/>
              <w:rPr>
                <w:sz w:val="1"/>
                <w:szCs w:val="1"/>
                <w:color w:val="auto"/>
              </w:rPr>
            </w:pPr>
          </w:p>
        </w:tc>
      </w:tr>
      <w:tr>
        <w:trPr>
          <w:trHeight w:val="213"/>
        </w:trPr>
        <w:tc>
          <w:tcPr>
            <w:tcW w:w="532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20,502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21,195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41,109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41,377</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15,757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10,339</w:t>
            </w:r>
          </w:p>
        </w:tc>
        <w:tc>
          <w:tcPr>
            <w:tcW w:w="0" w:type="dxa"/>
            <w:vAlign w:val="bottom"/>
          </w:tcPr>
          <w:p>
            <w:pPr>
              <w:spacing w:after="0"/>
              <w:rPr>
                <w:sz w:val="1"/>
                <w:szCs w:val="1"/>
                <w:color w:val="auto"/>
              </w:rPr>
            </w:pPr>
          </w:p>
        </w:tc>
      </w:tr>
      <w:tr>
        <w:trPr>
          <w:trHeight w:val="162"/>
        </w:trPr>
        <w:tc>
          <w:tcPr>
            <w:tcW w:w="5320" w:type="dxa"/>
            <w:vAlign w:val="bottom"/>
          </w:tcPr>
          <w:p>
            <w:pPr>
              <w:ind w:left="240"/>
              <w:spacing w:after="0" w:line="162" w:lineRule="exact"/>
              <w:rPr>
                <w:sz w:val="20"/>
                <w:szCs w:val="20"/>
                <w:color w:val="auto"/>
              </w:rPr>
            </w:pPr>
            <w:r>
              <w:rPr>
                <w:rFonts w:ascii="Arial" w:cs="Arial" w:eastAsia="Arial" w:hAnsi="Arial"/>
                <w:sz w:val="16"/>
                <w:szCs w:val="16"/>
                <w:color w:val="auto"/>
                <w:w w:val="96"/>
              </w:rPr>
              <w:t>Loss (gain) on foreign currency and derivatives not designated as hedging</w:t>
            </w:r>
          </w:p>
        </w:tc>
        <w:tc>
          <w:tcPr>
            <w:tcW w:w="280" w:type="dxa"/>
            <w:vAlign w:val="bottom"/>
          </w:tcPr>
          <w:p>
            <w:pPr>
              <w:spacing w:after="0"/>
              <w:rPr>
                <w:sz w:val="14"/>
                <w:szCs w:val="14"/>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(1,430)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126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(7,982)</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line="216" w:lineRule="exact"/>
              <w:rPr>
                <w:sz w:val="20"/>
                <w:szCs w:val="20"/>
                <w:color w:val="auto"/>
              </w:rPr>
            </w:pPr>
            <w:r>
              <w:rPr>
                <w:rFonts w:ascii="Arial" w:cs="Arial" w:eastAsia="Arial" w:hAnsi="Arial"/>
                <w:sz w:val="16"/>
                <w:szCs w:val="16"/>
                <w:color w:val="auto"/>
              </w:rPr>
              <w:t>instruments, net</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3,322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5,856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line="216" w:lineRule="exact"/>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162"/>
        </w:trPr>
        <w:tc>
          <w:tcPr>
            <w:tcW w:w="532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Professional services and other expenses relating to EO sterilization</w:t>
            </w: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17,080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17,678</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33,382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35,737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facilities</w:t>
            </w:r>
            <w:r>
              <w:rPr>
                <w:rFonts w:ascii="Arial" w:cs="Arial" w:eastAsia="Arial" w:hAnsi="Arial"/>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(h)</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555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1,127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(j)</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(13,959)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(9,732)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(26,351)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(17,584)</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59,295</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75,825</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97,340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136,079</w:t>
            </w:r>
          </w:p>
        </w:tc>
        <w:tc>
          <w:tcPr>
            <w:tcW w:w="0" w:type="dxa"/>
            <w:vAlign w:val="bottom"/>
          </w:tcPr>
          <w:p>
            <w:pPr>
              <w:spacing w:after="0"/>
              <w:rPr>
                <w:sz w:val="1"/>
                <w:szCs w:val="1"/>
                <w:color w:val="auto"/>
              </w:rPr>
            </w:pPr>
          </w:p>
        </w:tc>
      </w:tr>
      <w:tr>
        <w:trPr>
          <w:trHeight w:val="210"/>
        </w:trPr>
        <w:tc>
          <w:tcPr>
            <w:tcW w:w="5320" w:type="dxa"/>
            <w:vAlign w:val="bottom"/>
          </w:tcPr>
          <w:p>
            <w:pPr>
              <w:ind w:left="240"/>
              <w:spacing w:after="0" w:line="210"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(k)</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25,271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17,144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51,811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33,894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18,988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37,919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31,611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24,931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39,883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49,900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(n)</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128,485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136,135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226,953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251,484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255,282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266,639</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475,872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503,393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47.7 %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280,893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279,990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280,793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279,910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283,147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280,171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283,040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280,038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0.08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0.09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3"/>
        </w:trPr>
        <w:tc>
          <w:tcPr>
            <w:tcW w:w="5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0.08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0.09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0.21</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0.27</w:t>
            </w:r>
          </w:p>
        </w:tc>
        <w:tc>
          <w:tcPr>
            <w:tcW w:w="4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0.35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32" w:hanging="332"/>
        <w:spacing w:after="0"/>
        <w:tabs>
          <w:tab w:leader="none" w:pos="332"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share-based compensation expense to employees and non-employee directors.</w:t>
      </w:r>
    </w:p>
    <w:p>
      <w:pPr>
        <w:spacing w:after="0" w:line="57" w:lineRule="exact"/>
        <w:rPr>
          <w:rFonts w:ascii="Arial" w:cs="Arial" w:eastAsia="Arial" w:hAnsi="Arial"/>
          <w:sz w:val="15"/>
          <w:szCs w:val="15"/>
          <w:color w:val="auto"/>
        </w:rPr>
      </w:pPr>
    </w:p>
    <w:p>
      <w:pPr>
        <w:ind w:left="652" w:right="300" w:hanging="652"/>
        <w:spacing w:after="0" w:line="272" w:lineRule="auto"/>
        <w:tabs>
          <w:tab w:leader="none" w:pos="335"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332" w:hanging="332"/>
        <w:spacing w:after="0"/>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(i) certain direct and incremental costs related to the acquisitions of RCA and BioScience Labs and certain related integration efforts as a result of those acquisitions,</w:t>
      </w:r>
    </w:p>
    <w:p>
      <w:pPr>
        <w:spacing w:after="0" w:line="44" w:lineRule="exact"/>
        <w:rPr>
          <w:rFonts w:ascii="Arial" w:cs="Arial" w:eastAsia="Arial" w:hAnsi="Arial"/>
          <w:sz w:val="13"/>
          <w:szCs w:val="13"/>
          <w:color w:val="auto"/>
        </w:rPr>
      </w:pPr>
    </w:p>
    <w:p>
      <w:pPr>
        <w:ind w:left="652" w:right="440"/>
        <w:spacing w:after="0" w:line="278" w:lineRule="auto"/>
        <w:rPr>
          <w:rFonts w:ascii="Arial" w:cs="Arial" w:eastAsia="Arial" w:hAnsi="Arial"/>
          <w:sz w:val="13"/>
          <w:szCs w:val="13"/>
          <w:color w:val="auto"/>
        </w:rPr>
      </w:pPr>
      <w:r>
        <w:rPr>
          <w:rFonts w:ascii="Arial" w:cs="Arial" w:eastAsia="Arial" w:hAnsi="Arial"/>
          <w:sz w:val="15"/>
          <w:szCs w:val="15"/>
          <w:color w:val="auto"/>
        </w:rPr>
        <w:t>(ii)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652" w:right="600" w:hanging="652"/>
        <w:spacing w:after="0" w:line="274" w:lineRule="auto"/>
        <w:tabs>
          <w:tab w:leader="none" w:pos="335"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1" w:lineRule="exact"/>
        <w:rPr>
          <w:rFonts w:ascii="Arial" w:cs="Arial" w:eastAsia="Arial" w:hAnsi="Arial"/>
          <w:sz w:val="15"/>
          <w:szCs w:val="15"/>
          <w:color w:val="auto"/>
        </w:rPr>
      </w:pPr>
    </w:p>
    <w:p>
      <w:pPr>
        <w:ind w:left="652" w:right="340" w:hanging="652"/>
        <w:spacing w:after="0" w:line="268" w:lineRule="auto"/>
        <w:tabs>
          <w:tab w:leader="none" w:pos="327"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 The six months ended June 30, 2023 also includes a $1.0 million cancellation fee received from a tenant in connection with the termination of an office space lease at the Nordion facility.</w:t>
      </w:r>
    </w:p>
    <w:p>
      <w:pPr>
        <w:spacing w:after="0" w:line="2" w:lineRule="exact"/>
        <w:rPr>
          <w:rFonts w:ascii="Arial" w:cs="Arial" w:eastAsia="Arial" w:hAnsi="Arial"/>
          <w:sz w:val="15"/>
          <w:szCs w:val="15"/>
          <w:color w:val="auto"/>
        </w:rPr>
      </w:pPr>
    </w:p>
    <w:p>
      <w:pPr>
        <w:ind w:left="312" w:hanging="312"/>
        <w:spacing w:after="0"/>
        <w:tabs>
          <w:tab w:leader="none" w:pos="312"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an impairment charge on our equity method investment in a joint venture.</w:t>
      </w:r>
    </w:p>
    <w:p>
      <w:pPr>
        <w:spacing w:after="0" w:line="43" w:lineRule="exact"/>
        <w:rPr>
          <w:rFonts w:ascii="Arial" w:cs="Arial" w:eastAsia="Arial" w:hAnsi="Arial"/>
          <w:sz w:val="15"/>
          <w:szCs w:val="15"/>
          <w:color w:val="auto"/>
        </w:rPr>
      </w:pPr>
    </w:p>
    <w:p>
      <w:pPr>
        <w:ind w:left="652" w:right="120" w:hanging="652"/>
        <w:spacing w:after="0" w:line="295"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litigation and other professional fees associated with our EO sterilization facilities. This includes $5.5 million and $7.8 million of interest expense, net for the three and six months ended June 30, 2023, respectively, associated with Term Loan B that was issued to finance the $408.0 million cost to settle approximately 880 pending and threatened EO claims against the Settling Defendants in Illinois under Settlement Agreements entered into on March 28, 2023.</w:t>
      </w:r>
    </w:p>
    <w:p>
      <w:pPr>
        <w:ind w:left="652" w:right="220" w:hanging="652"/>
        <w:spacing w:after="0" w:line="268" w:lineRule="auto"/>
        <w:tabs>
          <w:tab w:leader="none" w:pos="335"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 w:lineRule="exact"/>
        <w:rPr>
          <w:rFonts w:ascii="Arial" w:cs="Arial" w:eastAsia="Arial" w:hAnsi="Arial"/>
          <w:sz w:val="15"/>
          <w:szCs w:val="15"/>
          <w:color w:val="auto"/>
        </w:rPr>
      </w:pPr>
    </w:p>
    <w:p>
      <w:pPr>
        <w:ind w:left="292" w:hanging="292"/>
        <w:spacing w:after="0"/>
        <w:tabs>
          <w:tab w:leader="none" w:pos="292"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57" w:lineRule="exact"/>
        <w:rPr>
          <w:rFonts w:ascii="Arial" w:cs="Arial" w:eastAsia="Arial" w:hAnsi="Arial"/>
          <w:sz w:val="15"/>
          <w:szCs w:val="15"/>
          <w:color w:val="auto"/>
        </w:rPr>
      </w:pPr>
    </w:p>
    <w:p>
      <w:pPr>
        <w:ind w:left="652" w:right="140" w:hanging="652"/>
        <w:spacing w:after="0" w:line="274" w:lineRule="auto"/>
        <w:tabs>
          <w:tab w:leader="none" w:pos="301" w:val="left"/>
        </w:tabs>
        <w:numPr>
          <w:ilvl w:val="0"/>
          <w:numId w:val="5"/>
        </w:numPr>
        <w:rPr>
          <w:rFonts w:ascii="Arial" w:cs="Arial" w:eastAsia="Arial" w:hAnsi="Arial"/>
          <w:sz w:val="15"/>
          <w:szCs w:val="15"/>
          <w:color w:val="231F20"/>
        </w:rPr>
      </w:pPr>
      <w:r>
        <w:rPr>
          <w:rFonts w:ascii="Arial" w:cs="Arial" w:eastAsia="Arial" w:hAnsi="Arial"/>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ectPr>
          <w:pgSz w:w="11900" w:h="16838" w:orient="portrait"/>
          <w:cols w:equalWidth="0" w:num="1">
            <w:col w:w="11212"/>
          </w:cols>
          <w:pgMar w:left="328" w:top="126" w:right="359" w:bottom="1440" w:gutter="0" w:footer="0" w:header="0"/>
        </w:sectPr>
      </w:pP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12"/>
          </w:cols>
          <w:pgMar w:left="328" w:top="126" w:right="359" w:bottom="1440" w:gutter="0" w:footer="0" w:header="0"/>
          <w:type w:val="continuous"/>
        </w:sectPr>
      </w:pPr>
    </w:p>
    <w:bookmarkStart w:id="13" w:name="page14"/>
    <w:bookmarkEnd w:id="13"/>
    <w:p>
      <w:pPr>
        <w:spacing w:after="0" w:line="23" w:lineRule="exact"/>
        <w:rPr>
          <w:sz w:val="20"/>
          <w:szCs w:val="20"/>
          <w:color w:val="auto"/>
        </w:rPr>
      </w:pPr>
    </w:p>
    <w:p>
      <w:pPr>
        <w:ind w:left="652" w:hanging="652"/>
        <w:spacing w:after="0" w:line="268" w:lineRule="auto"/>
        <w:tabs>
          <w:tab w:leader="none" w:pos="335" w:val="left"/>
        </w:tabs>
        <w:numPr>
          <w:ilvl w:val="0"/>
          <w:numId w:val="6"/>
        </w:numPr>
        <w:rPr>
          <w:rFonts w:ascii="Arial" w:cs="Arial" w:eastAsia="Arial" w:hAnsi="Arial"/>
          <w:sz w:val="15"/>
          <w:szCs w:val="15"/>
          <w:color w:val="231F20"/>
        </w:rPr>
      </w:pPr>
      <w:r>
        <w:rPr>
          <w:rFonts w:ascii="Arial" w:cs="Arial" w:eastAsia="Arial" w:hAnsi="Arial"/>
          <w:sz w:val="15"/>
          <w:szCs w:val="15"/>
          <w:color w:val="auto"/>
        </w:rPr>
        <w:t>The three and six months ended June 30, 2023 exclude $5.5 million and $7.8 million, respectively, of interest expense, net, on Term Loan B attributable to the loan proceeds that were used to fund the $408.0 million Illinois EO litigation settlement. The three and six months ended June 30, 2022 exclude $3.1 million and $9.4 million, respectively, of unrealized gains on interest rate derivatives not designated as hedging instruments.</w:t>
      </w:r>
    </w:p>
    <w:p>
      <w:pPr>
        <w:spacing w:after="0" w:line="2" w:lineRule="exact"/>
        <w:rPr>
          <w:rFonts w:ascii="Arial" w:cs="Arial" w:eastAsia="Arial" w:hAnsi="Arial"/>
          <w:sz w:val="15"/>
          <w:szCs w:val="15"/>
          <w:color w:val="231F20"/>
        </w:rPr>
      </w:pPr>
    </w:p>
    <w:p>
      <w:pPr>
        <w:ind w:left="292" w:hanging="292"/>
        <w:spacing w:after="0"/>
        <w:tabs>
          <w:tab w:leader="none" w:pos="292" w:val="left"/>
        </w:tabs>
        <w:numPr>
          <w:ilvl w:val="0"/>
          <w:numId w:val="6"/>
        </w:numPr>
        <w:rPr>
          <w:rFonts w:ascii="Arial" w:cs="Arial" w:eastAsia="Arial" w:hAnsi="Arial"/>
          <w:sz w:val="15"/>
          <w:szCs w:val="15"/>
          <w:color w:val="231F20"/>
        </w:rPr>
      </w:pPr>
      <w:r>
        <w:rPr>
          <w:rFonts w:ascii="Arial" w:cs="Arial" w:eastAsia="Arial" w:hAnsi="Arial"/>
          <w:sz w:val="15"/>
          <w:szCs w:val="15"/>
          <w:color w:val="auto"/>
        </w:rPr>
        <w:t>Includes depreciation of Co-60 held at gamma irradiation sites.</w:t>
      </w:r>
    </w:p>
    <w:p>
      <w:pPr>
        <w:spacing w:after="0" w:line="43" w:lineRule="exact"/>
        <w:rPr>
          <w:rFonts w:ascii="Arial" w:cs="Arial" w:eastAsia="Arial" w:hAnsi="Arial"/>
          <w:sz w:val="15"/>
          <w:szCs w:val="15"/>
          <w:color w:val="231F20"/>
        </w:rPr>
      </w:pPr>
    </w:p>
    <w:p>
      <w:pPr>
        <w:ind w:left="652" w:right="420" w:hanging="652"/>
        <w:spacing w:after="0" w:line="281" w:lineRule="auto"/>
        <w:tabs>
          <w:tab w:leader="none" w:pos="378" w:val="left"/>
        </w:tabs>
        <w:numPr>
          <w:ilvl w:val="0"/>
          <w:numId w:val="6"/>
        </w:numPr>
        <w:rPr>
          <w:rFonts w:ascii="Arial" w:cs="Arial" w:eastAsia="Arial" w:hAnsi="Arial"/>
          <w:sz w:val="15"/>
          <w:szCs w:val="15"/>
          <w:color w:val="231F20"/>
        </w:rPr>
      </w:pPr>
      <w:r>
        <w:rPr>
          <w:rFonts w:ascii="Arial" w:cs="Arial" w:eastAsia="Arial" w:hAnsi="Arial"/>
          <w:sz w:val="15"/>
          <w:szCs w:val="15"/>
          <w:color w:val="auto"/>
        </w:rPr>
        <w:t>Represents the difference between the income tax provision as determined under U.S. GAAP and the income tax provision or benefit associated with pre-tax adjustments described in footnote (j).</w:t>
      </w:r>
    </w:p>
    <w:p>
      <w:pPr>
        <w:spacing w:after="0" w:line="1" w:lineRule="exact"/>
        <w:rPr>
          <w:rFonts w:ascii="Arial" w:cs="Arial" w:eastAsia="Arial" w:hAnsi="Arial"/>
          <w:sz w:val="15"/>
          <w:szCs w:val="15"/>
          <w:color w:val="231F20"/>
        </w:rPr>
      </w:pPr>
    </w:p>
    <w:p>
      <w:pPr>
        <w:ind w:left="652" w:right="40" w:hanging="652"/>
        <w:spacing w:after="0" w:line="268" w:lineRule="auto"/>
        <w:tabs>
          <w:tab w:leader="none" w:pos="373" w:val="left"/>
        </w:tabs>
        <w:numPr>
          <w:ilvl w:val="0"/>
          <w:numId w:val="6"/>
        </w:numPr>
        <w:rPr>
          <w:rFonts w:ascii="Arial" w:cs="Arial" w:eastAsia="Arial" w:hAnsi="Arial"/>
          <w:sz w:val="15"/>
          <w:szCs w:val="15"/>
          <w:color w:val="auto"/>
        </w:rPr>
      </w:pPr>
      <w:r>
        <w:rPr>
          <w:rFonts w:ascii="Arial" w:cs="Arial" w:eastAsia="Arial" w:hAnsi="Arial"/>
          <w:sz w:val="15"/>
          <w:szCs w:val="15"/>
          <w:color w:val="auto"/>
        </w:rPr>
        <w:t>$24.4 million and $20.9 million of the adjustments for the three months ended June 30, 2023 and 2022, respectively, and $47.2 million and $40.7 million of the adjustments for the six months ended June 30, 2023 and 2022, respectively, are included in cost of revenues, primarily consisting of amortization of intangible assets, depreciation, and accretion of asset retirement obligations.</w:t>
      </w:r>
    </w:p>
    <w:p>
      <w:pPr>
        <w:spacing w:after="0" w:line="38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52"/>
          </w:cols>
          <w:pgMar w:left="328" w:top="1440" w:right="419" w:bottom="1440" w:gutter="0" w:footer="0" w:header="0"/>
        </w:sectPr>
      </w:pPr>
    </w:p>
    <w:bookmarkStart w:id="14" w:name="page15"/>
    <w:bookmarkEnd w:id="14"/>
    <w:p>
      <w:pPr>
        <w:jc w:val="center"/>
        <w:ind w:right="-9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91"/>
        <w:spacing w:after="0"/>
        <w:rPr>
          <w:sz w:val="20"/>
          <w:szCs w:val="20"/>
          <w:color w:val="auto"/>
        </w:rPr>
      </w:pPr>
      <w:r>
        <w:rPr>
          <w:rFonts w:ascii="Arial" w:cs="Arial" w:eastAsia="Arial" w:hAnsi="Arial"/>
          <w:sz w:val="22"/>
          <w:szCs w:val="22"/>
          <w:b w:val="1"/>
          <w:bCs w:val="1"/>
          <w:color w:val="auto"/>
        </w:rPr>
        <w:t>Non-GAAP Financial Measures</w:t>
      </w:r>
    </w:p>
    <w:p>
      <w:pPr>
        <w:jc w:val="center"/>
        <w:ind w:right="-91"/>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ind w:right="-91"/>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98"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6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As of June 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As of December 31,</w:t>
            </w:r>
          </w:p>
        </w:tc>
      </w:tr>
      <w:tr>
        <w:trPr>
          <w:trHeight w:val="241"/>
        </w:trPr>
        <w:tc>
          <w:tcPr>
            <w:tcW w:w="68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197,119</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2,221,987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1,747,115</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finance leases</w:t>
            </w: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less current portion</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61,283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56,955</w:t>
            </w:r>
          </w:p>
        </w:tc>
      </w:tr>
      <w:tr>
        <w:trPr>
          <w:trHeight w:val="223"/>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2,297,100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2,002,911</w:t>
            </w:r>
          </w:p>
        </w:tc>
      </w:tr>
      <w:tr>
        <w:trPr>
          <w:trHeight w:val="23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(262,700)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(395,214)</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2,034,400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1,607,697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6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481,718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506,249</w:t>
            </w:r>
          </w:p>
        </w:tc>
      </w:tr>
      <w:tr>
        <w:trPr>
          <w:trHeight w:val="234"/>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Net Leverage</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4.2x</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3.2x</w:t>
            </w:r>
          </w:p>
        </w:tc>
      </w:tr>
    </w:tbl>
    <w:p>
      <w:pPr>
        <w:spacing w:after="0" w:line="76" w:lineRule="exact"/>
        <w:rPr>
          <w:sz w:val="20"/>
          <w:szCs w:val="20"/>
          <w:color w:val="auto"/>
        </w:rPr>
      </w:pPr>
    </w:p>
    <w:p>
      <w:pPr>
        <w:ind w:left="332" w:hanging="332"/>
        <w:spacing w:after="0"/>
        <w:tabs>
          <w:tab w:leader="none" w:pos="332"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Represents Adjusted EBITDA for the twelve months ended June 30, 2023 and December 31, 2022, respectively. Refer to the Adjusted EBITDA reconciliations for detail.</w:t>
      </w:r>
    </w:p>
    <w:p>
      <w:pPr>
        <w:spacing w:after="0" w:line="200" w:lineRule="exact"/>
        <w:rPr>
          <w:sz w:val="20"/>
          <w:szCs w:val="20"/>
          <w:color w:val="auto"/>
        </w:rPr>
      </w:pPr>
    </w:p>
    <w:p>
      <w:pPr>
        <w:spacing w:after="0" w:line="24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32"/>
          </w:cols>
          <w:pgMar w:left="328" w:top="126"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Financial Measures</w:t>
      </w: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39"/>
              <w:spacing w:after="0"/>
              <w:rPr>
                <w:sz w:val="20"/>
                <w:szCs w:val="20"/>
                <w:color w:val="auto"/>
              </w:rPr>
            </w:pPr>
            <w:r>
              <w:rPr>
                <w:rFonts w:ascii="Arial" w:cs="Arial" w:eastAsia="Arial" w:hAnsi="Arial"/>
                <w:sz w:val="15"/>
                <w:szCs w:val="15"/>
                <w:b w:val="1"/>
                <w:bCs w:val="1"/>
                <w:color w:val="auto"/>
                <w:w w:val="92"/>
              </w:rPr>
              <w:t>Twelve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39"/>
              <w:spacing w:after="0"/>
              <w:rPr>
                <w:sz w:val="20"/>
                <w:szCs w:val="20"/>
                <w:color w:val="auto"/>
              </w:rPr>
            </w:pPr>
            <w:r>
              <w:rPr>
                <w:rFonts w:ascii="Arial" w:cs="Arial" w:eastAsia="Arial" w:hAnsi="Arial"/>
                <w:sz w:val="15"/>
                <w:szCs w:val="15"/>
                <w:b w:val="1"/>
                <w:bCs w:val="1"/>
                <w:color w:val="auto"/>
                <w:w w:val="92"/>
              </w:rPr>
              <w:t>Twelve Months Ended</w:t>
            </w:r>
          </w:p>
        </w:tc>
      </w:tr>
      <w:tr>
        <w:trPr>
          <w:trHeight w:val="210"/>
        </w:trPr>
        <w:tc>
          <w:tcPr>
            <w:tcW w:w="7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w w:val="93"/>
              </w:rPr>
              <w:t>June 30,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w w:val="90"/>
              </w:rPr>
              <w:t>December 31,</w:t>
            </w:r>
          </w:p>
        </w:tc>
      </w:tr>
      <w:tr>
        <w:trPr>
          <w:trHeight w:val="213"/>
        </w:trPr>
        <w:tc>
          <w:tcPr>
            <w:tcW w:w="7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(268,274)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(233,570)</w:t>
            </w:r>
          </w:p>
        </w:tc>
      </w:tr>
      <w:tr>
        <w:trPr>
          <w:trHeight w:val="213"/>
        </w:trPr>
        <w:tc>
          <w:tcPr>
            <w:tcW w:w="730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81,286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81,554</w:t>
            </w:r>
          </w:p>
        </w:tc>
      </w:tr>
      <w:tr>
        <w:trPr>
          <w:trHeight w:val="219"/>
        </w:trPr>
        <w:tc>
          <w:tcPr>
            <w:tcW w:w="73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21,211</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Gain on foreign currency and derivatives not designated as hedging instruments</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9,613</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and other expenses relating to EO sterilization facilities</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70,284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72,639</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Illinois EO litigation settlement</w:t>
            </w:r>
            <w:r>
              <w:rPr>
                <w:rFonts w:ascii="Arial" w:cs="Arial" w:eastAsia="Arial" w:hAnsi="Arial"/>
                <w:sz w:val="21"/>
                <w:szCs w:val="21"/>
                <w:color w:val="auto"/>
                <w:vertAlign w:val="superscript"/>
              </w:rPr>
              <w:t>(h)</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408,000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408,000</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(i)</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(111,848)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(103,081)</w:t>
            </w:r>
          </w:p>
        </w:tc>
      </w:tr>
      <w:tr>
        <w:trPr>
          <w:trHeight w:val="20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231,480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270,219</w:t>
            </w:r>
          </w:p>
        </w:tc>
      </w:tr>
      <w:tr>
        <w:trPr>
          <w:trHeight w:val="212"/>
        </w:trPr>
        <w:tc>
          <w:tcPr>
            <w:tcW w:w="730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(l)</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96,407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78,490</w:t>
            </w:r>
          </w:p>
        </w:tc>
      </w:tr>
      <w:tr>
        <w:trPr>
          <w:trHeight w:val="216"/>
        </w:trPr>
        <w:tc>
          <w:tcPr>
            <w:tcW w:w="730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(m)</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70,308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64,000</w:t>
            </w:r>
          </w:p>
        </w:tc>
      </w:tr>
      <w:tr>
        <w:trPr>
          <w:trHeight w:val="216"/>
        </w:trPr>
        <w:tc>
          <w:tcPr>
            <w:tcW w:w="73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(n)</w:t>
            </w: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83,523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93,540</w:t>
            </w:r>
          </w:p>
        </w:tc>
      </w:tr>
      <w:tr>
        <w:trPr>
          <w:trHeight w:val="209"/>
        </w:trPr>
        <w:tc>
          <w:tcPr>
            <w:tcW w:w="730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(o)</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481,718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506,249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976,166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1,003,687</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r>
    </w:tbl>
    <w:p>
      <w:pPr>
        <w:spacing w:after="0" w:line="176" w:lineRule="exact"/>
        <w:rPr>
          <w:sz w:val="20"/>
          <w:szCs w:val="20"/>
          <w:color w:val="auto"/>
        </w:rPr>
      </w:pPr>
    </w:p>
    <w:p>
      <w:pPr>
        <w:ind w:left="400" w:hanging="330"/>
        <w:spacing w:after="0"/>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share-based compensation expense to employees and non-employee directors.</w:t>
      </w:r>
    </w:p>
    <w:p>
      <w:pPr>
        <w:spacing w:after="0" w:line="57" w:lineRule="exact"/>
        <w:rPr>
          <w:rFonts w:ascii="Arial" w:cs="Arial" w:eastAsia="Arial" w:hAnsi="Arial"/>
          <w:sz w:val="15"/>
          <w:szCs w:val="15"/>
          <w:color w:val="231F20"/>
        </w:rPr>
      </w:pPr>
    </w:p>
    <w:p>
      <w:pPr>
        <w:ind w:left="400" w:right="100" w:hanging="330"/>
        <w:spacing w:after="0" w:line="272"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400" w:right="360" w:hanging="330"/>
        <w:spacing w:after="0" w:line="295"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400" w:right="380" w:hanging="330"/>
        <w:spacing w:after="0" w:line="274"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1" w:lineRule="exact"/>
        <w:rPr>
          <w:rFonts w:ascii="Arial" w:cs="Arial" w:eastAsia="Arial" w:hAnsi="Arial"/>
          <w:sz w:val="15"/>
          <w:szCs w:val="15"/>
          <w:color w:val="231F20"/>
        </w:rPr>
      </w:pPr>
    </w:p>
    <w:p>
      <w:pPr>
        <w:jc w:val="both"/>
        <w:ind w:left="400" w:right="120" w:hanging="330"/>
        <w:spacing w:after="0" w:line="268"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 The twelve months ended June 30, 2023 includes a $1.0 million cancellation fee received from a tenant in connection with the termination of an office space lease at the Nordion facility.</w:t>
      </w:r>
    </w:p>
    <w:p>
      <w:pPr>
        <w:spacing w:after="0" w:line="2" w:lineRule="exact"/>
        <w:rPr>
          <w:rFonts w:ascii="Arial" w:cs="Arial" w:eastAsia="Arial" w:hAnsi="Arial"/>
          <w:sz w:val="15"/>
          <w:szCs w:val="15"/>
          <w:color w:val="auto"/>
        </w:rPr>
      </w:pPr>
    </w:p>
    <w:p>
      <w:pPr>
        <w:ind w:left="400" w:hanging="330"/>
        <w:spacing w:after="0"/>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an impairment charge on our equity method investment in a joint venture.</w:t>
      </w:r>
    </w:p>
    <w:p>
      <w:pPr>
        <w:spacing w:after="0" w:line="43" w:lineRule="exact"/>
        <w:rPr>
          <w:rFonts w:ascii="Arial" w:cs="Arial" w:eastAsia="Arial" w:hAnsi="Arial"/>
          <w:sz w:val="15"/>
          <w:szCs w:val="15"/>
          <w:color w:val="231F20"/>
        </w:rPr>
      </w:pPr>
    </w:p>
    <w:p>
      <w:pPr>
        <w:ind w:left="400" w:right="20" w:hanging="330"/>
        <w:spacing w:after="0" w:line="262"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litigation and other professional fees associated with our EO sterilization facilities. This includes $7.8 million of interest expense, net for the twelve months ended June 30, 2023, associated with Term Loan B that was issued to finance the $408.0 million cost to settle approximately 880 pending and threatened EO claims against the Settling Defendants in Illinois under Settlement Agreements entered into on March 28, 2023.</w:t>
      </w:r>
    </w:p>
    <w:p>
      <w:pPr>
        <w:ind w:left="400" w:right="280" w:hanging="330"/>
        <w:spacing w:after="0" w:line="273"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Represents the cost to settle approximately 880 pending and threatened EO claims against the Settling Defendants in Illinois under settlement Agreements entered into on March 28, 2023.</w:t>
      </w:r>
    </w:p>
    <w:p>
      <w:pPr>
        <w:ind w:left="400" w:right="160" w:hanging="330"/>
        <w:spacing w:after="0" w:line="268"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 w:lineRule="exact"/>
        <w:rPr>
          <w:rFonts w:ascii="Arial" w:cs="Arial" w:eastAsia="Arial" w:hAnsi="Arial"/>
          <w:sz w:val="15"/>
          <w:szCs w:val="15"/>
          <w:color w:val="231F20"/>
        </w:rPr>
      </w:pPr>
    </w:p>
    <w:p>
      <w:pPr>
        <w:ind w:left="400" w:hanging="330"/>
        <w:spacing w:after="0"/>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57" w:lineRule="exact"/>
        <w:rPr>
          <w:rFonts w:ascii="Arial" w:cs="Arial" w:eastAsia="Arial" w:hAnsi="Arial"/>
          <w:sz w:val="15"/>
          <w:szCs w:val="15"/>
          <w:color w:val="231F20"/>
        </w:rPr>
      </w:pPr>
    </w:p>
    <w:p>
      <w:pPr>
        <w:ind w:left="400" w:right="160" w:hanging="330"/>
        <w:spacing w:after="0" w:line="274"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1" w:lineRule="exact"/>
        <w:rPr>
          <w:rFonts w:ascii="Arial" w:cs="Arial" w:eastAsia="Arial" w:hAnsi="Arial"/>
          <w:sz w:val="15"/>
          <w:szCs w:val="15"/>
          <w:color w:val="231F20"/>
        </w:rPr>
      </w:pPr>
    </w:p>
    <w:p>
      <w:pPr>
        <w:ind w:left="400" w:hanging="330"/>
        <w:spacing w:after="0" w:line="268"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231F20"/>
        </w:rPr>
        <w:t xml:space="preserve">The twelve months ended June 30, 2023 exclude </w:t>
      </w:r>
      <w:r>
        <w:rPr>
          <w:rFonts w:ascii="Arial" w:cs="Arial" w:eastAsia="Arial" w:hAnsi="Arial"/>
          <w:sz w:val="15"/>
          <w:szCs w:val="15"/>
          <w:color w:val="000000"/>
        </w:rPr>
        <w:t>$7.8 million</w:t>
      </w:r>
      <w:r>
        <w:rPr>
          <w:rFonts w:ascii="Arial" w:cs="Arial" w:eastAsia="Arial" w:hAnsi="Arial"/>
          <w:sz w:val="15"/>
          <w:szCs w:val="15"/>
          <w:color w:val="231F20"/>
        </w:rPr>
        <w:t xml:space="preserve"> of interest expense, net on Term Loan B attributable to the loan proceeds that were used to fund the $408.0 million Illinois EO litigation settlement. The twelve months ended June 30, 2023 and December 31, 2022 exclude </w:t>
      </w:r>
      <w:r>
        <w:rPr>
          <w:rFonts w:ascii="Arial" w:cs="Arial" w:eastAsia="Arial" w:hAnsi="Arial"/>
          <w:sz w:val="15"/>
          <w:szCs w:val="15"/>
          <w:color w:val="000000"/>
        </w:rPr>
        <w:t>$11.1 million</w:t>
      </w:r>
      <w:r>
        <w:rPr>
          <w:rFonts w:ascii="Arial" w:cs="Arial" w:eastAsia="Arial" w:hAnsi="Arial"/>
          <w:sz w:val="15"/>
          <w:szCs w:val="15"/>
          <w:color w:val="231F20"/>
        </w:rPr>
        <w:t xml:space="preserve"> and </w:t>
      </w:r>
      <w:r>
        <w:rPr>
          <w:rFonts w:ascii="Arial" w:cs="Arial" w:eastAsia="Arial" w:hAnsi="Arial"/>
          <w:sz w:val="15"/>
          <w:szCs w:val="15"/>
          <w:color w:val="000000"/>
        </w:rPr>
        <w:t>$1.7 million</w:t>
      </w:r>
      <w:r>
        <w:rPr>
          <w:rFonts w:ascii="Arial" w:cs="Arial" w:eastAsia="Arial" w:hAnsi="Arial"/>
          <w:sz w:val="15"/>
          <w:szCs w:val="15"/>
          <w:color w:val="231F20"/>
        </w:rPr>
        <w:t>, respectively, net decrease in the fair value of interest rate derivatives not designated as hedging instruments recorded to interest expense.</w:t>
      </w:r>
    </w:p>
    <w:p>
      <w:pPr>
        <w:spacing w:after="0" w:line="2" w:lineRule="exact"/>
        <w:rPr>
          <w:rFonts w:ascii="Arial" w:cs="Arial" w:eastAsia="Arial" w:hAnsi="Arial"/>
          <w:sz w:val="15"/>
          <w:szCs w:val="15"/>
          <w:color w:val="auto"/>
        </w:rPr>
      </w:pPr>
    </w:p>
    <w:p>
      <w:pPr>
        <w:ind w:left="400" w:hanging="330"/>
        <w:spacing w:after="0"/>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Includes depreciation of Co-60 held at gamma irradiation sites.</w:t>
      </w:r>
    </w:p>
    <w:p>
      <w:pPr>
        <w:spacing w:after="0" w:line="43" w:lineRule="exact"/>
        <w:rPr>
          <w:rFonts w:ascii="Arial" w:cs="Arial" w:eastAsia="Arial" w:hAnsi="Arial"/>
          <w:sz w:val="15"/>
          <w:szCs w:val="15"/>
          <w:color w:val="231F20"/>
        </w:rPr>
      </w:pPr>
    </w:p>
    <w:p>
      <w:pPr>
        <w:ind w:left="400" w:right="320" w:hanging="330"/>
        <w:spacing w:after="0" w:line="293" w:lineRule="auto"/>
        <w:tabs>
          <w:tab w:leader="none" w:pos="400"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Represents the difference between the income tax provision as determined under U.S. GAAP and the income tax benefit associated with pre-tax adjustments described in footnote (k).</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420" w:top="126" w:right="419" w:bottom="1440" w:gutter="0" w:footer="0" w:header="0"/>
        </w:sectPr>
      </w:pPr>
    </w:p>
    <w:bookmarkStart w:id="16" w:name="page17"/>
    <w:bookmarkEnd w:id="16"/>
    <w:p>
      <w:pPr>
        <w:jc w:val="center"/>
        <w:ind w:right="150"/>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150"/>
        <w:spacing w:after="0"/>
        <w:rPr>
          <w:sz w:val="20"/>
          <w:szCs w:val="20"/>
          <w:color w:val="auto"/>
        </w:rPr>
      </w:pPr>
      <w:r>
        <w:rPr>
          <w:rFonts w:ascii="Arial" w:cs="Arial" w:eastAsia="Arial" w:hAnsi="Arial"/>
          <w:sz w:val="22"/>
          <w:szCs w:val="22"/>
          <w:b w:val="1"/>
          <w:bCs w:val="1"/>
          <w:color w:val="auto"/>
        </w:rPr>
        <w:t>Non-GAAP Financial Measures</w:t>
      </w:r>
    </w:p>
    <w:p>
      <w:pPr>
        <w:jc w:val="center"/>
        <w:ind w:right="150"/>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150"/>
        <w:spacing w:after="0"/>
        <w:rPr>
          <w:sz w:val="20"/>
          <w:szCs w:val="20"/>
          <w:color w:val="auto"/>
        </w:rPr>
      </w:pPr>
      <w:r>
        <w:rPr>
          <w:rFonts w:ascii="Arial" w:cs="Arial" w:eastAsia="Arial" w:hAnsi="Arial"/>
          <w:sz w:val="18"/>
          <w:szCs w:val="18"/>
          <w:i w:val="1"/>
          <w:iCs w:val="1"/>
          <w:color w:val="auto"/>
        </w:rPr>
        <w:t>(unaudited)</w:t>
      </w:r>
    </w:p>
    <w:p>
      <w:pPr>
        <w:spacing w:after="0" w:line="387" w:lineRule="exact"/>
        <w:rPr>
          <w:sz w:val="20"/>
          <w:szCs w:val="20"/>
          <w:color w:val="auto"/>
        </w:rPr>
      </w:pPr>
    </w:p>
    <w:p>
      <w:pPr>
        <w:ind w:left="330" w:hanging="330"/>
        <w:spacing w:after="0" w:line="274" w:lineRule="auto"/>
        <w:tabs>
          <w:tab w:leader="none" w:pos="330"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$90.2 million and $83.6 million of the adjustments for the twelve months ended June 30, 2023 and December 31, 2022, respectively, are included in cost of revenues, primarily consisting of amortization of intangible assets, depreciation, and accretion of asset retirement obligations.</w:t>
      </w:r>
    </w:p>
    <w:p>
      <w:pPr>
        <w:spacing w:after="0" w:line="383"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14</w:t>
      </w:r>
    </w:p>
    <w:sectPr>
      <w:pgSz w:w="11900" w:h="16838" w:orient="portrait"/>
      <w:cols w:equalWidth="0" w:num="1">
        <w:col w:w="11070"/>
      </w:cols>
      <w:pgMar w:left="49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2023-08-03T06:28:32Z</dcterms:created>
  <dcterms:modified xsi:type="dcterms:W3CDTF">2023-08-03T06:28:32Z</dcterms:modified>
</cp:coreProperties>
</file>