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WARBURG PINCUS &amp; 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60"/>
        <w:spacing w:after="0" w:line="365" w:lineRule="auto"/>
        <w:rPr>
          <w:sz w:val="20"/>
          <w:szCs w:val="20"/>
          <w:color w:val="auto"/>
        </w:rPr>
      </w:pPr>
      <w:r>
        <w:rPr>
          <w:rFonts w:ascii="Times New Roman" w:cs="Times New Roman" w:eastAsia="Times New Roman" w:hAnsi="Times New Roman"/>
          <w:sz w:val="17"/>
          <w:szCs w:val="17"/>
          <w:color w:val="0000FF"/>
        </w:rPr>
        <w:t>450 LEXINGTON AVENUE NEW YORK</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10017</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80" w:type="dxa"/>
            <w:vAlign w:val="bottom"/>
          </w:tcPr>
          <w:p>
            <w:pPr>
              <w:ind w:left="3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280" w:type="dxa"/>
            <w:vAlign w:val="bottom"/>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13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2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13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w:t>
            </w: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6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Arial" w:cs="Arial" w:eastAsia="Arial" w:hAnsi="Arial"/>
                <w:sz w:val="12"/>
                <w:szCs w:val="12"/>
                <w:b w:val="1"/>
                <w:bCs w:val="1"/>
                <w:color w:val="auto"/>
              </w:rPr>
              <w:t>(D)</w:t>
            </w: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4"/>
          </w:tcPr>
          <w:p>
            <w:pPr>
              <w:ind w:left="60"/>
              <w:spacing w:after="0" w:line="175" w:lineRule="exact"/>
              <w:rPr>
                <w:sz w:val="20"/>
                <w:szCs w:val="20"/>
                <w:color w:val="auto"/>
              </w:rPr>
            </w:pPr>
            <w:r>
              <w:rPr>
                <w:rFonts w:ascii="Times New Roman" w:cs="Times New Roman" w:eastAsia="Times New Roman" w:hAnsi="Times New Roman"/>
                <w:sz w:val="17"/>
                <w:szCs w:val="17"/>
                <w:color w:val="0000FF"/>
              </w:rPr>
              <w:t>value per share ("Common</w:t>
            </w:r>
          </w:p>
        </w:tc>
        <w:tc>
          <w:tcPr>
            <w:tcW w:w="1280" w:type="dxa"/>
            <w:vAlign w:val="bottom"/>
            <w:gridSpan w:val="3"/>
          </w:tcPr>
          <w:p>
            <w:pPr>
              <w:jc w:val="right"/>
              <w:ind w:right="310"/>
              <w:spacing w:after="0" w:line="175" w:lineRule="exact"/>
              <w:rPr>
                <w:sz w:val="20"/>
                <w:szCs w:val="20"/>
                <w:color w:val="auto"/>
              </w:rPr>
            </w:pPr>
            <w:r>
              <w:rPr>
                <w:rFonts w:ascii="Times New Roman" w:cs="Times New Roman" w:eastAsia="Times New Roman" w:hAnsi="Times New Roman"/>
                <w:sz w:val="17"/>
                <w:szCs w:val="17"/>
                <w:color w:val="0000FF"/>
              </w:rPr>
              <w:t>03/04/2024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540" w:type="dxa"/>
            <w:vAlign w:val="bottom"/>
            <w:gridSpan w:val="2"/>
          </w:tcPr>
          <w:p>
            <w:pPr>
              <w:ind w:left="140"/>
              <w:spacing w:after="0" w:line="174" w:lineRule="exact"/>
              <w:rPr>
                <w:sz w:val="20"/>
                <w:szCs w:val="20"/>
                <w:color w:val="auto"/>
              </w:rPr>
            </w:pPr>
            <w:r>
              <w:rPr>
                <w:rFonts w:ascii="Times New Roman" w:cs="Times New Roman" w:eastAsia="Times New Roman" w:hAnsi="Times New Roman"/>
                <w:sz w:val="16"/>
                <w:szCs w:val="16"/>
                <w:color w:val="0000FF"/>
              </w:rPr>
              <w:t>16,594,363</w:t>
            </w:r>
            <w:r>
              <w:rPr>
                <w:rFonts w:ascii="Times New Roman" w:cs="Times New Roman" w:eastAsia="Times New Roman" w:hAnsi="Times New Roman"/>
                <w:sz w:val="20"/>
                <w:szCs w:val="20"/>
                <w:color w:val="008000"/>
                <w:vertAlign w:val="superscript"/>
              </w:rPr>
              <w:t>(1)</w:t>
            </w:r>
            <w:r>
              <w:rPr>
                <w:rFonts w:ascii="Times New Roman" w:cs="Times New Roman" w:eastAsia="Times New Roman" w:hAnsi="Times New Roman"/>
                <w:sz w:val="16"/>
                <w:szCs w:val="16"/>
                <w:color w:val="0000FF"/>
              </w:rPr>
              <w:t xml:space="preserve">    D</w:t>
            </w:r>
          </w:p>
        </w:tc>
        <w:tc>
          <w:tcPr>
            <w:tcW w:w="920" w:type="dxa"/>
            <w:vAlign w:val="bottom"/>
          </w:tcPr>
          <w:p>
            <w:pPr>
              <w:ind w:left="80"/>
              <w:spacing w:after="0" w:line="175"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14.3075</w:t>
            </w:r>
          </w:p>
        </w:tc>
        <w:tc>
          <w:tcPr>
            <w:tcW w:w="1420" w:type="dxa"/>
            <w:vAlign w:val="bottom"/>
            <w:gridSpan w:val="3"/>
          </w:tcPr>
          <w:p>
            <w:pPr>
              <w:jc w:val="right"/>
              <w:ind w:right="460"/>
              <w:spacing w:after="0" w:line="174" w:lineRule="exact"/>
              <w:rPr>
                <w:sz w:val="20"/>
                <w:szCs w:val="20"/>
                <w:color w:val="auto"/>
              </w:rPr>
            </w:pPr>
            <w:r>
              <w:rPr>
                <w:rFonts w:ascii="Times New Roman" w:cs="Times New Roman" w:eastAsia="Times New Roman" w:hAnsi="Times New Roman"/>
                <w:sz w:val="16"/>
                <w:szCs w:val="16"/>
                <w:color w:val="0000FF"/>
              </w:rPr>
              <w:t>88,822,952</w:t>
            </w:r>
            <w:r>
              <w:rPr>
                <w:rFonts w:ascii="Times New Roman" w:cs="Times New Roman" w:eastAsia="Times New Roman" w:hAnsi="Times New Roman"/>
                <w:sz w:val="20"/>
                <w:szCs w:val="20"/>
                <w:color w:val="008000"/>
                <w:vertAlign w:val="superscript"/>
              </w:rPr>
              <w:t>(2)</w:t>
            </w:r>
          </w:p>
        </w:tc>
        <w:tc>
          <w:tcPr>
            <w:tcW w:w="3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(4)(5)(6)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jc w:val="right"/>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0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WARBURG PINCUS &amp; CO.</w:t>
              </w:r>
            </w:hyperlink>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76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Warburg Pincus Private Equity XI-C,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Warburg Pincus (Cayman) XI,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Warburg Pincus XI-C,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-2970530</wp:posOffset>
            </wp:positionV>
            <wp:extent cx="2809240" cy="10208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1020889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Warburg Pincus Partners II (Cayman),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Warburg Pincus (Bermuda) Private Equity GP</w:t>
        </w:r>
      </w:hyperlink>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Ltd.</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WARBURG PINCUS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Warburg Pincus Partners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1. On March 4, 2024, certain of the Warburg Pincus Entities (as defined below) sold a total of 16,594,363 shares of Common Stock of Sotera Health Company (the "Issuer") in an underwritten public</w:t>
      </w:r>
    </w:p>
    <w:p>
      <w:pPr>
        <w:sectPr>
          <w:pgSz w:w="11900" w:h="16838" w:orient="portrait"/>
          <w:cols w:equalWidth="0" w:num="1">
            <w:col w:w="10600"/>
          </w:cols>
          <w:pgMar w:left="480" w:top="125" w:right="81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color w:val="008000"/>
        </w:rPr>
        <w:t>secondary offering (the "Offering").</w:t>
      </w:r>
    </w:p>
    <w:p>
      <w:pPr>
        <w:spacing w:after="0" w:line="50" w:lineRule="exact"/>
        <w:rPr>
          <w:sz w:val="20"/>
          <w:szCs w:val="20"/>
          <w:color w:val="auto"/>
        </w:rPr>
      </w:pPr>
    </w:p>
    <w:p>
      <w:pPr>
        <w:ind w:right="1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71,083,263 shares of Common Stock of the Issuer held by Bull Holdco L.P. ("Bull Holdco") and (iii) 17,739,689 shares of Common Stock of the Issuer held by Bull Co-Invest L.P., a Delaware limited partnership ("Bull Co-Invest").</w:t>
      </w:r>
    </w:p>
    <w:p>
      <w:pPr>
        <w:spacing w:after="0" w:line="7" w:lineRule="exact"/>
        <w:rPr>
          <w:rFonts w:ascii="Times New Roman" w:cs="Times New Roman" w:eastAsia="Times New Roman" w:hAnsi="Times New Roman"/>
          <w:sz w:val="13"/>
          <w:szCs w:val="13"/>
          <w:color w:val="008000"/>
        </w:rPr>
      </w:pPr>
    </w:p>
    <w:p>
      <w:pPr>
        <w:ind w:right="6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 L.P., a Delaware limited partnership ("WP XI GP"), is the general partner of each of (i) Warburg Pincus Private Equity XI, L.P. ("WP XI"), (ii)Warburg Pincus Private Equity XI-B, L.P. ("WP XI-B"), (iii) WP XI Partners, L.P. ("WP XI Partners") and (iv) Warburg Pincus XI Partners, L.P. ("Warburg Pincus XI Partners"). WP Global LLC ("WP Global"), is the general partner of WP XI GP. Warburg Pincus Partners II, L.P. ("WPP II"), is the managing member of WP Global.Warburg Pincus Partners GP LLC ("WPP GP LLC"), is the general partner of WPP II. Warburg Pincus &amp; Co. ("WP"), is the managing member of WPP GP LLC.Warburg Pincus (Cayman) XI, L.P. ("WP XI Cayman GP"), is the general partner of Warburg Pincus Private Equity XI-C, L.P. ("WP XI-C" and, together with WP XI,WP XI-B, WP XI Partners and Warburg Pincus XI Partners, the "WP XI Funds").</w:t>
      </w:r>
    </w:p>
    <w:p>
      <w:pPr>
        <w:spacing w:after="0" w:line="26"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WP XI Funds, Bull Co-Invest, Bull Holdco, WP Global, WPP II, WPP GP LLC, WP XI Cayman GP, WP XI-C LLC, WPP II Cayman, WP Bermuda GP, WP Bull Manager, WP LLC and WP are collectively referred to herein as the "Warburg Pincus Entities."</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008000"/>
        </w:rPr>
        <w:t>Form 2 of 2. Two reports are filed that relate to the same transactions. See Form 1 of 2 for additional reporting entities. Note: File three copies of this Form, one of which must be manually signed. If space is insufficient, see Instruction 6 for procedure. Potential persons who are to respond to the collection of information contained in this form are not required to respond unless the form displays a currently valid OMB number.</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See Exhibit 99.1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27"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6964045" cy="1714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122555</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99.1</w:t>
      </w:r>
    </w:p>
    <w:p>
      <w:pPr>
        <w:spacing w:after="0" w:line="2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List of Reporting Owners and 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designated filer: WARBURG PINCUS &amp; CO.</w:t>
      </w:r>
    </w:p>
    <w:p>
      <w:pPr>
        <w:spacing w:after="0" w:line="21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Other joint filers: Warburg Pincus Private Equity XI-C, L.P., Warburg Pincus (Cayman) XI, L.P., Warburg Pincus XI-C, LLC, Warburg Pincus Partners II (Cayman), L.P., Warburg Pincus (Bermuda) Private Equity GP Ltd., Warburg Pincus LLC, Warburg Pincus Partners GP LLC.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each joint filer is: c/o Warburg Pincus &amp; Co., 450 Lexington Avenue, New York, New York 10017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 or Trading Symbol: Sotera Health Co [SHC]</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gridSpan w:val="3"/>
          </w:tcPr>
          <w:p>
            <w:pPr>
              <w:ind w:left="5220"/>
              <w:spacing w:after="0"/>
              <w:rPr>
                <w:sz w:val="20"/>
                <w:szCs w:val="20"/>
                <w:color w:val="auto"/>
              </w:rPr>
            </w:pPr>
            <w:r>
              <w:rPr>
                <w:rFonts w:ascii="Times New Roman" w:cs="Times New Roman" w:eastAsia="Times New Roman" w:hAnsi="Times New Roman"/>
                <w:sz w:val="18"/>
                <w:szCs w:val="18"/>
                <w:b w:val="1"/>
                <w:bCs w:val="1"/>
                <w:color w:val="auto"/>
              </w:rPr>
              <w:t>WARBURG PINCUS &amp; CO.</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9"/>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03/06/2024</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Harsha G. Marti</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Partner</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0"/>
        </w:trPr>
        <w:tc>
          <w:tcPr>
            <w:tcW w:w="9600" w:type="dxa"/>
            <w:vAlign w:val="bottom"/>
            <w:gridSpan w:val="3"/>
          </w:tcPr>
          <w:p>
            <w:pPr>
              <w:ind w:left="5220"/>
              <w:spacing w:after="0"/>
              <w:rPr>
                <w:sz w:val="20"/>
                <w:szCs w:val="20"/>
                <w:color w:val="auto"/>
              </w:rPr>
            </w:pPr>
            <w:r>
              <w:rPr>
                <w:rFonts w:ascii="Times New Roman" w:cs="Times New Roman" w:eastAsia="Times New Roman" w:hAnsi="Times New Roman"/>
                <w:sz w:val="18"/>
                <w:szCs w:val="18"/>
                <w:b w:val="1"/>
                <w:bCs w:val="1"/>
                <w:color w:val="auto"/>
              </w:rPr>
              <w:t>WARBURG PINCUS PRIVATE EQUITY XI-C, L.P.</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Warburg Pincus (Cayman) XI, L.P., its general partner</w:t>
            </w:r>
          </w:p>
        </w:tc>
        <w:tc>
          <w:tcPr>
            <w:tcW w:w="0" w:type="dxa"/>
            <w:vAlign w:val="bottom"/>
          </w:tcPr>
          <w:p>
            <w:pPr>
              <w:spacing w:after="0"/>
              <w:rPr>
                <w:sz w:val="1"/>
                <w:szCs w:val="1"/>
                <w:color w:val="auto"/>
              </w:rPr>
            </w:pPr>
          </w:p>
        </w:tc>
      </w:tr>
      <w:tr>
        <w:trPr>
          <w:trHeight w:val="213"/>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Warburg Pincus XI-C, LLC, its general partner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0" w:type="dxa"/>
            <w:vAlign w:val="bottom"/>
          </w:tcPr>
          <w:p>
            <w:pPr>
              <w:spacing w:after="0"/>
              <w:rPr>
                <w:sz w:val="1"/>
                <w:szCs w:val="1"/>
                <w:color w:val="auto"/>
              </w:rPr>
            </w:pPr>
          </w:p>
        </w:tc>
      </w:tr>
      <w:tr>
        <w:trPr>
          <w:trHeight w:val="213"/>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8"/>
              </w:rPr>
              <w:t>Warburg Pincus (Bermuda) Private Equity GP Ltd., its general partner</w:t>
            </w:r>
          </w:p>
        </w:tc>
        <w:tc>
          <w:tcPr>
            <w:tcW w:w="0" w:type="dxa"/>
            <w:vAlign w:val="bottom"/>
          </w:tcPr>
          <w:p>
            <w:pPr>
              <w:spacing w:after="0"/>
              <w:rPr>
                <w:sz w:val="1"/>
                <w:szCs w:val="1"/>
                <w:color w:val="auto"/>
              </w:rPr>
            </w:pPr>
          </w:p>
        </w:tc>
      </w:tr>
      <w:tr>
        <w:trPr>
          <w:trHeight w:val="192"/>
        </w:trPr>
        <w:tc>
          <w:tcPr>
            <w:tcW w:w="5840" w:type="dxa"/>
            <w:vAlign w:val="bottom"/>
          </w:tcPr>
          <w:p>
            <w:pPr>
              <w:ind w:left="5220"/>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16"/>
                <w:szCs w:val="16"/>
                <w:color w:val="auto"/>
              </w:rPr>
            </w:pPr>
          </w:p>
        </w:tc>
        <w:tc>
          <w:tcPr>
            <w:tcW w:w="35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 Harsha G. Marti</w:t>
            </w: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7"/>
              </w:rPr>
              <w:t>03/06/2024</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Harsha G. Marti</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Partner</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600" w:type="dxa"/>
            <w:vAlign w:val="bottom"/>
            <w:gridSpan w:val="3"/>
          </w:tcPr>
          <w:p>
            <w:pPr>
              <w:ind w:left="5220"/>
              <w:spacing w:after="0"/>
              <w:rPr>
                <w:sz w:val="20"/>
                <w:szCs w:val="20"/>
                <w:color w:val="auto"/>
              </w:rPr>
            </w:pPr>
            <w:r>
              <w:rPr>
                <w:rFonts w:ascii="Times New Roman" w:cs="Times New Roman" w:eastAsia="Times New Roman" w:hAnsi="Times New Roman"/>
                <w:sz w:val="18"/>
                <w:szCs w:val="18"/>
                <w:b w:val="1"/>
                <w:bCs w:val="1"/>
                <w:color w:val="auto"/>
              </w:rPr>
              <w:t>WARBURG PINCUS (CAYMAN) XI, L.P.</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Warburg Pincus XI-C, LLC, its general partner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0" w:type="dxa"/>
            <w:vAlign w:val="bottom"/>
          </w:tcPr>
          <w:p>
            <w:pPr>
              <w:spacing w:after="0"/>
              <w:rPr>
                <w:sz w:val="1"/>
                <w:szCs w:val="1"/>
                <w:color w:val="auto"/>
              </w:rPr>
            </w:pPr>
          </w:p>
        </w:tc>
      </w:tr>
      <w:tr>
        <w:trPr>
          <w:trHeight w:val="213"/>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8"/>
              </w:rPr>
              <w:t>Warburg Pincus (Bermuda) Private Equity GP Ltd., its general partner</w:t>
            </w:r>
          </w:p>
        </w:tc>
        <w:tc>
          <w:tcPr>
            <w:tcW w:w="0" w:type="dxa"/>
            <w:vAlign w:val="bottom"/>
          </w:tcPr>
          <w:p>
            <w:pPr>
              <w:spacing w:after="0"/>
              <w:rPr>
                <w:sz w:val="1"/>
                <w:szCs w:val="1"/>
                <w:color w:val="auto"/>
              </w:rPr>
            </w:pPr>
          </w:p>
        </w:tc>
      </w:tr>
      <w:tr>
        <w:trPr>
          <w:trHeight w:val="192"/>
        </w:trPr>
        <w:tc>
          <w:tcPr>
            <w:tcW w:w="5840" w:type="dxa"/>
            <w:vAlign w:val="bottom"/>
          </w:tcPr>
          <w:p>
            <w:pPr>
              <w:ind w:left="5220"/>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16"/>
                <w:szCs w:val="16"/>
                <w:color w:val="auto"/>
              </w:rPr>
            </w:pPr>
          </w:p>
        </w:tc>
        <w:tc>
          <w:tcPr>
            <w:tcW w:w="35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 Harsha G. Marti</w:t>
            </w: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7"/>
              </w:rPr>
              <w:t>03/06/2024</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Harsha G. Marti</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Partner</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600" w:type="dxa"/>
            <w:vAlign w:val="bottom"/>
            <w:gridSpan w:val="3"/>
          </w:tcPr>
          <w:p>
            <w:pPr>
              <w:ind w:left="5220"/>
              <w:spacing w:after="0"/>
              <w:rPr>
                <w:sz w:val="20"/>
                <w:szCs w:val="20"/>
                <w:color w:val="auto"/>
              </w:rPr>
            </w:pPr>
            <w:r>
              <w:rPr>
                <w:rFonts w:ascii="Times New Roman" w:cs="Times New Roman" w:eastAsia="Times New Roman" w:hAnsi="Times New Roman"/>
                <w:sz w:val="18"/>
                <w:szCs w:val="18"/>
                <w:b w:val="1"/>
                <w:bCs w:val="1"/>
                <w:color w:val="auto"/>
              </w:rPr>
              <w:t>WARBURG PINCUS XI-C, LLC</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0" w:type="dxa"/>
            <w:vAlign w:val="bottom"/>
          </w:tcPr>
          <w:p>
            <w:pPr>
              <w:spacing w:after="0"/>
              <w:rPr>
                <w:sz w:val="1"/>
                <w:szCs w:val="1"/>
                <w:color w:val="auto"/>
              </w:rPr>
            </w:pPr>
          </w:p>
        </w:tc>
      </w:tr>
      <w:tr>
        <w:trPr>
          <w:trHeight w:val="213"/>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8"/>
              </w:rPr>
              <w:t>Warburg Pincus (Bermuda) Private Equity GP Ltd., its general partner</w:t>
            </w:r>
          </w:p>
        </w:tc>
        <w:tc>
          <w:tcPr>
            <w:tcW w:w="0" w:type="dxa"/>
            <w:vAlign w:val="bottom"/>
          </w:tcPr>
          <w:p>
            <w:pPr>
              <w:spacing w:after="0"/>
              <w:rPr>
                <w:sz w:val="1"/>
                <w:szCs w:val="1"/>
                <w:color w:val="auto"/>
              </w:rPr>
            </w:pPr>
          </w:p>
        </w:tc>
      </w:tr>
      <w:tr>
        <w:trPr>
          <w:trHeight w:val="192"/>
        </w:trPr>
        <w:tc>
          <w:tcPr>
            <w:tcW w:w="5840" w:type="dxa"/>
            <w:vAlign w:val="bottom"/>
          </w:tcPr>
          <w:p>
            <w:pPr>
              <w:ind w:left="5220"/>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16"/>
                <w:szCs w:val="16"/>
                <w:color w:val="auto"/>
              </w:rPr>
            </w:pPr>
          </w:p>
        </w:tc>
        <w:tc>
          <w:tcPr>
            <w:tcW w:w="35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 Harsha G. Marti</w:t>
            </w: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7"/>
              </w:rPr>
              <w:t>03/06/2024</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Harsha G. Marti</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Partner</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600" w:type="dxa"/>
            <w:vAlign w:val="bottom"/>
            <w:gridSpan w:val="3"/>
          </w:tcPr>
          <w:p>
            <w:pPr>
              <w:ind w:left="5220"/>
              <w:spacing w:after="0"/>
              <w:rPr>
                <w:sz w:val="20"/>
                <w:szCs w:val="20"/>
                <w:color w:val="auto"/>
              </w:rPr>
            </w:pPr>
            <w:r>
              <w:rPr>
                <w:rFonts w:ascii="Times New Roman" w:cs="Times New Roman" w:eastAsia="Times New Roman" w:hAnsi="Times New Roman"/>
                <w:sz w:val="18"/>
                <w:szCs w:val="18"/>
                <w:b w:val="1"/>
                <w:bCs w:val="1"/>
                <w:color w:val="auto"/>
              </w:rPr>
              <w:t>WARBURG PINCUS PARTNERS II (CAYMAN), L.P.</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8"/>
              </w:rPr>
              <w:t>Warburg Pincus (Bermuda) Private Equity GP Ltd., its general partner</w:t>
            </w:r>
          </w:p>
        </w:tc>
        <w:tc>
          <w:tcPr>
            <w:tcW w:w="0" w:type="dxa"/>
            <w:vAlign w:val="bottom"/>
          </w:tcPr>
          <w:p>
            <w:pPr>
              <w:spacing w:after="0"/>
              <w:rPr>
                <w:sz w:val="1"/>
                <w:szCs w:val="1"/>
                <w:color w:val="auto"/>
              </w:rPr>
            </w:pPr>
          </w:p>
        </w:tc>
      </w:tr>
      <w:tr>
        <w:trPr>
          <w:trHeight w:val="192"/>
        </w:trPr>
        <w:tc>
          <w:tcPr>
            <w:tcW w:w="5840" w:type="dxa"/>
            <w:vAlign w:val="bottom"/>
          </w:tcPr>
          <w:p>
            <w:pPr>
              <w:ind w:left="5220"/>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16"/>
                <w:szCs w:val="16"/>
                <w:color w:val="auto"/>
              </w:rPr>
            </w:pPr>
          </w:p>
        </w:tc>
        <w:tc>
          <w:tcPr>
            <w:tcW w:w="35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 Harsha G. Marti</w:t>
            </w: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7"/>
              </w:rPr>
              <w:t>03/06/2024</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Harsha G. Marti</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4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Partner</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5"/>
        </w:trPr>
        <w:tc>
          <w:tcPr>
            <w:tcW w:w="5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39" w:right="459" w:bottom="1440" w:gutter="0" w:footer="0" w:header="0"/>
        </w:sectPr>
      </w:pPr>
    </w:p>
    <w:bookmarkStart w:id="4" w:name="page5"/>
    <w:bookmarkEnd w:id="4"/>
    <w:p>
      <w:pPr>
        <w:ind w:left="5480"/>
        <w:spacing w:after="0"/>
        <w:rPr>
          <w:sz w:val="20"/>
          <w:szCs w:val="20"/>
          <w:color w:val="auto"/>
        </w:rPr>
      </w:pPr>
      <w:r>
        <w:rPr>
          <w:rFonts w:ascii="Times New Roman" w:cs="Times New Roman" w:eastAsia="Times New Roman" w:hAnsi="Times New Roman"/>
          <w:sz w:val="18"/>
          <w:szCs w:val="18"/>
          <w:b w:val="1"/>
          <w:bCs w:val="1"/>
          <w:color w:val="auto"/>
        </w:rPr>
        <w:t>WARBURG PINCUS (BERMUDA) PRIVATE EQUITY GP LTD.</w:t>
      </w:r>
    </w:p>
    <w:tbl>
      <w:tblPr>
        <w:tblLayout w:type="fixed"/>
        <w:tblInd w:w="0" w:type="dxa"/>
        <w:tblCellMar>
          <w:top w:w="0" w:type="dxa"/>
          <w:left w:w="0" w:type="dxa"/>
          <w:bottom w:w="0" w:type="dxa"/>
          <w:right w:w="0" w:type="dxa"/>
        </w:tblCellMar>
      </w:tblPr>
      <w:tr>
        <w:trPr>
          <w:trHeight w:val="200"/>
        </w:trPr>
        <w:tc>
          <w:tcPr>
            <w:tcW w:w="6140" w:type="dxa"/>
            <w:vAlign w:val="bottom"/>
          </w:tcPr>
          <w:p>
            <w:pPr>
              <w:ind w:left="5480"/>
              <w:spacing w:after="0" w:line="200" w:lineRule="exact"/>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17"/>
                <w:szCs w:val="17"/>
                <w:color w:val="auto"/>
              </w:rPr>
            </w:pPr>
          </w:p>
        </w:tc>
        <w:tc>
          <w:tcPr>
            <w:tcW w:w="33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/s/ Harsha G. Marti</w:t>
            </w:r>
          </w:p>
        </w:tc>
        <w:tc>
          <w:tcPr>
            <w:tcW w:w="160" w:type="dxa"/>
            <w:vAlign w:val="bottom"/>
          </w:tcPr>
          <w:p>
            <w:pPr>
              <w:spacing w:after="0"/>
              <w:rPr>
                <w:sz w:val="17"/>
                <w:szCs w:val="17"/>
                <w:color w:val="auto"/>
              </w:rPr>
            </w:pPr>
          </w:p>
        </w:tc>
        <w:tc>
          <w:tcPr>
            <w:tcW w:w="820" w:type="dxa"/>
            <w:vAlign w:val="bottom"/>
            <w:tcBorders>
              <w:bottom w:val="single" w:sz="8" w:color="auto"/>
            </w:tcBorders>
          </w:tcPr>
          <w:p>
            <w:pPr>
              <w:spacing w:after="0" w:line="200" w:lineRule="exact"/>
              <w:rPr>
                <w:sz w:val="20"/>
                <w:szCs w:val="20"/>
                <w:color w:val="auto"/>
              </w:rPr>
            </w:pPr>
            <w:r>
              <w:rPr>
                <w:rFonts w:ascii="Times New Roman" w:cs="Times New Roman" w:eastAsia="Times New Roman" w:hAnsi="Times New Roman"/>
                <w:sz w:val="18"/>
                <w:szCs w:val="18"/>
                <w:color w:val="auto"/>
                <w:w w:val="97"/>
              </w:rPr>
              <w:t>03/06/2024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6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6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Harsha G. Marti</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760" w:type="dxa"/>
            <w:vAlign w:val="bottom"/>
            <w:gridSpan w:val="3"/>
          </w:tcPr>
          <w:p>
            <w:pPr>
              <w:ind w:left="5480"/>
              <w:spacing w:after="0"/>
              <w:rPr>
                <w:sz w:val="20"/>
                <w:szCs w:val="20"/>
                <w:color w:val="auto"/>
              </w:rPr>
            </w:pPr>
            <w:r>
              <w:rPr>
                <w:rFonts w:ascii="Times New Roman" w:cs="Times New Roman" w:eastAsia="Times New Roman" w:hAnsi="Times New Roman"/>
                <w:sz w:val="18"/>
                <w:szCs w:val="18"/>
                <w:b w:val="1"/>
                <w:bCs w:val="1"/>
                <w:color w:val="auto"/>
              </w:rPr>
              <w:t>WARBURG PINCUS LLC</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16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03/06/2024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6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Harsha G. Marti</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760" w:type="dxa"/>
            <w:vAlign w:val="bottom"/>
            <w:gridSpan w:val="3"/>
          </w:tcPr>
          <w:p>
            <w:pPr>
              <w:ind w:left="5480"/>
              <w:spacing w:after="0"/>
              <w:rPr>
                <w:sz w:val="20"/>
                <w:szCs w:val="20"/>
                <w:color w:val="auto"/>
              </w:rPr>
            </w:pPr>
            <w:r>
              <w:rPr>
                <w:rFonts w:ascii="Times New Roman" w:cs="Times New Roman" w:eastAsia="Times New Roman" w:hAnsi="Times New Roman"/>
                <w:sz w:val="18"/>
                <w:szCs w:val="18"/>
                <w:b w:val="1"/>
                <w:bCs w:val="1"/>
                <w:color w:val="auto"/>
              </w:rPr>
              <w:t>WARBURG PINCUS PARTNERS GP, LLC</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140" w:type="dxa"/>
            <w:vAlign w:val="bottom"/>
          </w:tcPr>
          <w:p>
            <w:pPr>
              <w:ind w:left="5480"/>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16"/>
                <w:szCs w:val="16"/>
                <w:color w:val="auto"/>
              </w:rPr>
            </w:pPr>
          </w:p>
        </w:tc>
        <w:tc>
          <w:tcPr>
            <w:tcW w:w="33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 Harsha G. Marti</w:t>
            </w:r>
          </w:p>
        </w:tc>
        <w:tc>
          <w:tcPr>
            <w:tcW w:w="160" w:type="dxa"/>
            <w:vAlign w:val="bottom"/>
          </w:tcPr>
          <w:p>
            <w:pPr>
              <w:spacing w:after="0"/>
              <w:rPr>
                <w:sz w:val="16"/>
                <w:szCs w:val="16"/>
                <w:color w:val="auto"/>
              </w:rPr>
            </w:pPr>
          </w:p>
        </w:tc>
        <w:tc>
          <w:tcPr>
            <w:tcW w:w="82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7"/>
              </w:rPr>
              <w:t>03/06/2024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6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5"/>
        </w:trPr>
        <w:tc>
          <w:tcPr>
            <w:tcW w:w="6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Signature of Reporting Person</w:t>
            </w: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Harsha G. Marti</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5"/>
        </w:trPr>
        <w:tc>
          <w:tcPr>
            <w:tcW w:w="6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57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12" Type="http://schemas.openxmlformats.org/officeDocument/2006/relationships/hyperlink" Target="http://www.sec.gov/cgi-bin/browse-edgar?action=getcompany&amp;CIK=0000929408" TargetMode="External"/><Relationship Id="rId13" Type="http://schemas.openxmlformats.org/officeDocument/2006/relationships/hyperlink" Target="http://www.sec.gov/cgi-bin/browse-edgar?action=getcompany&amp;CIK=0001822479" TargetMode="External"/><Relationship Id="rId14" Type="http://schemas.openxmlformats.org/officeDocument/2006/relationships/hyperlink" Target="http://www.sec.gov/cgi-bin/browse-edgar?action=getcompany&amp;CIK=0001550877" TargetMode="External"/><Relationship Id="rId16" Type="http://schemas.openxmlformats.org/officeDocument/2006/relationships/hyperlink" Target="http://www.sec.gov/cgi-bin/browse-edgar?action=getcompany&amp;CIK=0001554853" TargetMode="External"/><Relationship Id="rId17" Type="http://schemas.openxmlformats.org/officeDocument/2006/relationships/hyperlink" Target="http://www.sec.gov/cgi-bin/browse-edgar?action=getcompany&amp;CIK=0001554852" TargetMode="External"/><Relationship Id="rId19" Type="http://schemas.openxmlformats.org/officeDocument/2006/relationships/hyperlink" Target="http://www.sec.gov/cgi-bin/browse-edgar?action=getcompany&amp;CIK=0001658820" TargetMode="External"/><Relationship Id="rId20" Type="http://schemas.openxmlformats.org/officeDocument/2006/relationships/hyperlink" Target="http://www.sec.gov/cgi-bin/browse-edgar?action=getcompany&amp;CIK=0001555729" TargetMode="External"/><Relationship Id="rId21" Type="http://schemas.openxmlformats.org/officeDocument/2006/relationships/hyperlink" Target="http://www.sec.gov/cgi-bin/browse-edgar?action=getcompany&amp;CIK=0001162870" TargetMode="External"/><Relationship Id="rId22" Type="http://schemas.openxmlformats.org/officeDocument/2006/relationships/hyperlink" Target="http://www.sec.gov/cgi-bin/browse-edgar?action=getcompany&amp;CIK=0001621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2024-03-06T16:48:49Z</dcterms:created>
  <dcterms:modified xsi:type="dcterms:W3CDTF">2024-03-06T16:48:49Z</dcterms:modified>
</cp:coreProperties>
</file>